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iagrams/colors1.xml" ContentType="application/vnd.openxmlformats-officedocument.drawingml.diagramColors+xml"/>
  <Override PartName="/word/diagrams/colors2.xml" ContentType="application/vnd.openxmlformats-officedocument.drawingml.diagramColors+xml"/>
  <Override PartName="/word/diagrams/colors3.xml" ContentType="application/vnd.openxmlformats-officedocument.drawingml.diagramColors+xml"/>
  <Override PartName="/word/diagrams/colors4.xml" ContentType="application/vnd.openxmlformats-officedocument.drawingml.diagramColors+xml"/>
  <Override PartName="/word/diagrams/colors5.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ata3.xml" ContentType="application/vnd.openxmlformats-officedocument.drawingml.diagramData+xml"/>
  <Override PartName="/word/diagrams/data4.xml" ContentType="application/vnd.openxmlformats-officedocument.drawingml.diagramData+xml"/>
  <Override PartName="/word/diagrams/data5.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drawing3.xml" ContentType="application/vnd.ms-office.drawingml.diagramDrawing+xml"/>
  <Override PartName="/word/diagrams/drawing4.xml" ContentType="application/vnd.ms-office.drawingml.diagramDrawing+xml"/>
  <Override PartName="/word/diagrams/drawing5.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layout3.xml" ContentType="application/vnd.openxmlformats-officedocument.drawingml.diagramLayout+xml"/>
  <Override PartName="/word/diagrams/layout4.xml" ContentType="application/vnd.openxmlformats-officedocument.drawingml.diagramLayout+xml"/>
  <Override PartName="/word/diagrams/layout5.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iagrams/quickStyle3.xml" ContentType="application/vnd.openxmlformats-officedocument.drawingml.diagramStyle+xml"/>
  <Override PartName="/word/diagrams/quickStyle4.xml" ContentType="application/vnd.openxmlformats-officedocument.drawingml.diagramStyle+xml"/>
  <Override PartName="/word/diagrams/quickStyle5.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sz w:val="44"/>
          <w:szCs w:val="44"/>
          <w:lang w:val="en-US" w:eastAsia="zh-CN"/>
        </w:rPr>
      </w:pPr>
      <w:bookmarkStart w:id="0" w:name="_Toc118293181"/>
      <w:bookmarkStart w:id="997" w:name="_GoBack"/>
      <w:bookmarkEnd w:id="997"/>
      <w:r>
        <w:rPr>
          <w:rFonts w:hint="eastAsia" w:ascii="微软雅黑" w:hAnsi="微软雅黑" w:eastAsia="微软雅黑" w:cs="微软雅黑"/>
          <w:b/>
          <w:bCs/>
          <w:sz w:val="44"/>
          <w:szCs w:val="44"/>
          <w:lang w:val="en-US" w:eastAsia="zh-CN"/>
        </w:rPr>
        <w:t>有机肥采购项目投标服务方案（467页）</w:t>
      </w:r>
    </w:p>
    <w:p>
      <w:pPr>
        <w:jc w:val="center"/>
        <w:rPr>
          <w:rFonts w:hint="eastAsia" w:ascii="微软雅黑" w:hAnsi="微软雅黑" w:eastAsia="微软雅黑" w:cs="微软雅黑"/>
          <w:b/>
          <w:bCs/>
          <w:sz w:val="36"/>
          <w:szCs w:val="36"/>
          <w:lang w:val="en-US" w:eastAsia="zh-CN"/>
        </w:rPr>
      </w:pPr>
      <w:r>
        <w:rPr>
          <w:rFonts w:hint="eastAsia" w:ascii="微软雅黑" w:hAnsi="微软雅黑" w:eastAsia="微软雅黑" w:cs="微软雅黑"/>
          <w:b/>
          <w:bCs/>
          <w:sz w:val="36"/>
          <w:szCs w:val="36"/>
          <w:lang w:val="en-US" w:eastAsia="zh-CN"/>
        </w:rPr>
        <w:t>目录</w:t>
      </w:r>
    </w:p>
    <w:p>
      <w:pPr>
        <w:pStyle w:val="25"/>
        <w:tabs>
          <w:tab w:val="right" w:leader="dot" w:pos="8306"/>
        </w:tabs>
      </w:pPr>
      <w:r>
        <w:fldChar w:fldCharType="begin"/>
      </w:r>
      <w:r>
        <w:instrText xml:space="preserve">TOC \o "1-5" \h \u </w:instrText>
      </w:r>
      <w:r>
        <w:fldChar w:fldCharType="separate"/>
      </w:r>
      <w:r>
        <w:fldChar w:fldCharType="begin"/>
      </w:r>
      <w:r>
        <w:instrText xml:space="preserve"> HYPERLINK \l _Toc5114 </w:instrText>
      </w:r>
      <w:r>
        <w:fldChar w:fldCharType="separate"/>
      </w:r>
      <w:r>
        <w:rPr>
          <w:rFonts w:hint="eastAsia"/>
          <w:lang w:val="en-US" w:eastAsia="zh-CN"/>
        </w:rPr>
        <w:t xml:space="preserve">第一章  </w:t>
      </w:r>
      <w:r>
        <w:rPr>
          <w:rFonts w:hint="eastAsia"/>
        </w:rPr>
        <w:t>项目实施方案</w:t>
      </w:r>
      <w:r>
        <w:tab/>
      </w:r>
      <w:r>
        <w:fldChar w:fldCharType="begin"/>
      </w:r>
      <w:r>
        <w:instrText xml:space="preserve"> PAGEREF _Toc5114 \h </w:instrText>
      </w:r>
      <w:r>
        <w:fldChar w:fldCharType="separate"/>
      </w:r>
      <w:r>
        <w:t>16</w:t>
      </w:r>
      <w:r>
        <w:fldChar w:fldCharType="end"/>
      </w:r>
      <w:r>
        <w:fldChar w:fldCharType="end"/>
      </w:r>
    </w:p>
    <w:p>
      <w:pPr>
        <w:pStyle w:val="28"/>
        <w:tabs>
          <w:tab w:val="right" w:leader="dot" w:pos="8306"/>
        </w:tabs>
      </w:pPr>
      <w:r>
        <w:fldChar w:fldCharType="begin"/>
      </w:r>
      <w:r>
        <w:instrText xml:space="preserve"> HYPERLINK \l _Toc27060 </w:instrText>
      </w:r>
      <w:r>
        <w:fldChar w:fldCharType="separate"/>
      </w:r>
      <w:r>
        <w:rPr>
          <w:rFonts w:hint="eastAsia"/>
          <w:lang w:val="en-US" w:eastAsia="zh-CN"/>
        </w:rPr>
        <w:t xml:space="preserve">第一节  </w:t>
      </w:r>
      <w:r>
        <w:rPr>
          <w:rFonts w:hint="eastAsia"/>
        </w:rPr>
        <w:t>项目整体服务设想</w:t>
      </w:r>
      <w:r>
        <w:tab/>
      </w:r>
      <w:r>
        <w:fldChar w:fldCharType="begin"/>
      </w:r>
      <w:r>
        <w:instrText xml:space="preserve"> PAGEREF _Toc27060 \h </w:instrText>
      </w:r>
      <w:r>
        <w:fldChar w:fldCharType="separate"/>
      </w:r>
      <w:r>
        <w:t>16</w:t>
      </w:r>
      <w:r>
        <w:fldChar w:fldCharType="end"/>
      </w:r>
      <w:r>
        <w:fldChar w:fldCharType="end"/>
      </w:r>
    </w:p>
    <w:p>
      <w:pPr>
        <w:pStyle w:val="20"/>
        <w:tabs>
          <w:tab w:val="right" w:leader="dot" w:pos="8306"/>
        </w:tabs>
      </w:pPr>
      <w:r>
        <w:fldChar w:fldCharType="begin"/>
      </w:r>
      <w:r>
        <w:instrText xml:space="preserve"> HYPERLINK \l _Toc26184 </w:instrText>
      </w:r>
      <w:r>
        <w:fldChar w:fldCharType="separate"/>
      </w:r>
      <w:r>
        <w:rPr>
          <w:rFonts w:hint="eastAsia"/>
          <w:lang w:val="en-US" w:eastAsia="zh-CN"/>
        </w:rPr>
        <w:t>一、</w:t>
      </w:r>
      <w:r>
        <w:rPr>
          <w:rFonts w:hint="eastAsia"/>
        </w:rPr>
        <w:t>服务理念</w:t>
      </w:r>
      <w:r>
        <w:tab/>
      </w:r>
      <w:r>
        <w:fldChar w:fldCharType="begin"/>
      </w:r>
      <w:r>
        <w:instrText xml:space="preserve"> PAGEREF _Toc26184 \h </w:instrText>
      </w:r>
      <w:r>
        <w:fldChar w:fldCharType="separate"/>
      </w:r>
      <w:r>
        <w:t>16</w:t>
      </w:r>
      <w:r>
        <w:fldChar w:fldCharType="end"/>
      </w:r>
      <w:r>
        <w:fldChar w:fldCharType="end"/>
      </w:r>
    </w:p>
    <w:p>
      <w:pPr>
        <w:pStyle w:val="20"/>
        <w:tabs>
          <w:tab w:val="right" w:leader="dot" w:pos="8306"/>
        </w:tabs>
      </w:pPr>
      <w:r>
        <w:fldChar w:fldCharType="begin"/>
      </w:r>
      <w:r>
        <w:instrText xml:space="preserve"> HYPERLINK \l _Toc3186 </w:instrText>
      </w:r>
      <w:r>
        <w:fldChar w:fldCharType="separate"/>
      </w:r>
      <w:r>
        <w:rPr>
          <w:rFonts w:hint="eastAsia"/>
          <w:lang w:val="en-US" w:eastAsia="zh-CN"/>
        </w:rPr>
        <w:t>二、</w:t>
      </w:r>
      <w:r>
        <w:rPr>
          <w:rFonts w:hint="eastAsia"/>
        </w:rPr>
        <w:t>质量理念</w:t>
      </w:r>
      <w:r>
        <w:tab/>
      </w:r>
      <w:r>
        <w:fldChar w:fldCharType="begin"/>
      </w:r>
      <w:r>
        <w:instrText xml:space="preserve"> PAGEREF _Toc3186 \h </w:instrText>
      </w:r>
      <w:r>
        <w:fldChar w:fldCharType="separate"/>
      </w:r>
      <w:r>
        <w:t>16</w:t>
      </w:r>
      <w:r>
        <w:fldChar w:fldCharType="end"/>
      </w:r>
      <w:r>
        <w:fldChar w:fldCharType="end"/>
      </w:r>
    </w:p>
    <w:p>
      <w:pPr>
        <w:pStyle w:val="20"/>
        <w:tabs>
          <w:tab w:val="right" w:leader="dot" w:pos="8306"/>
        </w:tabs>
      </w:pPr>
      <w:r>
        <w:fldChar w:fldCharType="begin"/>
      </w:r>
      <w:r>
        <w:instrText xml:space="preserve"> HYPERLINK \l _Toc18099 </w:instrText>
      </w:r>
      <w:r>
        <w:fldChar w:fldCharType="separate"/>
      </w:r>
      <w:r>
        <w:rPr>
          <w:rFonts w:hint="eastAsia"/>
          <w:lang w:val="en-US" w:eastAsia="zh-CN"/>
        </w:rPr>
        <w:t>三、</w:t>
      </w:r>
      <w:r>
        <w:rPr>
          <w:rFonts w:hint="eastAsia"/>
        </w:rPr>
        <w:t>管理理念</w:t>
      </w:r>
      <w:r>
        <w:tab/>
      </w:r>
      <w:r>
        <w:fldChar w:fldCharType="begin"/>
      </w:r>
      <w:r>
        <w:instrText xml:space="preserve"> PAGEREF _Toc18099 \h </w:instrText>
      </w:r>
      <w:r>
        <w:fldChar w:fldCharType="separate"/>
      </w:r>
      <w:r>
        <w:t>17</w:t>
      </w:r>
      <w:r>
        <w:fldChar w:fldCharType="end"/>
      </w:r>
      <w:r>
        <w:fldChar w:fldCharType="end"/>
      </w:r>
    </w:p>
    <w:p>
      <w:pPr>
        <w:pStyle w:val="20"/>
        <w:tabs>
          <w:tab w:val="right" w:leader="dot" w:pos="8306"/>
        </w:tabs>
      </w:pPr>
      <w:r>
        <w:fldChar w:fldCharType="begin"/>
      </w:r>
      <w:r>
        <w:instrText xml:space="preserve"> HYPERLINK \l _Toc20577 </w:instrText>
      </w:r>
      <w:r>
        <w:fldChar w:fldCharType="separate"/>
      </w:r>
      <w:r>
        <w:rPr>
          <w:rFonts w:hint="eastAsia"/>
          <w:lang w:val="en-US" w:eastAsia="zh-CN"/>
        </w:rPr>
        <w:t>四、</w:t>
      </w:r>
      <w:r>
        <w:rPr>
          <w:rFonts w:hint="eastAsia"/>
        </w:rPr>
        <w:t>生产理念</w:t>
      </w:r>
      <w:r>
        <w:tab/>
      </w:r>
      <w:r>
        <w:fldChar w:fldCharType="begin"/>
      </w:r>
      <w:r>
        <w:instrText xml:space="preserve"> PAGEREF _Toc20577 \h </w:instrText>
      </w:r>
      <w:r>
        <w:fldChar w:fldCharType="separate"/>
      </w:r>
      <w:r>
        <w:t>19</w:t>
      </w:r>
      <w:r>
        <w:fldChar w:fldCharType="end"/>
      </w:r>
      <w:r>
        <w:fldChar w:fldCharType="end"/>
      </w:r>
    </w:p>
    <w:p>
      <w:pPr>
        <w:pStyle w:val="20"/>
        <w:tabs>
          <w:tab w:val="right" w:leader="dot" w:pos="8306"/>
        </w:tabs>
      </w:pPr>
      <w:r>
        <w:fldChar w:fldCharType="begin"/>
      </w:r>
      <w:r>
        <w:instrText xml:space="preserve"> HYPERLINK \l _Toc3573 </w:instrText>
      </w:r>
      <w:r>
        <w:fldChar w:fldCharType="separate"/>
      </w:r>
      <w:r>
        <w:rPr>
          <w:rFonts w:hint="eastAsia"/>
          <w:lang w:val="en-US" w:eastAsia="zh-CN"/>
        </w:rPr>
        <w:t>五、</w:t>
      </w:r>
      <w:r>
        <w:rPr>
          <w:rFonts w:hint="eastAsia"/>
        </w:rPr>
        <w:t>安全理念</w:t>
      </w:r>
      <w:r>
        <w:tab/>
      </w:r>
      <w:r>
        <w:fldChar w:fldCharType="begin"/>
      </w:r>
      <w:r>
        <w:instrText xml:space="preserve"> PAGEREF _Toc3573 \h </w:instrText>
      </w:r>
      <w:r>
        <w:fldChar w:fldCharType="separate"/>
      </w:r>
      <w:r>
        <w:t>27</w:t>
      </w:r>
      <w:r>
        <w:fldChar w:fldCharType="end"/>
      </w:r>
      <w:r>
        <w:fldChar w:fldCharType="end"/>
      </w:r>
    </w:p>
    <w:p>
      <w:pPr>
        <w:pStyle w:val="28"/>
        <w:tabs>
          <w:tab w:val="right" w:leader="dot" w:pos="8306"/>
        </w:tabs>
      </w:pPr>
      <w:r>
        <w:fldChar w:fldCharType="begin"/>
      </w:r>
      <w:r>
        <w:instrText xml:space="preserve"> HYPERLINK \l _Toc31117 </w:instrText>
      </w:r>
      <w:r>
        <w:fldChar w:fldCharType="separate"/>
      </w:r>
      <w:r>
        <w:rPr>
          <w:rFonts w:hint="eastAsia"/>
          <w:lang w:val="en-US" w:eastAsia="zh-CN"/>
        </w:rPr>
        <w:t xml:space="preserve">第二节  </w:t>
      </w:r>
      <w:r>
        <w:rPr>
          <w:rFonts w:hint="eastAsia"/>
        </w:rPr>
        <w:t>项目供货计划</w:t>
      </w:r>
      <w:r>
        <w:tab/>
      </w:r>
      <w:r>
        <w:fldChar w:fldCharType="begin"/>
      </w:r>
      <w:r>
        <w:instrText xml:space="preserve"> PAGEREF _Toc31117 \h </w:instrText>
      </w:r>
      <w:r>
        <w:fldChar w:fldCharType="separate"/>
      </w:r>
      <w:r>
        <w:t>28</w:t>
      </w:r>
      <w:r>
        <w:fldChar w:fldCharType="end"/>
      </w:r>
      <w:r>
        <w:fldChar w:fldCharType="end"/>
      </w:r>
    </w:p>
    <w:p>
      <w:pPr>
        <w:pStyle w:val="20"/>
        <w:tabs>
          <w:tab w:val="right" w:leader="dot" w:pos="8306"/>
        </w:tabs>
      </w:pPr>
      <w:r>
        <w:fldChar w:fldCharType="begin"/>
      </w:r>
      <w:r>
        <w:instrText xml:space="preserve"> HYPERLINK \l _Toc27966 </w:instrText>
      </w:r>
      <w:r>
        <w:fldChar w:fldCharType="separate"/>
      </w:r>
      <w:r>
        <w:rPr>
          <w:rFonts w:hint="eastAsia"/>
          <w:lang w:val="en-US" w:eastAsia="zh-CN"/>
        </w:rPr>
        <w:t>一、</w:t>
      </w:r>
      <w:r>
        <w:rPr>
          <w:rFonts w:hint="eastAsia"/>
        </w:rPr>
        <w:t>项目组织机构</w:t>
      </w:r>
      <w:r>
        <w:tab/>
      </w:r>
      <w:r>
        <w:fldChar w:fldCharType="begin"/>
      </w:r>
      <w:r>
        <w:instrText xml:space="preserve"> PAGEREF _Toc27966 \h </w:instrText>
      </w:r>
      <w:r>
        <w:fldChar w:fldCharType="separate"/>
      </w:r>
      <w:r>
        <w:t>28</w:t>
      </w:r>
      <w:r>
        <w:fldChar w:fldCharType="end"/>
      </w:r>
      <w:r>
        <w:fldChar w:fldCharType="end"/>
      </w:r>
    </w:p>
    <w:p>
      <w:pPr>
        <w:pStyle w:val="26"/>
        <w:tabs>
          <w:tab w:val="right" w:leader="dot" w:pos="8306"/>
        </w:tabs>
      </w:pPr>
      <w:r>
        <w:fldChar w:fldCharType="begin"/>
      </w:r>
      <w:r>
        <w:instrText xml:space="preserve"> HYPERLINK \l _Toc17517 </w:instrText>
      </w:r>
      <w:r>
        <w:fldChar w:fldCharType="separate"/>
      </w:r>
      <w:r>
        <w:rPr>
          <w:rFonts w:hint="eastAsia"/>
          <w:lang w:val="en-US" w:eastAsia="zh-CN"/>
        </w:rPr>
        <w:t>（一）</w:t>
      </w:r>
      <w:r>
        <w:rPr>
          <w:rFonts w:hint="eastAsia"/>
        </w:rPr>
        <w:t>准备工作</w:t>
      </w:r>
      <w:r>
        <w:tab/>
      </w:r>
      <w:r>
        <w:fldChar w:fldCharType="begin"/>
      </w:r>
      <w:r>
        <w:instrText xml:space="preserve"> PAGEREF _Toc17517 \h </w:instrText>
      </w:r>
      <w:r>
        <w:fldChar w:fldCharType="separate"/>
      </w:r>
      <w:r>
        <w:t>28</w:t>
      </w:r>
      <w:r>
        <w:fldChar w:fldCharType="end"/>
      </w:r>
      <w:r>
        <w:fldChar w:fldCharType="end"/>
      </w:r>
    </w:p>
    <w:p>
      <w:pPr>
        <w:pStyle w:val="26"/>
        <w:tabs>
          <w:tab w:val="right" w:leader="dot" w:pos="8306"/>
        </w:tabs>
      </w:pPr>
      <w:r>
        <w:fldChar w:fldCharType="begin"/>
      </w:r>
      <w:r>
        <w:instrText xml:space="preserve"> HYPERLINK \l _Toc26376 </w:instrText>
      </w:r>
      <w:r>
        <w:fldChar w:fldCharType="separate"/>
      </w:r>
      <w:r>
        <w:rPr>
          <w:rFonts w:hint="eastAsia"/>
          <w:lang w:val="en-US" w:eastAsia="zh-CN"/>
        </w:rPr>
        <w:t>（二）</w:t>
      </w:r>
      <w:r>
        <w:rPr>
          <w:rFonts w:hint="eastAsia"/>
        </w:rPr>
        <w:t>培训工作</w:t>
      </w:r>
      <w:r>
        <w:tab/>
      </w:r>
      <w:r>
        <w:fldChar w:fldCharType="begin"/>
      </w:r>
      <w:r>
        <w:instrText xml:space="preserve"> PAGEREF _Toc26376 \h </w:instrText>
      </w:r>
      <w:r>
        <w:fldChar w:fldCharType="separate"/>
      </w:r>
      <w:r>
        <w:t>28</w:t>
      </w:r>
      <w:r>
        <w:fldChar w:fldCharType="end"/>
      </w:r>
      <w:r>
        <w:fldChar w:fldCharType="end"/>
      </w:r>
    </w:p>
    <w:p>
      <w:pPr>
        <w:pStyle w:val="26"/>
        <w:tabs>
          <w:tab w:val="right" w:leader="dot" w:pos="8306"/>
        </w:tabs>
      </w:pPr>
      <w:r>
        <w:fldChar w:fldCharType="begin"/>
      </w:r>
      <w:r>
        <w:instrText xml:space="preserve"> HYPERLINK \l _Toc2547 </w:instrText>
      </w:r>
      <w:r>
        <w:fldChar w:fldCharType="separate"/>
      </w:r>
      <w:r>
        <w:rPr>
          <w:rFonts w:hint="eastAsia"/>
          <w:lang w:val="en-US" w:eastAsia="zh-CN"/>
        </w:rPr>
        <w:t>（三）</w:t>
      </w:r>
      <w:r>
        <w:rPr>
          <w:rFonts w:hint="eastAsia"/>
        </w:rPr>
        <w:t>建立工作台账</w:t>
      </w:r>
      <w:r>
        <w:tab/>
      </w:r>
      <w:r>
        <w:fldChar w:fldCharType="begin"/>
      </w:r>
      <w:r>
        <w:instrText xml:space="preserve"> PAGEREF _Toc2547 \h </w:instrText>
      </w:r>
      <w:r>
        <w:fldChar w:fldCharType="separate"/>
      </w:r>
      <w:r>
        <w:t>29</w:t>
      </w:r>
      <w:r>
        <w:fldChar w:fldCharType="end"/>
      </w:r>
      <w:r>
        <w:fldChar w:fldCharType="end"/>
      </w:r>
    </w:p>
    <w:p>
      <w:pPr>
        <w:pStyle w:val="20"/>
        <w:tabs>
          <w:tab w:val="right" w:leader="dot" w:pos="8306"/>
        </w:tabs>
      </w:pPr>
      <w:r>
        <w:fldChar w:fldCharType="begin"/>
      </w:r>
      <w:r>
        <w:instrText xml:space="preserve"> HYPERLINK \l _Toc14191 </w:instrText>
      </w:r>
      <w:r>
        <w:fldChar w:fldCharType="separate"/>
      </w:r>
      <w:r>
        <w:rPr>
          <w:rFonts w:hint="eastAsia"/>
          <w:lang w:val="en-US" w:eastAsia="zh-CN"/>
        </w:rPr>
        <w:t>二、</w:t>
      </w:r>
      <w:r>
        <w:rPr>
          <w:rFonts w:hint="eastAsia"/>
        </w:rPr>
        <w:t>供货服务说明</w:t>
      </w:r>
      <w:r>
        <w:tab/>
      </w:r>
      <w:r>
        <w:fldChar w:fldCharType="begin"/>
      </w:r>
      <w:r>
        <w:instrText xml:space="preserve"> PAGEREF _Toc14191 \h </w:instrText>
      </w:r>
      <w:r>
        <w:fldChar w:fldCharType="separate"/>
      </w:r>
      <w:r>
        <w:t>30</w:t>
      </w:r>
      <w:r>
        <w:fldChar w:fldCharType="end"/>
      </w:r>
      <w:r>
        <w:fldChar w:fldCharType="end"/>
      </w:r>
    </w:p>
    <w:p>
      <w:pPr>
        <w:pStyle w:val="20"/>
        <w:tabs>
          <w:tab w:val="right" w:leader="dot" w:pos="8306"/>
        </w:tabs>
      </w:pPr>
      <w:r>
        <w:fldChar w:fldCharType="begin"/>
      </w:r>
      <w:r>
        <w:instrText xml:space="preserve"> HYPERLINK \l _Toc2285 </w:instrText>
      </w:r>
      <w:r>
        <w:fldChar w:fldCharType="separate"/>
      </w:r>
      <w:r>
        <w:rPr>
          <w:rFonts w:hint="eastAsia"/>
          <w:lang w:val="en-US" w:eastAsia="zh-CN"/>
        </w:rPr>
        <w:t>三、</w:t>
      </w:r>
      <w:r>
        <w:rPr>
          <w:rFonts w:hint="eastAsia"/>
        </w:rPr>
        <w:t>供货服务内容</w:t>
      </w:r>
      <w:r>
        <w:tab/>
      </w:r>
      <w:r>
        <w:fldChar w:fldCharType="begin"/>
      </w:r>
      <w:r>
        <w:instrText xml:space="preserve"> PAGEREF _Toc2285 \h </w:instrText>
      </w:r>
      <w:r>
        <w:fldChar w:fldCharType="separate"/>
      </w:r>
      <w:r>
        <w:t>31</w:t>
      </w:r>
      <w:r>
        <w:fldChar w:fldCharType="end"/>
      </w:r>
      <w:r>
        <w:fldChar w:fldCharType="end"/>
      </w:r>
    </w:p>
    <w:p>
      <w:pPr>
        <w:pStyle w:val="20"/>
        <w:tabs>
          <w:tab w:val="right" w:leader="dot" w:pos="8306"/>
        </w:tabs>
      </w:pPr>
      <w:r>
        <w:fldChar w:fldCharType="begin"/>
      </w:r>
      <w:r>
        <w:instrText xml:space="preserve"> HYPERLINK \l _Toc28814 </w:instrText>
      </w:r>
      <w:r>
        <w:fldChar w:fldCharType="separate"/>
      </w:r>
      <w:r>
        <w:rPr>
          <w:rFonts w:hint="eastAsia"/>
          <w:lang w:val="en-US" w:eastAsia="zh-CN"/>
        </w:rPr>
        <w:t>四、</w:t>
      </w:r>
      <w:r>
        <w:rPr>
          <w:rFonts w:hint="eastAsia"/>
        </w:rPr>
        <w:t>供货组织程序</w:t>
      </w:r>
      <w:r>
        <w:tab/>
      </w:r>
      <w:r>
        <w:fldChar w:fldCharType="begin"/>
      </w:r>
      <w:r>
        <w:instrText xml:space="preserve"> PAGEREF _Toc28814 \h </w:instrText>
      </w:r>
      <w:r>
        <w:fldChar w:fldCharType="separate"/>
      </w:r>
      <w:r>
        <w:t>34</w:t>
      </w:r>
      <w:r>
        <w:fldChar w:fldCharType="end"/>
      </w:r>
      <w:r>
        <w:fldChar w:fldCharType="end"/>
      </w:r>
    </w:p>
    <w:p>
      <w:pPr>
        <w:pStyle w:val="20"/>
        <w:tabs>
          <w:tab w:val="right" w:leader="dot" w:pos="8306"/>
        </w:tabs>
      </w:pPr>
      <w:r>
        <w:fldChar w:fldCharType="begin"/>
      </w:r>
      <w:r>
        <w:instrText xml:space="preserve"> HYPERLINK \l _Toc10122 </w:instrText>
      </w:r>
      <w:r>
        <w:fldChar w:fldCharType="separate"/>
      </w:r>
      <w:r>
        <w:rPr>
          <w:rFonts w:hint="eastAsia"/>
          <w:lang w:val="en-US" w:eastAsia="zh-CN"/>
        </w:rPr>
        <w:t>五、</w:t>
      </w:r>
      <w:r>
        <w:rPr>
          <w:rFonts w:hint="eastAsia"/>
        </w:rPr>
        <w:t>供货流程要点</w:t>
      </w:r>
      <w:r>
        <w:tab/>
      </w:r>
      <w:r>
        <w:fldChar w:fldCharType="begin"/>
      </w:r>
      <w:r>
        <w:instrText xml:space="preserve"> PAGEREF _Toc10122 \h </w:instrText>
      </w:r>
      <w:r>
        <w:fldChar w:fldCharType="separate"/>
      </w:r>
      <w:r>
        <w:t>37</w:t>
      </w:r>
      <w:r>
        <w:fldChar w:fldCharType="end"/>
      </w:r>
      <w:r>
        <w:fldChar w:fldCharType="end"/>
      </w:r>
    </w:p>
    <w:p>
      <w:pPr>
        <w:pStyle w:val="26"/>
        <w:tabs>
          <w:tab w:val="right" w:leader="dot" w:pos="8306"/>
        </w:tabs>
      </w:pPr>
      <w:r>
        <w:fldChar w:fldCharType="begin"/>
      </w:r>
      <w:r>
        <w:instrText xml:space="preserve"> HYPERLINK \l _Toc29289 </w:instrText>
      </w:r>
      <w:r>
        <w:fldChar w:fldCharType="separate"/>
      </w:r>
      <w:r>
        <w:rPr>
          <w:rFonts w:hint="eastAsia"/>
          <w:lang w:val="en-US" w:eastAsia="zh-CN"/>
        </w:rPr>
        <w:t>（一）</w:t>
      </w:r>
      <w:r>
        <w:rPr>
          <w:rFonts w:hint="eastAsia"/>
        </w:rPr>
        <w:t>供货环节</w:t>
      </w:r>
      <w:r>
        <w:tab/>
      </w:r>
      <w:r>
        <w:fldChar w:fldCharType="begin"/>
      </w:r>
      <w:r>
        <w:instrText xml:space="preserve"> PAGEREF _Toc29289 \h </w:instrText>
      </w:r>
      <w:r>
        <w:fldChar w:fldCharType="separate"/>
      </w:r>
      <w:r>
        <w:t>37</w:t>
      </w:r>
      <w:r>
        <w:fldChar w:fldCharType="end"/>
      </w:r>
      <w:r>
        <w:fldChar w:fldCharType="end"/>
      </w:r>
    </w:p>
    <w:p>
      <w:pPr>
        <w:pStyle w:val="26"/>
        <w:tabs>
          <w:tab w:val="right" w:leader="dot" w:pos="8306"/>
        </w:tabs>
      </w:pPr>
      <w:r>
        <w:fldChar w:fldCharType="begin"/>
      </w:r>
      <w:r>
        <w:instrText xml:space="preserve"> HYPERLINK \l _Toc22025 </w:instrText>
      </w:r>
      <w:r>
        <w:fldChar w:fldCharType="separate"/>
      </w:r>
      <w:r>
        <w:rPr>
          <w:rFonts w:hint="eastAsia"/>
          <w:lang w:val="en-US" w:eastAsia="zh-CN"/>
        </w:rPr>
        <w:t>（二）</w:t>
      </w:r>
      <w:r>
        <w:rPr>
          <w:rFonts w:hint="eastAsia"/>
        </w:rPr>
        <w:t>工作安排</w:t>
      </w:r>
      <w:r>
        <w:tab/>
      </w:r>
      <w:r>
        <w:fldChar w:fldCharType="begin"/>
      </w:r>
      <w:r>
        <w:instrText xml:space="preserve"> PAGEREF _Toc22025 \h </w:instrText>
      </w:r>
      <w:r>
        <w:fldChar w:fldCharType="separate"/>
      </w:r>
      <w:r>
        <w:t>38</w:t>
      </w:r>
      <w:r>
        <w:fldChar w:fldCharType="end"/>
      </w:r>
      <w:r>
        <w:fldChar w:fldCharType="end"/>
      </w:r>
    </w:p>
    <w:p>
      <w:pPr>
        <w:pStyle w:val="20"/>
        <w:tabs>
          <w:tab w:val="right" w:leader="dot" w:pos="8306"/>
        </w:tabs>
      </w:pPr>
      <w:r>
        <w:fldChar w:fldCharType="begin"/>
      </w:r>
      <w:r>
        <w:instrText xml:space="preserve"> HYPERLINK \l _Toc25441 </w:instrText>
      </w:r>
      <w:r>
        <w:fldChar w:fldCharType="separate"/>
      </w:r>
      <w:r>
        <w:rPr>
          <w:rFonts w:hint="eastAsia"/>
          <w:lang w:val="en-US" w:eastAsia="zh-CN"/>
        </w:rPr>
        <w:t>六、</w:t>
      </w:r>
      <w:r>
        <w:rPr>
          <w:rFonts w:hint="eastAsia"/>
        </w:rPr>
        <w:t>供货实施方案</w:t>
      </w:r>
      <w:r>
        <w:tab/>
      </w:r>
      <w:r>
        <w:fldChar w:fldCharType="begin"/>
      </w:r>
      <w:r>
        <w:instrText xml:space="preserve"> PAGEREF _Toc25441 \h </w:instrText>
      </w:r>
      <w:r>
        <w:fldChar w:fldCharType="separate"/>
      </w:r>
      <w:r>
        <w:t>41</w:t>
      </w:r>
      <w:r>
        <w:fldChar w:fldCharType="end"/>
      </w:r>
      <w:r>
        <w:fldChar w:fldCharType="end"/>
      </w:r>
    </w:p>
    <w:p>
      <w:pPr>
        <w:pStyle w:val="26"/>
        <w:tabs>
          <w:tab w:val="right" w:leader="dot" w:pos="8306"/>
        </w:tabs>
      </w:pPr>
      <w:r>
        <w:fldChar w:fldCharType="begin"/>
      </w:r>
      <w:r>
        <w:instrText xml:space="preserve"> HYPERLINK \l _Toc17370 </w:instrText>
      </w:r>
      <w:r>
        <w:fldChar w:fldCharType="separate"/>
      </w:r>
      <w:r>
        <w:rPr>
          <w:rFonts w:hint="eastAsia"/>
          <w:lang w:val="en-US" w:eastAsia="zh-CN"/>
        </w:rPr>
        <w:t>（一）</w:t>
      </w:r>
      <w:r>
        <w:rPr>
          <w:rFonts w:hint="eastAsia"/>
        </w:rPr>
        <w:t>生产计划</w:t>
      </w:r>
      <w:r>
        <w:tab/>
      </w:r>
      <w:r>
        <w:fldChar w:fldCharType="begin"/>
      </w:r>
      <w:r>
        <w:instrText xml:space="preserve"> PAGEREF _Toc17370 \h </w:instrText>
      </w:r>
      <w:r>
        <w:fldChar w:fldCharType="separate"/>
      </w:r>
      <w:r>
        <w:t>41</w:t>
      </w:r>
      <w:r>
        <w:fldChar w:fldCharType="end"/>
      </w:r>
      <w:r>
        <w:fldChar w:fldCharType="end"/>
      </w:r>
    </w:p>
    <w:p>
      <w:pPr>
        <w:pStyle w:val="26"/>
        <w:tabs>
          <w:tab w:val="right" w:leader="dot" w:pos="8306"/>
        </w:tabs>
      </w:pPr>
      <w:r>
        <w:fldChar w:fldCharType="begin"/>
      </w:r>
      <w:r>
        <w:instrText xml:space="preserve"> HYPERLINK \l _Toc13664 </w:instrText>
      </w:r>
      <w:r>
        <w:fldChar w:fldCharType="separate"/>
      </w:r>
      <w:r>
        <w:rPr>
          <w:rFonts w:hint="eastAsia"/>
          <w:lang w:val="en-US" w:eastAsia="zh-CN"/>
        </w:rPr>
        <w:t>（二）</w:t>
      </w:r>
      <w:r>
        <w:rPr>
          <w:rFonts w:hint="eastAsia"/>
        </w:rPr>
        <w:t>供货方案</w:t>
      </w:r>
      <w:r>
        <w:tab/>
      </w:r>
      <w:r>
        <w:fldChar w:fldCharType="begin"/>
      </w:r>
      <w:r>
        <w:instrText xml:space="preserve"> PAGEREF _Toc13664 \h </w:instrText>
      </w:r>
      <w:r>
        <w:fldChar w:fldCharType="separate"/>
      </w:r>
      <w:r>
        <w:t>43</w:t>
      </w:r>
      <w:r>
        <w:fldChar w:fldCharType="end"/>
      </w:r>
      <w:r>
        <w:fldChar w:fldCharType="end"/>
      </w:r>
    </w:p>
    <w:p>
      <w:pPr>
        <w:pStyle w:val="20"/>
        <w:tabs>
          <w:tab w:val="right" w:leader="dot" w:pos="8306"/>
        </w:tabs>
      </w:pPr>
      <w:r>
        <w:fldChar w:fldCharType="begin"/>
      </w:r>
      <w:r>
        <w:instrText xml:space="preserve"> HYPERLINK \l _Toc25264 </w:instrText>
      </w:r>
      <w:r>
        <w:fldChar w:fldCharType="separate"/>
      </w:r>
      <w:r>
        <w:rPr>
          <w:rFonts w:hint="eastAsia"/>
          <w:lang w:val="en-US" w:eastAsia="zh-CN"/>
        </w:rPr>
        <w:t>七、</w:t>
      </w:r>
      <w:r>
        <w:rPr>
          <w:rFonts w:hint="eastAsia"/>
        </w:rPr>
        <w:t>供货响应方案</w:t>
      </w:r>
      <w:r>
        <w:tab/>
      </w:r>
      <w:r>
        <w:fldChar w:fldCharType="begin"/>
      </w:r>
      <w:r>
        <w:instrText xml:space="preserve"> PAGEREF _Toc25264 \h </w:instrText>
      </w:r>
      <w:r>
        <w:fldChar w:fldCharType="separate"/>
      </w:r>
      <w:r>
        <w:t>45</w:t>
      </w:r>
      <w:r>
        <w:fldChar w:fldCharType="end"/>
      </w:r>
      <w:r>
        <w:fldChar w:fldCharType="end"/>
      </w:r>
    </w:p>
    <w:p>
      <w:pPr>
        <w:pStyle w:val="26"/>
        <w:tabs>
          <w:tab w:val="right" w:leader="dot" w:pos="8306"/>
        </w:tabs>
      </w:pPr>
      <w:r>
        <w:fldChar w:fldCharType="begin"/>
      </w:r>
      <w:r>
        <w:instrText xml:space="preserve"> HYPERLINK \l _Toc25861 </w:instrText>
      </w:r>
      <w:r>
        <w:fldChar w:fldCharType="separate"/>
      </w:r>
      <w:r>
        <w:rPr>
          <w:rFonts w:hint="eastAsia"/>
          <w:lang w:val="en-US" w:eastAsia="zh-CN"/>
        </w:rPr>
        <w:t>（一）</w:t>
      </w:r>
      <w:r>
        <w:rPr>
          <w:rFonts w:hint="eastAsia"/>
        </w:rPr>
        <w:t>响应程序</w:t>
      </w:r>
      <w:r>
        <w:tab/>
      </w:r>
      <w:r>
        <w:fldChar w:fldCharType="begin"/>
      </w:r>
      <w:r>
        <w:instrText xml:space="preserve"> PAGEREF _Toc25861 \h </w:instrText>
      </w:r>
      <w:r>
        <w:fldChar w:fldCharType="separate"/>
      </w:r>
      <w:r>
        <w:t>45</w:t>
      </w:r>
      <w:r>
        <w:fldChar w:fldCharType="end"/>
      </w:r>
      <w:r>
        <w:fldChar w:fldCharType="end"/>
      </w:r>
    </w:p>
    <w:p>
      <w:pPr>
        <w:pStyle w:val="26"/>
        <w:tabs>
          <w:tab w:val="right" w:leader="dot" w:pos="8306"/>
        </w:tabs>
      </w:pPr>
      <w:r>
        <w:fldChar w:fldCharType="begin"/>
      </w:r>
      <w:r>
        <w:instrText xml:space="preserve"> HYPERLINK \l _Toc20323 </w:instrText>
      </w:r>
      <w:r>
        <w:fldChar w:fldCharType="separate"/>
      </w:r>
      <w:r>
        <w:rPr>
          <w:rFonts w:hint="eastAsia"/>
          <w:lang w:val="en-US" w:eastAsia="zh-CN"/>
        </w:rPr>
        <w:t>（二）</w:t>
      </w:r>
      <w:r>
        <w:rPr>
          <w:rFonts w:hint="eastAsia"/>
        </w:rPr>
        <w:t>响应原则</w:t>
      </w:r>
      <w:r>
        <w:tab/>
      </w:r>
      <w:r>
        <w:fldChar w:fldCharType="begin"/>
      </w:r>
      <w:r>
        <w:instrText xml:space="preserve"> PAGEREF _Toc20323 \h </w:instrText>
      </w:r>
      <w:r>
        <w:fldChar w:fldCharType="separate"/>
      </w:r>
      <w:r>
        <w:t>45</w:t>
      </w:r>
      <w:r>
        <w:fldChar w:fldCharType="end"/>
      </w:r>
      <w:r>
        <w:fldChar w:fldCharType="end"/>
      </w:r>
    </w:p>
    <w:p>
      <w:pPr>
        <w:pStyle w:val="26"/>
        <w:tabs>
          <w:tab w:val="right" w:leader="dot" w:pos="8306"/>
        </w:tabs>
      </w:pPr>
      <w:r>
        <w:fldChar w:fldCharType="begin"/>
      </w:r>
      <w:r>
        <w:instrText xml:space="preserve"> HYPERLINK \l _Toc19363 </w:instrText>
      </w:r>
      <w:r>
        <w:fldChar w:fldCharType="separate"/>
      </w:r>
      <w:r>
        <w:rPr>
          <w:rFonts w:hint="eastAsia"/>
          <w:lang w:val="en-US" w:eastAsia="zh-CN"/>
        </w:rPr>
        <w:t>（三）</w:t>
      </w:r>
      <w:r>
        <w:rPr>
          <w:rFonts w:hint="eastAsia"/>
        </w:rPr>
        <w:t>响应时间</w:t>
      </w:r>
      <w:r>
        <w:tab/>
      </w:r>
      <w:r>
        <w:fldChar w:fldCharType="begin"/>
      </w:r>
      <w:r>
        <w:instrText xml:space="preserve"> PAGEREF _Toc19363 \h </w:instrText>
      </w:r>
      <w:r>
        <w:fldChar w:fldCharType="separate"/>
      </w:r>
      <w:r>
        <w:t>47</w:t>
      </w:r>
      <w:r>
        <w:fldChar w:fldCharType="end"/>
      </w:r>
      <w:r>
        <w:fldChar w:fldCharType="end"/>
      </w:r>
    </w:p>
    <w:p>
      <w:pPr>
        <w:pStyle w:val="20"/>
        <w:tabs>
          <w:tab w:val="right" w:leader="dot" w:pos="8306"/>
        </w:tabs>
      </w:pPr>
      <w:r>
        <w:fldChar w:fldCharType="begin"/>
      </w:r>
      <w:r>
        <w:instrText xml:space="preserve"> HYPERLINK \l _Toc13963 </w:instrText>
      </w:r>
      <w:r>
        <w:fldChar w:fldCharType="separate"/>
      </w:r>
      <w:r>
        <w:rPr>
          <w:rFonts w:hint="eastAsia"/>
          <w:lang w:val="en-US" w:eastAsia="zh-CN"/>
        </w:rPr>
        <w:t>八、</w:t>
      </w:r>
      <w:r>
        <w:rPr>
          <w:rFonts w:hint="eastAsia"/>
        </w:rPr>
        <w:t>产品供应流程</w:t>
      </w:r>
      <w:r>
        <w:tab/>
      </w:r>
      <w:r>
        <w:fldChar w:fldCharType="begin"/>
      </w:r>
      <w:r>
        <w:instrText xml:space="preserve"> PAGEREF _Toc13963 \h </w:instrText>
      </w:r>
      <w:r>
        <w:fldChar w:fldCharType="separate"/>
      </w:r>
      <w:r>
        <w:t>48</w:t>
      </w:r>
      <w:r>
        <w:fldChar w:fldCharType="end"/>
      </w:r>
      <w:r>
        <w:fldChar w:fldCharType="end"/>
      </w:r>
    </w:p>
    <w:p>
      <w:pPr>
        <w:pStyle w:val="26"/>
        <w:tabs>
          <w:tab w:val="right" w:leader="dot" w:pos="8306"/>
        </w:tabs>
      </w:pPr>
      <w:r>
        <w:fldChar w:fldCharType="begin"/>
      </w:r>
      <w:r>
        <w:instrText xml:space="preserve"> HYPERLINK \l _Toc25041 </w:instrText>
      </w:r>
      <w:r>
        <w:fldChar w:fldCharType="separate"/>
      </w:r>
      <w:r>
        <w:rPr>
          <w:rFonts w:hint="eastAsia"/>
          <w:lang w:val="en-US" w:eastAsia="zh-CN"/>
        </w:rPr>
        <w:t>（一）</w:t>
      </w:r>
      <w:r>
        <w:rPr>
          <w:rFonts w:hint="eastAsia"/>
        </w:rPr>
        <w:t>供应计划工作流程</w:t>
      </w:r>
      <w:r>
        <w:tab/>
      </w:r>
      <w:r>
        <w:fldChar w:fldCharType="begin"/>
      </w:r>
      <w:r>
        <w:instrText xml:space="preserve"> PAGEREF _Toc25041 \h </w:instrText>
      </w:r>
      <w:r>
        <w:fldChar w:fldCharType="separate"/>
      </w:r>
      <w:r>
        <w:t>48</w:t>
      </w:r>
      <w:r>
        <w:fldChar w:fldCharType="end"/>
      </w:r>
      <w:r>
        <w:fldChar w:fldCharType="end"/>
      </w:r>
    </w:p>
    <w:p>
      <w:pPr>
        <w:pStyle w:val="26"/>
        <w:tabs>
          <w:tab w:val="right" w:leader="dot" w:pos="8306"/>
        </w:tabs>
      </w:pPr>
      <w:r>
        <w:fldChar w:fldCharType="begin"/>
      </w:r>
      <w:r>
        <w:instrText xml:space="preserve"> HYPERLINK \l _Toc15156 </w:instrText>
      </w:r>
      <w:r>
        <w:fldChar w:fldCharType="separate"/>
      </w:r>
      <w:r>
        <w:rPr>
          <w:rFonts w:hint="eastAsia"/>
          <w:lang w:val="en-US" w:eastAsia="zh-CN"/>
        </w:rPr>
        <w:t>（二）</w:t>
      </w:r>
      <w:r>
        <w:rPr>
          <w:rFonts w:hint="eastAsia"/>
        </w:rPr>
        <w:t>生产过程实施流程</w:t>
      </w:r>
      <w:r>
        <w:tab/>
      </w:r>
      <w:r>
        <w:fldChar w:fldCharType="begin"/>
      </w:r>
      <w:r>
        <w:instrText xml:space="preserve"> PAGEREF _Toc15156 \h </w:instrText>
      </w:r>
      <w:r>
        <w:fldChar w:fldCharType="separate"/>
      </w:r>
      <w:r>
        <w:t>49</w:t>
      </w:r>
      <w:r>
        <w:fldChar w:fldCharType="end"/>
      </w:r>
      <w:r>
        <w:fldChar w:fldCharType="end"/>
      </w:r>
    </w:p>
    <w:p>
      <w:pPr>
        <w:pStyle w:val="26"/>
        <w:tabs>
          <w:tab w:val="right" w:leader="dot" w:pos="8306"/>
        </w:tabs>
      </w:pPr>
      <w:r>
        <w:fldChar w:fldCharType="begin"/>
      </w:r>
      <w:r>
        <w:instrText xml:space="preserve"> HYPERLINK \l _Toc32729 </w:instrText>
      </w:r>
      <w:r>
        <w:fldChar w:fldCharType="separate"/>
      </w:r>
      <w:r>
        <w:rPr>
          <w:rFonts w:hint="eastAsia"/>
          <w:lang w:val="en-US" w:eastAsia="zh-CN"/>
        </w:rPr>
        <w:t>（三）</w:t>
      </w:r>
      <w:r>
        <w:t>生产过程中各职能模块配合流程</w:t>
      </w:r>
      <w:r>
        <w:tab/>
      </w:r>
      <w:r>
        <w:fldChar w:fldCharType="begin"/>
      </w:r>
      <w:r>
        <w:instrText xml:space="preserve"> PAGEREF _Toc32729 \h </w:instrText>
      </w:r>
      <w:r>
        <w:fldChar w:fldCharType="separate"/>
      </w:r>
      <w:r>
        <w:t>50</w:t>
      </w:r>
      <w:r>
        <w:fldChar w:fldCharType="end"/>
      </w:r>
      <w:r>
        <w:fldChar w:fldCharType="end"/>
      </w:r>
    </w:p>
    <w:p>
      <w:pPr>
        <w:pStyle w:val="26"/>
        <w:tabs>
          <w:tab w:val="right" w:leader="dot" w:pos="8306"/>
        </w:tabs>
      </w:pPr>
      <w:r>
        <w:fldChar w:fldCharType="begin"/>
      </w:r>
      <w:r>
        <w:instrText xml:space="preserve"> HYPERLINK \l _Toc22575 </w:instrText>
      </w:r>
      <w:r>
        <w:fldChar w:fldCharType="separate"/>
      </w:r>
      <w:r>
        <w:rPr>
          <w:rFonts w:hint="eastAsia"/>
          <w:lang w:val="en-US" w:eastAsia="zh-CN"/>
        </w:rPr>
        <w:t>（四）</w:t>
      </w:r>
      <w:r>
        <w:t>返工处理作业流程</w:t>
      </w:r>
      <w:r>
        <w:tab/>
      </w:r>
      <w:r>
        <w:fldChar w:fldCharType="begin"/>
      </w:r>
      <w:r>
        <w:instrText xml:space="preserve"> PAGEREF _Toc22575 \h </w:instrText>
      </w:r>
      <w:r>
        <w:fldChar w:fldCharType="separate"/>
      </w:r>
      <w:r>
        <w:t>51</w:t>
      </w:r>
      <w:r>
        <w:fldChar w:fldCharType="end"/>
      </w:r>
      <w:r>
        <w:fldChar w:fldCharType="end"/>
      </w:r>
    </w:p>
    <w:p>
      <w:pPr>
        <w:pStyle w:val="26"/>
        <w:tabs>
          <w:tab w:val="right" w:leader="dot" w:pos="8306"/>
        </w:tabs>
      </w:pPr>
      <w:r>
        <w:fldChar w:fldCharType="begin"/>
      </w:r>
      <w:r>
        <w:instrText xml:space="preserve"> HYPERLINK \l _Toc21071 </w:instrText>
      </w:r>
      <w:r>
        <w:fldChar w:fldCharType="separate"/>
      </w:r>
      <w:r>
        <w:rPr>
          <w:rFonts w:hint="eastAsia"/>
          <w:lang w:val="en-US" w:eastAsia="zh-CN"/>
        </w:rPr>
        <w:t>（五）</w:t>
      </w:r>
      <w:r>
        <w:t>外协计划编制流程图</w:t>
      </w:r>
      <w:r>
        <w:tab/>
      </w:r>
      <w:r>
        <w:fldChar w:fldCharType="begin"/>
      </w:r>
      <w:r>
        <w:instrText xml:space="preserve"> PAGEREF _Toc21071 \h </w:instrText>
      </w:r>
      <w:r>
        <w:fldChar w:fldCharType="separate"/>
      </w:r>
      <w:r>
        <w:t>52</w:t>
      </w:r>
      <w:r>
        <w:fldChar w:fldCharType="end"/>
      </w:r>
      <w:r>
        <w:fldChar w:fldCharType="end"/>
      </w:r>
    </w:p>
    <w:p>
      <w:pPr>
        <w:pStyle w:val="26"/>
        <w:tabs>
          <w:tab w:val="right" w:leader="dot" w:pos="8306"/>
        </w:tabs>
      </w:pPr>
      <w:r>
        <w:fldChar w:fldCharType="begin"/>
      </w:r>
      <w:r>
        <w:instrText xml:space="preserve"> HYPERLINK \l _Toc14521 </w:instrText>
      </w:r>
      <w:r>
        <w:fldChar w:fldCharType="separate"/>
      </w:r>
      <w:r>
        <w:rPr>
          <w:rFonts w:hint="eastAsia"/>
          <w:lang w:val="en-US" w:eastAsia="zh-CN"/>
        </w:rPr>
        <w:t>（六）</w:t>
      </w:r>
      <w:r>
        <w:t>原材料验收管理流程</w:t>
      </w:r>
      <w:r>
        <w:tab/>
      </w:r>
      <w:r>
        <w:fldChar w:fldCharType="begin"/>
      </w:r>
      <w:r>
        <w:instrText xml:space="preserve"> PAGEREF _Toc14521 \h </w:instrText>
      </w:r>
      <w:r>
        <w:fldChar w:fldCharType="separate"/>
      </w:r>
      <w:r>
        <w:t>53</w:t>
      </w:r>
      <w:r>
        <w:fldChar w:fldCharType="end"/>
      </w:r>
      <w:r>
        <w:fldChar w:fldCharType="end"/>
      </w:r>
    </w:p>
    <w:p>
      <w:pPr>
        <w:pStyle w:val="26"/>
        <w:tabs>
          <w:tab w:val="right" w:leader="dot" w:pos="8306"/>
        </w:tabs>
      </w:pPr>
      <w:r>
        <w:fldChar w:fldCharType="begin"/>
      </w:r>
      <w:r>
        <w:instrText xml:space="preserve"> HYPERLINK \l _Toc11402 </w:instrText>
      </w:r>
      <w:r>
        <w:fldChar w:fldCharType="separate"/>
      </w:r>
      <w:r>
        <w:rPr>
          <w:rFonts w:hint="eastAsia"/>
          <w:lang w:val="en-US" w:eastAsia="zh-CN"/>
        </w:rPr>
        <w:t>（七）</w:t>
      </w:r>
      <w:r>
        <w:t>成品出货质检流程</w:t>
      </w:r>
      <w:r>
        <w:tab/>
      </w:r>
      <w:r>
        <w:fldChar w:fldCharType="begin"/>
      </w:r>
      <w:r>
        <w:instrText xml:space="preserve"> PAGEREF _Toc11402 \h </w:instrText>
      </w:r>
      <w:r>
        <w:fldChar w:fldCharType="separate"/>
      </w:r>
      <w:r>
        <w:t>54</w:t>
      </w:r>
      <w:r>
        <w:fldChar w:fldCharType="end"/>
      </w:r>
      <w:r>
        <w:fldChar w:fldCharType="end"/>
      </w:r>
    </w:p>
    <w:p>
      <w:pPr>
        <w:pStyle w:val="26"/>
        <w:tabs>
          <w:tab w:val="right" w:leader="dot" w:pos="8306"/>
        </w:tabs>
      </w:pPr>
      <w:r>
        <w:fldChar w:fldCharType="begin"/>
      </w:r>
      <w:r>
        <w:instrText xml:space="preserve"> HYPERLINK \l _Toc11158 </w:instrText>
      </w:r>
      <w:r>
        <w:fldChar w:fldCharType="separate"/>
      </w:r>
      <w:r>
        <w:rPr>
          <w:rFonts w:hint="eastAsia"/>
          <w:lang w:val="en-US" w:eastAsia="zh-CN"/>
        </w:rPr>
        <w:t>（八）</w:t>
      </w:r>
      <w:r>
        <w:t>产品生产质量控制流程</w:t>
      </w:r>
      <w:r>
        <w:tab/>
      </w:r>
      <w:r>
        <w:fldChar w:fldCharType="begin"/>
      </w:r>
      <w:r>
        <w:instrText xml:space="preserve"> PAGEREF _Toc11158 \h </w:instrText>
      </w:r>
      <w:r>
        <w:fldChar w:fldCharType="separate"/>
      </w:r>
      <w:r>
        <w:t>55</w:t>
      </w:r>
      <w:r>
        <w:fldChar w:fldCharType="end"/>
      </w:r>
      <w:r>
        <w:fldChar w:fldCharType="end"/>
      </w:r>
    </w:p>
    <w:p>
      <w:pPr>
        <w:pStyle w:val="26"/>
        <w:tabs>
          <w:tab w:val="right" w:leader="dot" w:pos="8306"/>
        </w:tabs>
      </w:pPr>
      <w:r>
        <w:fldChar w:fldCharType="begin"/>
      </w:r>
      <w:r>
        <w:instrText xml:space="preserve"> HYPERLINK \l _Toc28645 </w:instrText>
      </w:r>
      <w:r>
        <w:fldChar w:fldCharType="separate"/>
      </w:r>
      <w:r>
        <w:rPr>
          <w:rFonts w:hint="eastAsia"/>
          <w:lang w:val="en-US" w:eastAsia="zh-CN"/>
        </w:rPr>
        <w:t>（九）</w:t>
      </w:r>
      <w:r>
        <w:t>生产过程质量检验流程</w:t>
      </w:r>
      <w:r>
        <w:tab/>
      </w:r>
      <w:r>
        <w:fldChar w:fldCharType="begin"/>
      </w:r>
      <w:r>
        <w:instrText xml:space="preserve"> PAGEREF _Toc28645 \h </w:instrText>
      </w:r>
      <w:r>
        <w:fldChar w:fldCharType="separate"/>
      </w:r>
      <w:r>
        <w:t>56</w:t>
      </w:r>
      <w:r>
        <w:fldChar w:fldCharType="end"/>
      </w:r>
      <w:r>
        <w:fldChar w:fldCharType="end"/>
      </w:r>
    </w:p>
    <w:p>
      <w:pPr>
        <w:pStyle w:val="26"/>
        <w:tabs>
          <w:tab w:val="right" w:leader="dot" w:pos="8306"/>
        </w:tabs>
      </w:pPr>
      <w:r>
        <w:fldChar w:fldCharType="begin"/>
      </w:r>
      <w:r>
        <w:instrText xml:space="preserve"> HYPERLINK \l _Toc11221 </w:instrText>
      </w:r>
      <w:r>
        <w:fldChar w:fldCharType="separate"/>
      </w:r>
      <w:r>
        <w:rPr>
          <w:rFonts w:hint="eastAsia"/>
          <w:lang w:val="en-US" w:eastAsia="zh-CN"/>
        </w:rPr>
        <w:t>（十）</w:t>
      </w:r>
      <w:r>
        <w:t>进货检验不合格处理流程</w:t>
      </w:r>
      <w:r>
        <w:tab/>
      </w:r>
      <w:r>
        <w:fldChar w:fldCharType="begin"/>
      </w:r>
      <w:r>
        <w:instrText xml:space="preserve"> PAGEREF _Toc11221 \h </w:instrText>
      </w:r>
      <w:r>
        <w:fldChar w:fldCharType="separate"/>
      </w:r>
      <w:r>
        <w:t>57</w:t>
      </w:r>
      <w:r>
        <w:fldChar w:fldCharType="end"/>
      </w:r>
      <w:r>
        <w:fldChar w:fldCharType="end"/>
      </w:r>
    </w:p>
    <w:p>
      <w:pPr>
        <w:pStyle w:val="28"/>
        <w:tabs>
          <w:tab w:val="right" w:leader="dot" w:pos="8306"/>
        </w:tabs>
      </w:pPr>
      <w:r>
        <w:fldChar w:fldCharType="begin"/>
      </w:r>
      <w:r>
        <w:instrText xml:space="preserve"> HYPERLINK \l _Toc13794 </w:instrText>
      </w:r>
      <w:r>
        <w:fldChar w:fldCharType="separate"/>
      </w:r>
      <w:r>
        <w:rPr>
          <w:rFonts w:hint="eastAsia"/>
          <w:lang w:val="en-US" w:eastAsia="zh-CN"/>
        </w:rPr>
        <w:t xml:space="preserve">第三节  </w:t>
      </w:r>
      <w:r>
        <w:rPr>
          <w:rFonts w:hint="eastAsia"/>
        </w:rPr>
        <w:t>项目保障方案</w:t>
      </w:r>
      <w:r>
        <w:tab/>
      </w:r>
      <w:r>
        <w:fldChar w:fldCharType="begin"/>
      </w:r>
      <w:r>
        <w:instrText xml:space="preserve"> PAGEREF _Toc13794 \h </w:instrText>
      </w:r>
      <w:r>
        <w:fldChar w:fldCharType="separate"/>
      </w:r>
      <w:r>
        <w:t>58</w:t>
      </w:r>
      <w:r>
        <w:fldChar w:fldCharType="end"/>
      </w:r>
      <w:r>
        <w:fldChar w:fldCharType="end"/>
      </w:r>
    </w:p>
    <w:p>
      <w:pPr>
        <w:pStyle w:val="20"/>
        <w:tabs>
          <w:tab w:val="right" w:leader="dot" w:pos="8306"/>
        </w:tabs>
      </w:pPr>
      <w:r>
        <w:fldChar w:fldCharType="begin"/>
      </w:r>
      <w:r>
        <w:instrText xml:space="preserve"> HYPERLINK \l _Toc5328 </w:instrText>
      </w:r>
      <w:r>
        <w:fldChar w:fldCharType="separate"/>
      </w:r>
      <w:r>
        <w:rPr>
          <w:rFonts w:hint="eastAsia"/>
          <w:lang w:val="en-US" w:eastAsia="zh-CN"/>
        </w:rPr>
        <w:t>一、</w:t>
      </w:r>
      <w:r>
        <w:rPr>
          <w:rFonts w:hint="eastAsia"/>
        </w:rPr>
        <w:t>人员保障</w:t>
      </w:r>
      <w:r>
        <w:tab/>
      </w:r>
      <w:r>
        <w:fldChar w:fldCharType="begin"/>
      </w:r>
      <w:r>
        <w:instrText xml:space="preserve"> PAGEREF _Toc5328 \h </w:instrText>
      </w:r>
      <w:r>
        <w:fldChar w:fldCharType="separate"/>
      </w:r>
      <w:r>
        <w:t>58</w:t>
      </w:r>
      <w:r>
        <w:fldChar w:fldCharType="end"/>
      </w:r>
      <w:r>
        <w:fldChar w:fldCharType="end"/>
      </w:r>
    </w:p>
    <w:p>
      <w:pPr>
        <w:pStyle w:val="20"/>
        <w:tabs>
          <w:tab w:val="right" w:leader="dot" w:pos="8306"/>
        </w:tabs>
      </w:pPr>
      <w:r>
        <w:fldChar w:fldCharType="begin"/>
      </w:r>
      <w:r>
        <w:instrText xml:space="preserve"> HYPERLINK \l _Toc7348 </w:instrText>
      </w:r>
      <w:r>
        <w:fldChar w:fldCharType="separate"/>
      </w:r>
      <w:r>
        <w:rPr>
          <w:rFonts w:hint="eastAsia"/>
          <w:lang w:val="en-US" w:eastAsia="zh-CN"/>
        </w:rPr>
        <w:t>二、</w:t>
      </w:r>
      <w:r>
        <w:rPr>
          <w:rFonts w:hint="eastAsia"/>
        </w:rPr>
        <w:t>组织保障</w:t>
      </w:r>
      <w:r>
        <w:tab/>
      </w:r>
      <w:r>
        <w:fldChar w:fldCharType="begin"/>
      </w:r>
      <w:r>
        <w:instrText xml:space="preserve"> PAGEREF _Toc7348 \h </w:instrText>
      </w:r>
      <w:r>
        <w:fldChar w:fldCharType="separate"/>
      </w:r>
      <w:r>
        <w:t>59</w:t>
      </w:r>
      <w:r>
        <w:fldChar w:fldCharType="end"/>
      </w:r>
      <w:r>
        <w:fldChar w:fldCharType="end"/>
      </w:r>
    </w:p>
    <w:p>
      <w:pPr>
        <w:pStyle w:val="20"/>
        <w:tabs>
          <w:tab w:val="right" w:leader="dot" w:pos="8306"/>
        </w:tabs>
      </w:pPr>
      <w:r>
        <w:fldChar w:fldCharType="begin"/>
      </w:r>
      <w:r>
        <w:instrText xml:space="preserve"> HYPERLINK \l _Toc816 </w:instrText>
      </w:r>
      <w:r>
        <w:fldChar w:fldCharType="separate"/>
      </w:r>
      <w:r>
        <w:rPr>
          <w:rFonts w:hint="eastAsia"/>
          <w:lang w:val="en-US" w:eastAsia="zh-CN"/>
        </w:rPr>
        <w:t>三、</w:t>
      </w:r>
      <w:r>
        <w:rPr>
          <w:rFonts w:hint="eastAsia"/>
        </w:rPr>
        <w:t>技术保障</w:t>
      </w:r>
      <w:r>
        <w:tab/>
      </w:r>
      <w:r>
        <w:fldChar w:fldCharType="begin"/>
      </w:r>
      <w:r>
        <w:instrText xml:space="preserve"> PAGEREF _Toc816 \h </w:instrText>
      </w:r>
      <w:r>
        <w:fldChar w:fldCharType="separate"/>
      </w:r>
      <w:r>
        <w:t>59</w:t>
      </w:r>
      <w:r>
        <w:fldChar w:fldCharType="end"/>
      </w:r>
      <w:r>
        <w:fldChar w:fldCharType="end"/>
      </w:r>
    </w:p>
    <w:p>
      <w:pPr>
        <w:pStyle w:val="20"/>
        <w:tabs>
          <w:tab w:val="right" w:leader="dot" w:pos="8306"/>
        </w:tabs>
      </w:pPr>
      <w:r>
        <w:fldChar w:fldCharType="begin"/>
      </w:r>
      <w:r>
        <w:instrText xml:space="preserve"> HYPERLINK \l _Toc20658 </w:instrText>
      </w:r>
      <w:r>
        <w:fldChar w:fldCharType="separate"/>
      </w:r>
      <w:r>
        <w:rPr>
          <w:rFonts w:hint="eastAsia"/>
          <w:lang w:val="en-US" w:eastAsia="zh-CN"/>
        </w:rPr>
        <w:t>四、</w:t>
      </w:r>
      <w:r>
        <w:rPr>
          <w:rFonts w:hint="eastAsia"/>
        </w:rPr>
        <w:t>经济保障</w:t>
      </w:r>
      <w:r>
        <w:tab/>
      </w:r>
      <w:r>
        <w:fldChar w:fldCharType="begin"/>
      </w:r>
      <w:r>
        <w:instrText xml:space="preserve"> PAGEREF _Toc20658 \h </w:instrText>
      </w:r>
      <w:r>
        <w:fldChar w:fldCharType="separate"/>
      </w:r>
      <w:r>
        <w:t>60</w:t>
      </w:r>
      <w:r>
        <w:fldChar w:fldCharType="end"/>
      </w:r>
      <w:r>
        <w:fldChar w:fldCharType="end"/>
      </w:r>
    </w:p>
    <w:p>
      <w:pPr>
        <w:pStyle w:val="20"/>
        <w:tabs>
          <w:tab w:val="right" w:leader="dot" w:pos="8306"/>
        </w:tabs>
      </w:pPr>
      <w:r>
        <w:fldChar w:fldCharType="begin"/>
      </w:r>
      <w:r>
        <w:instrText xml:space="preserve"> HYPERLINK \l _Toc13046 </w:instrText>
      </w:r>
      <w:r>
        <w:fldChar w:fldCharType="separate"/>
      </w:r>
      <w:r>
        <w:rPr>
          <w:rFonts w:hint="eastAsia"/>
          <w:lang w:val="en-US" w:eastAsia="zh-CN"/>
        </w:rPr>
        <w:t>五、</w:t>
      </w:r>
      <w:r>
        <w:rPr>
          <w:rFonts w:hint="eastAsia"/>
        </w:rPr>
        <w:t>合同保障</w:t>
      </w:r>
      <w:r>
        <w:tab/>
      </w:r>
      <w:r>
        <w:fldChar w:fldCharType="begin"/>
      </w:r>
      <w:r>
        <w:instrText xml:space="preserve"> PAGEREF _Toc13046 \h </w:instrText>
      </w:r>
      <w:r>
        <w:fldChar w:fldCharType="separate"/>
      </w:r>
      <w:r>
        <w:t>60</w:t>
      </w:r>
      <w:r>
        <w:fldChar w:fldCharType="end"/>
      </w:r>
      <w:r>
        <w:fldChar w:fldCharType="end"/>
      </w:r>
    </w:p>
    <w:p>
      <w:pPr>
        <w:pStyle w:val="20"/>
        <w:tabs>
          <w:tab w:val="right" w:leader="dot" w:pos="8306"/>
        </w:tabs>
      </w:pPr>
      <w:r>
        <w:fldChar w:fldCharType="begin"/>
      </w:r>
      <w:r>
        <w:instrText xml:space="preserve"> HYPERLINK \l _Toc704 </w:instrText>
      </w:r>
      <w:r>
        <w:fldChar w:fldCharType="separate"/>
      </w:r>
      <w:r>
        <w:rPr>
          <w:rFonts w:hint="eastAsia"/>
          <w:lang w:val="en-US" w:eastAsia="zh-CN"/>
        </w:rPr>
        <w:t>六、</w:t>
      </w:r>
      <w:r>
        <w:rPr>
          <w:rFonts w:hint="eastAsia"/>
        </w:rPr>
        <w:t>信息管理</w:t>
      </w:r>
      <w:r>
        <w:tab/>
      </w:r>
      <w:r>
        <w:fldChar w:fldCharType="begin"/>
      </w:r>
      <w:r>
        <w:instrText xml:space="preserve"> PAGEREF _Toc704 \h </w:instrText>
      </w:r>
      <w:r>
        <w:fldChar w:fldCharType="separate"/>
      </w:r>
      <w:r>
        <w:t>61</w:t>
      </w:r>
      <w:r>
        <w:fldChar w:fldCharType="end"/>
      </w:r>
      <w:r>
        <w:fldChar w:fldCharType="end"/>
      </w:r>
    </w:p>
    <w:p>
      <w:pPr>
        <w:pStyle w:val="20"/>
        <w:tabs>
          <w:tab w:val="right" w:leader="dot" w:pos="8306"/>
        </w:tabs>
      </w:pPr>
      <w:r>
        <w:fldChar w:fldCharType="begin"/>
      </w:r>
      <w:r>
        <w:instrText xml:space="preserve"> HYPERLINK \l _Toc27347 </w:instrText>
      </w:r>
      <w:r>
        <w:fldChar w:fldCharType="separate"/>
      </w:r>
      <w:r>
        <w:rPr>
          <w:rFonts w:hint="eastAsia"/>
          <w:lang w:val="en-US" w:eastAsia="zh-CN"/>
        </w:rPr>
        <w:t>七、</w:t>
      </w:r>
      <w:r>
        <w:rPr>
          <w:rFonts w:hint="eastAsia"/>
        </w:rPr>
        <w:t>运输保障</w:t>
      </w:r>
      <w:r>
        <w:tab/>
      </w:r>
      <w:r>
        <w:fldChar w:fldCharType="begin"/>
      </w:r>
      <w:r>
        <w:instrText xml:space="preserve"> PAGEREF _Toc27347 \h </w:instrText>
      </w:r>
      <w:r>
        <w:fldChar w:fldCharType="separate"/>
      </w:r>
      <w:r>
        <w:t>61</w:t>
      </w:r>
      <w:r>
        <w:fldChar w:fldCharType="end"/>
      </w:r>
      <w:r>
        <w:fldChar w:fldCharType="end"/>
      </w:r>
    </w:p>
    <w:p>
      <w:pPr>
        <w:pStyle w:val="20"/>
        <w:tabs>
          <w:tab w:val="right" w:leader="dot" w:pos="8306"/>
        </w:tabs>
      </w:pPr>
      <w:r>
        <w:fldChar w:fldCharType="begin"/>
      </w:r>
      <w:r>
        <w:instrText xml:space="preserve"> HYPERLINK \l _Toc15032 </w:instrText>
      </w:r>
      <w:r>
        <w:fldChar w:fldCharType="separate"/>
      </w:r>
      <w:r>
        <w:rPr>
          <w:rFonts w:hint="eastAsia"/>
          <w:lang w:val="en-US" w:eastAsia="zh-CN"/>
        </w:rPr>
        <w:t>八、</w:t>
      </w:r>
      <w:r>
        <w:rPr>
          <w:rFonts w:hint="eastAsia"/>
        </w:rPr>
        <w:t>应急保障</w:t>
      </w:r>
      <w:r>
        <w:tab/>
      </w:r>
      <w:r>
        <w:fldChar w:fldCharType="begin"/>
      </w:r>
      <w:r>
        <w:instrText xml:space="preserve"> PAGEREF _Toc15032 \h </w:instrText>
      </w:r>
      <w:r>
        <w:fldChar w:fldCharType="separate"/>
      </w:r>
      <w:r>
        <w:t>61</w:t>
      </w:r>
      <w:r>
        <w:fldChar w:fldCharType="end"/>
      </w:r>
      <w:r>
        <w:fldChar w:fldCharType="end"/>
      </w:r>
    </w:p>
    <w:p>
      <w:pPr>
        <w:pStyle w:val="20"/>
        <w:tabs>
          <w:tab w:val="right" w:leader="dot" w:pos="8306"/>
        </w:tabs>
      </w:pPr>
      <w:r>
        <w:fldChar w:fldCharType="begin"/>
      </w:r>
      <w:r>
        <w:instrText xml:space="preserve"> HYPERLINK \l _Toc18272 </w:instrText>
      </w:r>
      <w:r>
        <w:fldChar w:fldCharType="separate"/>
      </w:r>
      <w:r>
        <w:rPr>
          <w:rFonts w:hint="eastAsia"/>
          <w:lang w:val="en-US" w:eastAsia="zh-CN"/>
        </w:rPr>
        <w:t>九、</w:t>
      </w:r>
      <w:r>
        <w:rPr>
          <w:rFonts w:hint="eastAsia"/>
        </w:rPr>
        <w:t>沟通保障</w:t>
      </w:r>
      <w:r>
        <w:tab/>
      </w:r>
      <w:r>
        <w:fldChar w:fldCharType="begin"/>
      </w:r>
      <w:r>
        <w:instrText xml:space="preserve"> PAGEREF _Toc18272 \h </w:instrText>
      </w:r>
      <w:r>
        <w:fldChar w:fldCharType="separate"/>
      </w:r>
      <w:r>
        <w:t>62</w:t>
      </w:r>
      <w:r>
        <w:fldChar w:fldCharType="end"/>
      </w:r>
      <w:r>
        <w:fldChar w:fldCharType="end"/>
      </w:r>
    </w:p>
    <w:p>
      <w:pPr>
        <w:pStyle w:val="28"/>
        <w:tabs>
          <w:tab w:val="right" w:leader="dot" w:pos="8306"/>
        </w:tabs>
      </w:pPr>
      <w:r>
        <w:fldChar w:fldCharType="begin"/>
      </w:r>
      <w:r>
        <w:instrText xml:space="preserve"> HYPERLINK \l _Toc11857 </w:instrText>
      </w:r>
      <w:r>
        <w:fldChar w:fldCharType="separate"/>
      </w:r>
      <w:r>
        <w:rPr>
          <w:rFonts w:hint="eastAsia"/>
          <w:lang w:val="en-US" w:eastAsia="zh-CN"/>
        </w:rPr>
        <w:t xml:space="preserve">第四节  </w:t>
      </w:r>
      <w:r>
        <w:rPr>
          <w:rFonts w:hint="eastAsia"/>
        </w:rPr>
        <w:t>项目实施的承诺</w:t>
      </w:r>
      <w:r>
        <w:tab/>
      </w:r>
      <w:r>
        <w:fldChar w:fldCharType="begin"/>
      </w:r>
      <w:r>
        <w:instrText xml:space="preserve"> PAGEREF _Toc11857 \h </w:instrText>
      </w:r>
      <w:r>
        <w:fldChar w:fldCharType="separate"/>
      </w:r>
      <w:r>
        <w:t>63</w:t>
      </w:r>
      <w:r>
        <w:fldChar w:fldCharType="end"/>
      </w:r>
      <w:r>
        <w:fldChar w:fldCharType="end"/>
      </w:r>
    </w:p>
    <w:p>
      <w:pPr>
        <w:pStyle w:val="20"/>
        <w:tabs>
          <w:tab w:val="right" w:leader="dot" w:pos="8306"/>
        </w:tabs>
      </w:pPr>
      <w:r>
        <w:fldChar w:fldCharType="begin"/>
      </w:r>
      <w:r>
        <w:instrText xml:space="preserve"> HYPERLINK \l _Toc3314 </w:instrText>
      </w:r>
      <w:r>
        <w:fldChar w:fldCharType="separate"/>
      </w:r>
      <w:r>
        <w:rPr>
          <w:rFonts w:hint="eastAsia"/>
          <w:lang w:val="en-US" w:eastAsia="zh-CN"/>
        </w:rPr>
        <w:t>一、</w:t>
      </w:r>
      <w:r>
        <w:rPr>
          <w:rFonts w:hint="eastAsia"/>
        </w:rPr>
        <w:t>项目管理承诺</w:t>
      </w:r>
      <w:r>
        <w:tab/>
      </w:r>
      <w:r>
        <w:fldChar w:fldCharType="begin"/>
      </w:r>
      <w:r>
        <w:instrText xml:space="preserve"> PAGEREF _Toc3314 \h </w:instrText>
      </w:r>
      <w:r>
        <w:fldChar w:fldCharType="separate"/>
      </w:r>
      <w:r>
        <w:t>63</w:t>
      </w:r>
      <w:r>
        <w:fldChar w:fldCharType="end"/>
      </w:r>
      <w:r>
        <w:fldChar w:fldCharType="end"/>
      </w:r>
    </w:p>
    <w:p>
      <w:pPr>
        <w:pStyle w:val="20"/>
        <w:tabs>
          <w:tab w:val="right" w:leader="dot" w:pos="8306"/>
        </w:tabs>
      </w:pPr>
      <w:r>
        <w:fldChar w:fldCharType="begin"/>
      </w:r>
      <w:r>
        <w:instrText xml:space="preserve"> HYPERLINK \l _Toc18464 </w:instrText>
      </w:r>
      <w:r>
        <w:fldChar w:fldCharType="separate"/>
      </w:r>
      <w:r>
        <w:rPr>
          <w:rFonts w:hint="eastAsia"/>
          <w:lang w:val="en-US" w:eastAsia="zh-CN"/>
        </w:rPr>
        <w:t>二、</w:t>
      </w:r>
      <w:r>
        <w:rPr>
          <w:rFonts w:hint="eastAsia"/>
        </w:rPr>
        <w:t>项目进度承诺</w:t>
      </w:r>
      <w:r>
        <w:tab/>
      </w:r>
      <w:r>
        <w:fldChar w:fldCharType="begin"/>
      </w:r>
      <w:r>
        <w:instrText xml:space="preserve"> PAGEREF _Toc18464 \h </w:instrText>
      </w:r>
      <w:r>
        <w:fldChar w:fldCharType="separate"/>
      </w:r>
      <w:r>
        <w:t>64</w:t>
      </w:r>
      <w:r>
        <w:fldChar w:fldCharType="end"/>
      </w:r>
      <w:r>
        <w:fldChar w:fldCharType="end"/>
      </w:r>
    </w:p>
    <w:p>
      <w:pPr>
        <w:pStyle w:val="28"/>
        <w:tabs>
          <w:tab w:val="right" w:leader="dot" w:pos="8306"/>
        </w:tabs>
      </w:pPr>
      <w:r>
        <w:fldChar w:fldCharType="begin"/>
      </w:r>
      <w:r>
        <w:instrText xml:space="preserve"> HYPERLINK \l _Toc7447 </w:instrText>
      </w:r>
      <w:r>
        <w:fldChar w:fldCharType="separate"/>
      </w:r>
      <w:r>
        <w:rPr>
          <w:rFonts w:hint="eastAsia"/>
          <w:lang w:val="en-US" w:eastAsia="zh-CN"/>
        </w:rPr>
        <w:t xml:space="preserve">第五节  </w:t>
      </w:r>
      <w:r>
        <w:rPr>
          <w:rFonts w:hint="eastAsia"/>
        </w:rPr>
        <w:t>供货组织方案</w:t>
      </w:r>
      <w:r>
        <w:tab/>
      </w:r>
      <w:r>
        <w:fldChar w:fldCharType="begin"/>
      </w:r>
      <w:r>
        <w:instrText xml:space="preserve"> PAGEREF _Toc7447 \h </w:instrText>
      </w:r>
      <w:r>
        <w:fldChar w:fldCharType="separate"/>
      </w:r>
      <w:r>
        <w:t>65</w:t>
      </w:r>
      <w:r>
        <w:fldChar w:fldCharType="end"/>
      </w:r>
      <w:r>
        <w:fldChar w:fldCharType="end"/>
      </w:r>
    </w:p>
    <w:p>
      <w:pPr>
        <w:pStyle w:val="20"/>
        <w:tabs>
          <w:tab w:val="right" w:leader="dot" w:pos="8306"/>
        </w:tabs>
      </w:pPr>
      <w:r>
        <w:fldChar w:fldCharType="begin"/>
      </w:r>
      <w:r>
        <w:instrText xml:space="preserve"> HYPERLINK \l _Toc10138 </w:instrText>
      </w:r>
      <w:r>
        <w:fldChar w:fldCharType="separate"/>
      </w:r>
      <w:r>
        <w:rPr>
          <w:rFonts w:hint="eastAsia"/>
          <w:lang w:val="en-US" w:eastAsia="zh-CN"/>
        </w:rPr>
        <w:t>一、</w:t>
      </w:r>
      <w:r>
        <w:rPr>
          <w:rFonts w:hint="eastAsia"/>
        </w:rPr>
        <w:t>供货流程图</w:t>
      </w:r>
      <w:r>
        <w:tab/>
      </w:r>
      <w:r>
        <w:fldChar w:fldCharType="begin"/>
      </w:r>
      <w:r>
        <w:instrText xml:space="preserve"> PAGEREF _Toc10138 \h </w:instrText>
      </w:r>
      <w:r>
        <w:fldChar w:fldCharType="separate"/>
      </w:r>
      <w:r>
        <w:t>65</w:t>
      </w:r>
      <w:r>
        <w:fldChar w:fldCharType="end"/>
      </w:r>
      <w:r>
        <w:fldChar w:fldCharType="end"/>
      </w:r>
    </w:p>
    <w:p>
      <w:pPr>
        <w:pStyle w:val="20"/>
        <w:tabs>
          <w:tab w:val="right" w:leader="dot" w:pos="8306"/>
        </w:tabs>
      </w:pPr>
      <w:r>
        <w:fldChar w:fldCharType="begin"/>
      </w:r>
      <w:r>
        <w:instrText xml:space="preserve"> HYPERLINK \l _Toc21768 </w:instrText>
      </w:r>
      <w:r>
        <w:fldChar w:fldCharType="separate"/>
      </w:r>
      <w:r>
        <w:rPr>
          <w:rFonts w:hint="eastAsia"/>
          <w:lang w:val="en-US" w:eastAsia="zh-CN"/>
        </w:rPr>
        <w:t>二、</w:t>
      </w:r>
      <w:r>
        <w:rPr>
          <w:rFonts w:hint="eastAsia"/>
        </w:rPr>
        <w:t>供货实施流程</w:t>
      </w:r>
      <w:r>
        <w:tab/>
      </w:r>
      <w:r>
        <w:fldChar w:fldCharType="begin"/>
      </w:r>
      <w:r>
        <w:instrText xml:space="preserve"> PAGEREF _Toc21768 \h </w:instrText>
      </w:r>
      <w:r>
        <w:fldChar w:fldCharType="separate"/>
      </w:r>
      <w:r>
        <w:t>66</w:t>
      </w:r>
      <w:r>
        <w:fldChar w:fldCharType="end"/>
      </w:r>
      <w:r>
        <w:fldChar w:fldCharType="end"/>
      </w:r>
    </w:p>
    <w:p>
      <w:pPr>
        <w:pStyle w:val="20"/>
        <w:tabs>
          <w:tab w:val="right" w:leader="dot" w:pos="8306"/>
        </w:tabs>
      </w:pPr>
      <w:r>
        <w:fldChar w:fldCharType="begin"/>
      </w:r>
      <w:r>
        <w:instrText xml:space="preserve"> HYPERLINK \l _Toc27210 </w:instrText>
      </w:r>
      <w:r>
        <w:fldChar w:fldCharType="separate"/>
      </w:r>
      <w:r>
        <w:rPr>
          <w:rFonts w:hint="eastAsia"/>
          <w:lang w:val="en-US" w:eastAsia="zh-CN"/>
        </w:rPr>
        <w:t>三、</w:t>
      </w:r>
      <w:r>
        <w:rPr>
          <w:rFonts w:hint="eastAsia"/>
        </w:rPr>
        <w:t>供货措施</w:t>
      </w:r>
      <w:r>
        <w:tab/>
      </w:r>
      <w:r>
        <w:fldChar w:fldCharType="begin"/>
      </w:r>
      <w:r>
        <w:instrText xml:space="preserve"> PAGEREF _Toc27210 \h </w:instrText>
      </w:r>
      <w:r>
        <w:fldChar w:fldCharType="separate"/>
      </w:r>
      <w:r>
        <w:t>67</w:t>
      </w:r>
      <w:r>
        <w:fldChar w:fldCharType="end"/>
      </w:r>
      <w:r>
        <w:fldChar w:fldCharType="end"/>
      </w:r>
    </w:p>
    <w:p>
      <w:pPr>
        <w:pStyle w:val="26"/>
        <w:tabs>
          <w:tab w:val="right" w:leader="dot" w:pos="8306"/>
        </w:tabs>
      </w:pPr>
      <w:r>
        <w:fldChar w:fldCharType="begin"/>
      </w:r>
      <w:r>
        <w:instrText xml:space="preserve"> HYPERLINK \l _Toc1165 </w:instrText>
      </w:r>
      <w:r>
        <w:fldChar w:fldCharType="separate"/>
      </w:r>
      <w:r>
        <w:rPr>
          <w:rFonts w:hint="eastAsia"/>
          <w:lang w:eastAsia="zh-CN"/>
        </w:rPr>
        <w:t>（</w:t>
      </w:r>
      <w:r>
        <w:rPr>
          <w:rFonts w:hint="eastAsia"/>
          <w:lang w:val="en-US" w:eastAsia="zh-CN"/>
        </w:rPr>
        <w:t>一</w:t>
      </w:r>
      <w:r>
        <w:rPr>
          <w:rFonts w:hint="eastAsia"/>
          <w:lang w:eastAsia="zh-CN"/>
        </w:rPr>
        <w:t>）</w:t>
      </w:r>
      <w:r>
        <w:rPr>
          <w:rFonts w:hint="eastAsia"/>
        </w:rPr>
        <w:t>备货计划</w:t>
      </w:r>
      <w:r>
        <w:tab/>
      </w:r>
      <w:r>
        <w:fldChar w:fldCharType="begin"/>
      </w:r>
      <w:r>
        <w:instrText xml:space="preserve"> PAGEREF _Toc1165 \h </w:instrText>
      </w:r>
      <w:r>
        <w:fldChar w:fldCharType="separate"/>
      </w:r>
      <w:r>
        <w:t>67</w:t>
      </w:r>
      <w:r>
        <w:fldChar w:fldCharType="end"/>
      </w:r>
      <w:r>
        <w:fldChar w:fldCharType="end"/>
      </w:r>
    </w:p>
    <w:p>
      <w:pPr>
        <w:pStyle w:val="26"/>
        <w:tabs>
          <w:tab w:val="right" w:leader="dot" w:pos="8306"/>
        </w:tabs>
      </w:pPr>
      <w:r>
        <w:fldChar w:fldCharType="begin"/>
      </w:r>
      <w:r>
        <w:instrText xml:space="preserve"> HYPERLINK \l _Toc20377 </w:instrText>
      </w:r>
      <w:r>
        <w:fldChar w:fldCharType="separate"/>
      </w:r>
      <w:r>
        <w:rPr>
          <w:rFonts w:hint="eastAsia"/>
          <w:lang w:eastAsia="zh-CN"/>
        </w:rPr>
        <w:t>（</w:t>
      </w:r>
      <w:r>
        <w:rPr>
          <w:rFonts w:hint="eastAsia"/>
          <w:lang w:val="en-US" w:eastAsia="zh-CN"/>
        </w:rPr>
        <w:t>二</w:t>
      </w:r>
      <w:r>
        <w:rPr>
          <w:rFonts w:hint="eastAsia"/>
          <w:lang w:eastAsia="zh-CN"/>
        </w:rPr>
        <w:t>）</w:t>
      </w:r>
      <w:r>
        <w:rPr>
          <w:rFonts w:hint="eastAsia"/>
        </w:rPr>
        <w:t>供货进度计划有明确的周期安排</w:t>
      </w:r>
      <w:r>
        <w:tab/>
      </w:r>
      <w:r>
        <w:fldChar w:fldCharType="begin"/>
      </w:r>
      <w:r>
        <w:instrText xml:space="preserve"> PAGEREF _Toc20377 \h </w:instrText>
      </w:r>
      <w:r>
        <w:fldChar w:fldCharType="separate"/>
      </w:r>
      <w:r>
        <w:t>67</w:t>
      </w:r>
      <w:r>
        <w:fldChar w:fldCharType="end"/>
      </w:r>
      <w:r>
        <w:fldChar w:fldCharType="end"/>
      </w:r>
    </w:p>
    <w:p>
      <w:pPr>
        <w:pStyle w:val="26"/>
        <w:tabs>
          <w:tab w:val="right" w:leader="dot" w:pos="8306"/>
        </w:tabs>
      </w:pPr>
      <w:r>
        <w:fldChar w:fldCharType="begin"/>
      </w:r>
      <w:r>
        <w:instrText xml:space="preserve"> HYPERLINK \l _Toc26922 </w:instrText>
      </w:r>
      <w:r>
        <w:fldChar w:fldCharType="separate"/>
      </w:r>
      <w:r>
        <w:rPr>
          <w:rFonts w:hint="eastAsia"/>
          <w:lang w:eastAsia="zh-CN"/>
        </w:rPr>
        <w:t>（</w:t>
      </w:r>
      <w:r>
        <w:rPr>
          <w:rFonts w:hint="eastAsia"/>
          <w:lang w:val="en-US" w:eastAsia="zh-CN"/>
        </w:rPr>
        <w:t>三</w:t>
      </w:r>
      <w:r>
        <w:rPr>
          <w:rFonts w:hint="eastAsia"/>
          <w:lang w:eastAsia="zh-CN"/>
        </w:rPr>
        <w:t>）</w:t>
      </w:r>
      <w:r>
        <w:rPr>
          <w:rFonts w:hint="eastAsia"/>
        </w:rPr>
        <w:t>我公司制定详细的进度安排</w:t>
      </w:r>
      <w:r>
        <w:tab/>
      </w:r>
      <w:r>
        <w:fldChar w:fldCharType="begin"/>
      </w:r>
      <w:r>
        <w:instrText xml:space="preserve"> PAGEREF _Toc26922 \h </w:instrText>
      </w:r>
      <w:r>
        <w:fldChar w:fldCharType="separate"/>
      </w:r>
      <w:r>
        <w:t>68</w:t>
      </w:r>
      <w:r>
        <w:fldChar w:fldCharType="end"/>
      </w:r>
      <w:r>
        <w:fldChar w:fldCharType="end"/>
      </w:r>
    </w:p>
    <w:p>
      <w:pPr>
        <w:pStyle w:val="26"/>
        <w:tabs>
          <w:tab w:val="right" w:leader="dot" w:pos="8306"/>
        </w:tabs>
      </w:pPr>
      <w:r>
        <w:fldChar w:fldCharType="begin"/>
      </w:r>
      <w:r>
        <w:instrText xml:space="preserve"> HYPERLINK \l _Toc5070 </w:instrText>
      </w:r>
      <w:r>
        <w:fldChar w:fldCharType="separate"/>
      </w:r>
      <w:r>
        <w:rPr>
          <w:rFonts w:hint="eastAsia"/>
          <w:lang w:val="en-US" w:eastAsia="zh-CN"/>
        </w:rPr>
        <w:t>（四）</w:t>
      </w:r>
      <w:r>
        <w:rPr>
          <w:rFonts w:hint="eastAsia"/>
        </w:rPr>
        <w:t>验收计划有具体的流程安排</w:t>
      </w:r>
      <w:r>
        <w:tab/>
      </w:r>
      <w:r>
        <w:fldChar w:fldCharType="begin"/>
      </w:r>
      <w:r>
        <w:instrText xml:space="preserve"> PAGEREF _Toc5070 \h </w:instrText>
      </w:r>
      <w:r>
        <w:fldChar w:fldCharType="separate"/>
      </w:r>
      <w:r>
        <w:t>70</w:t>
      </w:r>
      <w:r>
        <w:fldChar w:fldCharType="end"/>
      </w:r>
      <w:r>
        <w:fldChar w:fldCharType="end"/>
      </w:r>
    </w:p>
    <w:p>
      <w:pPr>
        <w:pStyle w:val="20"/>
        <w:tabs>
          <w:tab w:val="right" w:leader="dot" w:pos="8306"/>
        </w:tabs>
      </w:pPr>
      <w:r>
        <w:fldChar w:fldCharType="begin"/>
      </w:r>
      <w:r>
        <w:instrText xml:space="preserve"> HYPERLINK \l _Toc14220 </w:instrText>
      </w:r>
      <w:r>
        <w:fldChar w:fldCharType="separate"/>
      </w:r>
      <w:r>
        <w:rPr>
          <w:rFonts w:hint="eastAsia"/>
          <w:lang w:val="en-US" w:eastAsia="zh-CN"/>
        </w:rPr>
        <w:t>四、</w:t>
      </w:r>
      <w:r>
        <w:rPr>
          <w:rFonts w:hint="eastAsia"/>
        </w:rPr>
        <w:t>供货期的服务保障</w:t>
      </w:r>
      <w:r>
        <w:tab/>
      </w:r>
      <w:r>
        <w:fldChar w:fldCharType="begin"/>
      </w:r>
      <w:r>
        <w:instrText xml:space="preserve"> PAGEREF _Toc14220 \h </w:instrText>
      </w:r>
      <w:r>
        <w:fldChar w:fldCharType="separate"/>
      </w:r>
      <w:r>
        <w:t>72</w:t>
      </w:r>
      <w:r>
        <w:fldChar w:fldCharType="end"/>
      </w:r>
      <w:r>
        <w:fldChar w:fldCharType="end"/>
      </w:r>
    </w:p>
    <w:p>
      <w:pPr>
        <w:pStyle w:val="20"/>
        <w:tabs>
          <w:tab w:val="right" w:leader="dot" w:pos="8306"/>
        </w:tabs>
      </w:pPr>
      <w:r>
        <w:fldChar w:fldCharType="begin"/>
      </w:r>
      <w:r>
        <w:instrText xml:space="preserve"> HYPERLINK \l _Toc1086 </w:instrText>
      </w:r>
      <w:r>
        <w:fldChar w:fldCharType="separate"/>
      </w:r>
      <w:r>
        <w:rPr>
          <w:rFonts w:hint="eastAsia"/>
          <w:lang w:val="en-US" w:eastAsia="zh-CN"/>
        </w:rPr>
        <w:t>五、</w:t>
      </w:r>
      <w:r>
        <w:rPr>
          <w:rFonts w:hint="eastAsia"/>
        </w:rPr>
        <w:t>项目供货</w:t>
      </w:r>
      <w:r>
        <w:tab/>
      </w:r>
      <w:r>
        <w:fldChar w:fldCharType="begin"/>
      </w:r>
      <w:r>
        <w:instrText xml:space="preserve"> PAGEREF _Toc1086 \h </w:instrText>
      </w:r>
      <w:r>
        <w:fldChar w:fldCharType="separate"/>
      </w:r>
      <w:r>
        <w:t>74</w:t>
      </w:r>
      <w:r>
        <w:fldChar w:fldCharType="end"/>
      </w:r>
      <w:r>
        <w:fldChar w:fldCharType="end"/>
      </w:r>
    </w:p>
    <w:p>
      <w:pPr>
        <w:pStyle w:val="20"/>
        <w:tabs>
          <w:tab w:val="right" w:leader="dot" w:pos="8306"/>
        </w:tabs>
      </w:pPr>
      <w:r>
        <w:fldChar w:fldCharType="begin"/>
      </w:r>
      <w:r>
        <w:instrText xml:space="preserve"> HYPERLINK \l _Toc19860 </w:instrText>
      </w:r>
      <w:r>
        <w:fldChar w:fldCharType="separate"/>
      </w:r>
      <w:r>
        <w:rPr>
          <w:rFonts w:hint="eastAsia"/>
          <w:lang w:val="en-US" w:eastAsia="zh-CN"/>
        </w:rPr>
        <w:t>六、</w:t>
      </w:r>
      <w:r>
        <w:rPr>
          <w:rFonts w:hint="eastAsia"/>
        </w:rPr>
        <w:t>供货与验收要求</w:t>
      </w:r>
      <w:r>
        <w:tab/>
      </w:r>
      <w:r>
        <w:fldChar w:fldCharType="begin"/>
      </w:r>
      <w:r>
        <w:instrText xml:space="preserve"> PAGEREF _Toc19860 \h </w:instrText>
      </w:r>
      <w:r>
        <w:fldChar w:fldCharType="separate"/>
      </w:r>
      <w:r>
        <w:t>75</w:t>
      </w:r>
      <w:r>
        <w:fldChar w:fldCharType="end"/>
      </w:r>
      <w:r>
        <w:fldChar w:fldCharType="end"/>
      </w:r>
    </w:p>
    <w:p>
      <w:pPr>
        <w:pStyle w:val="20"/>
        <w:tabs>
          <w:tab w:val="right" w:leader="dot" w:pos="8306"/>
        </w:tabs>
      </w:pPr>
      <w:r>
        <w:fldChar w:fldCharType="begin"/>
      </w:r>
      <w:r>
        <w:instrText xml:space="preserve"> HYPERLINK \l _Toc7614 </w:instrText>
      </w:r>
      <w:r>
        <w:fldChar w:fldCharType="separate"/>
      </w:r>
      <w:r>
        <w:rPr>
          <w:rFonts w:hint="eastAsia"/>
          <w:lang w:val="en-US" w:eastAsia="zh-CN"/>
        </w:rPr>
        <w:t>七、</w:t>
      </w:r>
      <w:r>
        <w:rPr>
          <w:rFonts w:hint="eastAsia"/>
        </w:rPr>
        <w:t>验收与确认</w:t>
      </w:r>
      <w:r>
        <w:tab/>
      </w:r>
      <w:r>
        <w:fldChar w:fldCharType="begin"/>
      </w:r>
      <w:r>
        <w:instrText xml:space="preserve"> PAGEREF _Toc7614 \h </w:instrText>
      </w:r>
      <w:r>
        <w:fldChar w:fldCharType="separate"/>
      </w:r>
      <w:r>
        <w:t>81</w:t>
      </w:r>
      <w:r>
        <w:fldChar w:fldCharType="end"/>
      </w:r>
      <w:r>
        <w:fldChar w:fldCharType="end"/>
      </w:r>
    </w:p>
    <w:p>
      <w:pPr>
        <w:pStyle w:val="26"/>
        <w:tabs>
          <w:tab w:val="right" w:leader="dot" w:pos="8306"/>
        </w:tabs>
      </w:pPr>
      <w:r>
        <w:fldChar w:fldCharType="begin"/>
      </w:r>
      <w:r>
        <w:instrText xml:space="preserve"> HYPERLINK \l _Toc14701 </w:instrText>
      </w:r>
      <w:r>
        <w:fldChar w:fldCharType="separate"/>
      </w:r>
      <w:r>
        <w:rPr>
          <w:rFonts w:hint="eastAsia"/>
          <w:lang w:val="en-US" w:eastAsia="zh-CN"/>
        </w:rPr>
        <w:t>（一）</w:t>
      </w:r>
      <w:r>
        <w:rPr>
          <w:rFonts w:hint="eastAsia"/>
        </w:rPr>
        <w:t>肥料的验收</w:t>
      </w:r>
      <w:r>
        <w:tab/>
      </w:r>
      <w:r>
        <w:fldChar w:fldCharType="begin"/>
      </w:r>
      <w:r>
        <w:instrText xml:space="preserve"> PAGEREF _Toc14701 \h </w:instrText>
      </w:r>
      <w:r>
        <w:fldChar w:fldCharType="separate"/>
      </w:r>
      <w:r>
        <w:t>81</w:t>
      </w:r>
      <w:r>
        <w:fldChar w:fldCharType="end"/>
      </w:r>
      <w:r>
        <w:fldChar w:fldCharType="end"/>
      </w:r>
    </w:p>
    <w:p>
      <w:pPr>
        <w:pStyle w:val="26"/>
        <w:tabs>
          <w:tab w:val="right" w:leader="dot" w:pos="8306"/>
        </w:tabs>
      </w:pPr>
      <w:r>
        <w:fldChar w:fldCharType="begin"/>
      </w:r>
      <w:r>
        <w:instrText xml:space="preserve"> HYPERLINK \l _Toc20431 </w:instrText>
      </w:r>
      <w:r>
        <w:fldChar w:fldCharType="separate"/>
      </w:r>
      <w:r>
        <w:rPr>
          <w:rFonts w:hint="eastAsia"/>
          <w:lang w:val="en-US" w:eastAsia="zh-CN"/>
        </w:rPr>
        <w:t>（二）</w:t>
      </w:r>
      <w:r>
        <w:rPr>
          <w:rFonts w:hint="eastAsia"/>
        </w:rPr>
        <w:t>肥料的确认</w:t>
      </w:r>
      <w:r>
        <w:tab/>
      </w:r>
      <w:r>
        <w:fldChar w:fldCharType="begin"/>
      </w:r>
      <w:r>
        <w:instrText xml:space="preserve"> PAGEREF _Toc20431 \h </w:instrText>
      </w:r>
      <w:r>
        <w:fldChar w:fldCharType="separate"/>
      </w:r>
      <w:r>
        <w:t>81</w:t>
      </w:r>
      <w:r>
        <w:fldChar w:fldCharType="end"/>
      </w:r>
      <w:r>
        <w:fldChar w:fldCharType="end"/>
      </w:r>
    </w:p>
    <w:p>
      <w:pPr>
        <w:pStyle w:val="20"/>
        <w:tabs>
          <w:tab w:val="right" w:leader="dot" w:pos="8306"/>
        </w:tabs>
      </w:pPr>
      <w:r>
        <w:fldChar w:fldCharType="begin"/>
      </w:r>
      <w:r>
        <w:instrText xml:space="preserve"> HYPERLINK \l _Toc26249 </w:instrText>
      </w:r>
      <w:r>
        <w:fldChar w:fldCharType="separate"/>
      </w:r>
      <w:r>
        <w:rPr>
          <w:rFonts w:hint="eastAsia"/>
          <w:lang w:val="en-US" w:eastAsia="zh-CN"/>
        </w:rPr>
        <w:t>八、</w:t>
      </w:r>
      <w:r>
        <w:rPr>
          <w:rFonts w:hint="eastAsia"/>
        </w:rPr>
        <w:t>应急供货措施</w:t>
      </w:r>
      <w:r>
        <w:tab/>
      </w:r>
      <w:r>
        <w:fldChar w:fldCharType="begin"/>
      </w:r>
      <w:r>
        <w:instrText xml:space="preserve"> PAGEREF _Toc26249 \h </w:instrText>
      </w:r>
      <w:r>
        <w:fldChar w:fldCharType="separate"/>
      </w:r>
      <w:r>
        <w:t>83</w:t>
      </w:r>
      <w:r>
        <w:fldChar w:fldCharType="end"/>
      </w:r>
      <w:r>
        <w:fldChar w:fldCharType="end"/>
      </w:r>
    </w:p>
    <w:p>
      <w:pPr>
        <w:pStyle w:val="20"/>
        <w:tabs>
          <w:tab w:val="right" w:leader="dot" w:pos="8306"/>
        </w:tabs>
      </w:pPr>
      <w:r>
        <w:fldChar w:fldCharType="begin"/>
      </w:r>
      <w:r>
        <w:instrText xml:space="preserve"> HYPERLINK \l _Toc4651 </w:instrText>
      </w:r>
      <w:r>
        <w:fldChar w:fldCharType="separate"/>
      </w:r>
      <w:r>
        <w:rPr>
          <w:rFonts w:hint="eastAsia"/>
          <w:lang w:val="en-US" w:eastAsia="zh-CN"/>
        </w:rPr>
        <w:t>九、</w:t>
      </w:r>
      <w:r>
        <w:rPr>
          <w:rFonts w:hint="eastAsia"/>
        </w:rPr>
        <w:t>产品入库和出库管理</w:t>
      </w:r>
      <w:r>
        <w:tab/>
      </w:r>
      <w:r>
        <w:fldChar w:fldCharType="begin"/>
      </w:r>
      <w:r>
        <w:instrText xml:space="preserve"> PAGEREF _Toc4651 \h </w:instrText>
      </w:r>
      <w:r>
        <w:fldChar w:fldCharType="separate"/>
      </w:r>
      <w:r>
        <w:t>84</w:t>
      </w:r>
      <w:r>
        <w:fldChar w:fldCharType="end"/>
      </w:r>
      <w:r>
        <w:fldChar w:fldCharType="end"/>
      </w:r>
    </w:p>
    <w:p>
      <w:pPr>
        <w:pStyle w:val="26"/>
        <w:tabs>
          <w:tab w:val="right" w:leader="dot" w:pos="8306"/>
        </w:tabs>
      </w:pPr>
      <w:r>
        <w:fldChar w:fldCharType="begin"/>
      </w:r>
      <w:r>
        <w:instrText xml:space="preserve"> HYPERLINK \l _Toc1930 </w:instrText>
      </w:r>
      <w:r>
        <w:fldChar w:fldCharType="separate"/>
      </w:r>
      <w:r>
        <w:rPr>
          <w:rFonts w:hint="eastAsia"/>
          <w:lang w:eastAsia="zh-CN"/>
        </w:rPr>
        <w:t>（</w:t>
      </w:r>
      <w:r>
        <w:rPr>
          <w:rFonts w:hint="eastAsia"/>
          <w:lang w:val="en-US" w:eastAsia="zh-CN"/>
        </w:rPr>
        <w:t>一</w:t>
      </w:r>
      <w:r>
        <w:rPr>
          <w:rFonts w:hint="eastAsia"/>
          <w:lang w:eastAsia="zh-CN"/>
        </w:rPr>
        <w:t>）</w:t>
      </w:r>
      <w:r>
        <w:rPr>
          <w:rFonts w:hint="eastAsia"/>
        </w:rPr>
        <w:t>产品入库</w:t>
      </w:r>
      <w:r>
        <w:tab/>
      </w:r>
      <w:r>
        <w:fldChar w:fldCharType="begin"/>
      </w:r>
      <w:r>
        <w:instrText xml:space="preserve"> PAGEREF _Toc1930 \h </w:instrText>
      </w:r>
      <w:r>
        <w:fldChar w:fldCharType="separate"/>
      </w:r>
      <w:r>
        <w:t>84</w:t>
      </w:r>
      <w:r>
        <w:fldChar w:fldCharType="end"/>
      </w:r>
      <w:r>
        <w:fldChar w:fldCharType="end"/>
      </w:r>
    </w:p>
    <w:p>
      <w:pPr>
        <w:pStyle w:val="26"/>
        <w:tabs>
          <w:tab w:val="right" w:leader="dot" w:pos="8306"/>
        </w:tabs>
      </w:pPr>
      <w:r>
        <w:fldChar w:fldCharType="begin"/>
      </w:r>
      <w:r>
        <w:instrText xml:space="preserve"> HYPERLINK \l _Toc10123 </w:instrText>
      </w:r>
      <w:r>
        <w:fldChar w:fldCharType="separate"/>
      </w:r>
      <w:r>
        <w:rPr>
          <w:rFonts w:hint="eastAsia"/>
          <w:lang w:eastAsia="zh-CN"/>
        </w:rPr>
        <w:t>（</w:t>
      </w:r>
      <w:r>
        <w:rPr>
          <w:rFonts w:hint="eastAsia"/>
          <w:lang w:val="en-US" w:eastAsia="zh-CN"/>
        </w:rPr>
        <w:t>二</w:t>
      </w:r>
      <w:r>
        <w:rPr>
          <w:rFonts w:hint="eastAsia"/>
          <w:lang w:eastAsia="zh-CN"/>
        </w:rPr>
        <w:t>）</w:t>
      </w:r>
      <w:r>
        <w:rPr>
          <w:rFonts w:hint="eastAsia"/>
        </w:rPr>
        <w:t>产品出库</w:t>
      </w:r>
      <w:r>
        <w:tab/>
      </w:r>
      <w:r>
        <w:fldChar w:fldCharType="begin"/>
      </w:r>
      <w:r>
        <w:instrText xml:space="preserve"> PAGEREF _Toc10123 \h </w:instrText>
      </w:r>
      <w:r>
        <w:fldChar w:fldCharType="separate"/>
      </w:r>
      <w:r>
        <w:t>84</w:t>
      </w:r>
      <w:r>
        <w:fldChar w:fldCharType="end"/>
      </w:r>
      <w:r>
        <w:fldChar w:fldCharType="end"/>
      </w:r>
    </w:p>
    <w:p>
      <w:pPr>
        <w:pStyle w:val="20"/>
        <w:tabs>
          <w:tab w:val="right" w:leader="dot" w:pos="8306"/>
        </w:tabs>
      </w:pPr>
      <w:r>
        <w:fldChar w:fldCharType="begin"/>
      </w:r>
      <w:r>
        <w:instrText xml:space="preserve"> HYPERLINK \l _Toc19546 </w:instrText>
      </w:r>
      <w:r>
        <w:fldChar w:fldCharType="separate"/>
      </w:r>
      <w:r>
        <w:rPr>
          <w:rFonts w:hint="eastAsia"/>
          <w:lang w:val="en-US" w:eastAsia="zh-CN"/>
        </w:rPr>
        <w:t>十、</w:t>
      </w:r>
      <w:r>
        <w:rPr>
          <w:rFonts w:hint="eastAsia"/>
        </w:rPr>
        <w:t>临时补货</w:t>
      </w:r>
      <w:r>
        <w:tab/>
      </w:r>
      <w:r>
        <w:fldChar w:fldCharType="begin"/>
      </w:r>
      <w:r>
        <w:instrText xml:space="preserve"> PAGEREF _Toc19546 \h </w:instrText>
      </w:r>
      <w:r>
        <w:fldChar w:fldCharType="separate"/>
      </w:r>
      <w:r>
        <w:t>85</w:t>
      </w:r>
      <w:r>
        <w:fldChar w:fldCharType="end"/>
      </w:r>
      <w:r>
        <w:fldChar w:fldCharType="end"/>
      </w:r>
    </w:p>
    <w:p>
      <w:pPr>
        <w:pStyle w:val="28"/>
        <w:tabs>
          <w:tab w:val="right" w:leader="dot" w:pos="8306"/>
        </w:tabs>
      </w:pPr>
      <w:r>
        <w:fldChar w:fldCharType="begin"/>
      </w:r>
      <w:r>
        <w:instrText xml:space="preserve"> HYPERLINK \l _Toc32746 </w:instrText>
      </w:r>
      <w:r>
        <w:fldChar w:fldCharType="separate"/>
      </w:r>
      <w:r>
        <w:rPr>
          <w:rFonts w:hint="eastAsia"/>
          <w:lang w:val="en-US" w:eastAsia="zh-CN"/>
        </w:rPr>
        <w:t xml:space="preserve">第六节  </w:t>
      </w:r>
      <w:r>
        <w:t>产品供货进度计划</w:t>
      </w:r>
      <w:r>
        <w:tab/>
      </w:r>
      <w:r>
        <w:fldChar w:fldCharType="begin"/>
      </w:r>
      <w:r>
        <w:instrText xml:space="preserve"> PAGEREF _Toc32746 \h </w:instrText>
      </w:r>
      <w:r>
        <w:fldChar w:fldCharType="separate"/>
      </w:r>
      <w:r>
        <w:t>87</w:t>
      </w:r>
      <w:r>
        <w:fldChar w:fldCharType="end"/>
      </w:r>
      <w:r>
        <w:fldChar w:fldCharType="end"/>
      </w:r>
    </w:p>
    <w:p>
      <w:pPr>
        <w:pStyle w:val="20"/>
        <w:tabs>
          <w:tab w:val="right" w:leader="dot" w:pos="8306"/>
        </w:tabs>
      </w:pPr>
      <w:r>
        <w:fldChar w:fldCharType="begin"/>
      </w:r>
      <w:r>
        <w:instrText xml:space="preserve"> HYPERLINK \l _Toc11766 </w:instrText>
      </w:r>
      <w:r>
        <w:fldChar w:fldCharType="separate"/>
      </w:r>
      <w:r>
        <w:rPr>
          <w:rFonts w:hint="eastAsia"/>
          <w:lang w:val="en-US" w:eastAsia="zh-CN"/>
        </w:rPr>
        <w:t>一、</w:t>
      </w:r>
      <w:r>
        <w:rPr>
          <w:rFonts w:hint="eastAsia"/>
        </w:rPr>
        <w:t>交货期的承诺</w:t>
      </w:r>
      <w:r>
        <w:tab/>
      </w:r>
      <w:r>
        <w:fldChar w:fldCharType="begin"/>
      </w:r>
      <w:r>
        <w:instrText xml:space="preserve"> PAGEREF _Toc11766 \h </w:instrText>
      </w:r>
      <w:r>
        <w:fldChar w:fldCharType="separate"/>
      </w:r>
      <w:r>
        <w:t>87</w:t>
      </w:r>
      <w:r>
        <w:fldChar w:fldCharType="end"/>
      </w:r>
      <w:r>
        <w:fldChar w:fldCharType="end"/>
      </w:r>
    </w:p>
    <w:p>
      <w:pPr>
        <w:pStyle w:val="20"/>
        <w:tabs>
          <w:tab w:val="right" w:leader="dot" w:pos="8306"/>
        </w:tabs>
      </w:pPr>
      <w:r>
        <w:fldChar w:fldCharType="begin"/>
      </w:r>
      <w:r>
        <w:instrText xml:space="preserve"> HYPERLINK \l _Toc32142 </w:instrText>
      </w:r>
      <w:r>
        <w:fldChar w:fldCharType="separate"/>
      </w:r>
      <w:r>
        <w:rPr>
          <w:rFonts w:hint="eastAsia"/>
          <w:lang w:val="en-US" w:eastAsia="zh-CN"/>
        </w:rPr>
        <w:t>二、</w:t>
      </w:r>
      <w:r>
        <w:rPr>
          <w:rFonts w:hint="eastAsia"/>
        </w:rPr>
        <w:t>交货期保证措施</w:t>
      </w:r>
      <w:r>
        <w:tab/>
      </w:r>
      <w:r>
        <w:fldChar w:fldCharType="begin"/>
      </w:r>
      <w:r>
        <w:instrText xml:space="preserve"> PAGEREF _Toc32142 \h </w:instrText>
      </w:r>
      <w:r>
        <w:fldChar w:fldCharType="separate"/>
      </w:r>
      <w:r>
        <w:t>89</w:t>
      </w:r>
      <w:r>
        <w:fldChar w:fldCharType="end"/>
      </w:r>
      <w:r>
        <w:fldChar w:fldCharType="end"/>
      </w:r>
    </w:p>
    <w:p>
      <w:pPr>
        <w:pStyle w:val="26"/>
        <w:tabs>
          <w:tab w:val="right" w:leader="dot" w:pos="8306"/>
        </w:tabs>
      </w:pPr>
      <w:r>
        <w:fldChar w:fldCharType="begin"/>
      </w:r>
      <w:r>
        <w:instrText xml:space="preserve"> HYPERLINK \l _Toc9668 </w:instrText>
      </w:r>
      <w:r>
        <w:fldChar w:fldCharType="separate"/>
      </w:r>
      <w:r>
        <w:rPr>
          <w:rFonts w:hint="eastAsia"/>
          <w:lang w:eastAsia="zh-CN"/>
        </w:rPr>
        <w:t>（</w:t>
      </w:r>
      <w:r>
        <w:rPr>
          <w:rFonts w:hint="eastAsia"/>
          <w:lang w:val="en-US" w:eastAsia="zh-CN"/>
        </w:rPr>
        <w:t>一</w:t>
      </w:r>
      <w:r>
        <w:rPr>
          <w:rFonts w:hint="eastAsia"/>
          <w:lang w:eastAsia="zh-CN"/>
        </w:rPr>
        <w:t>）</w:t>
      </w:r>
      <w:r>
        <w:rPr>
          <w:rFonts w:hint="eastAsia"/>
        </w:rPr>
        <w:t>组织措施</w:t>
      </w:r>
      <w:r>
        <w:tab/>
      </w:r>
      <w:r>
        <w:fldChar w:fldCharType="begin"/>
      </w:r>
      <w:r>
        <w:instrText xml:space="preserve"> PAGEREF _Toc9668 \h </w:instrText>
      </w:r>
      <w:r>
        <w:fldChar w:fldCharType="separate"/>
      </w:r>
      <w:r>
        <w:t>89</w:t>
      </w:r>
      <w:r>
        <w:fldChar w:fldCharType="end"/>
      </w:r>
      <w:r>
        <w:fldChar w:fldCharType="end"/>
      </w:r>
    </w:p>
    <w:p>
      <w:pPr>
        <w:pStyle w:val="26"/>
        <w:tabs>
          <w:tab w:val="right" w:leader="dot" w:pos="8306"/>
        </w:tabs>
      </w:pPr>
      <w:r>
        <w:fldChar w:fldCharType="begin"/>
      </w:r>
      <w:r>
        <w:instrText xml:space="preserve"> HYPERLINK \l _Toc15255 </w:instrText>
      </w:r>
      <w:r>
        <w:fldChar w:fldCharType="separate"/>
      </w:r>
      <w:r>
        <w:rPr>
          <w:rFonts w:hint="eastAsia"/>
          <w:lang w:eastAsia="zh-CN"/>
        </w:rPr>
        <w:t>（</w:t>
      </w:r>
      <w:r>
        <w:rPr>
          <w:rFonts w:hint="eastAsia"/>
          <w:lang w:val="en-US" w:eastAsia="zh-CN"/>
        </w:rPr>
        <w:t>二</w:t>
      </w:r>
      <w:r>
        <w:rPr>
          <w:rFonts w:hint="eastAsia"/>
          <w:lang w:eastAsia="zh-CN"/>
        </w:rPr>
        <w:t>）</w:t>
      </w:r>
      <w:r>
        <w:rPr>
          <w:rFonts w:hint="eastAsia"/>
        </w:rPr>
        <w:t>技术措施</w:t>
      </w:r>
      <w:r>
        <w:tab/>
      </w:r>
      <w:r>
        <w:fldChar w:fldCharType="begin"/>
      </w:r>
      <w:r>
        <w:instrText xml:space="preserve"> PAGEREF _Toc15255 \h </w:instrText>
      </w:r>
      <w:r>
        <w:fldChar w:fldCharType="separate"/>
      </w:r>
      <w:r>
        <w:t>89</w:t>
      </w:r>
      <w:r>
        <w:fldChar w:fldCharType="end"/>
      </w:r>
      <w:r>
        <w:fldChar w:fldCharType="end"/>
      </w:r>
    </w:p>
    <w:p>
      <w:pPr>
        <w:pStyle w:val="26"/>
        <w:tabs>
          <w:tab w:val="right" w:leader="dot" w:pos="8306"/>
        </w:tabs>
      </w:pPr>
      <w:r>
        <w:fldChar w:fldCharType="begin"/>
      </w:r>
      <w:r>
        <w:instrText xml:space="preserve"> HYPERLINK \l _Toc5227 </w:instrText>
      </w:r>
      <w:r>
        <w:fldChar w:fldCharType="separate"/>
      </w:r>
      <w:r>
        <w:rPr>
          <w:rFonts w:hint="eastAsia"/>
          <w:lang w:eastAsia="zh-CN"/>
        </w:rPr>
        <w:t>（</w:t>
      </w:r>
      <w:r>
        <w:rPr>
          <w:rFonts w:hint="eastAsia"/>
          <w:lang w:val="en-US" w:eastAsia="zh-CN"/>
        </w:rPr>
        <w:t>三</w:t>
      </w:r>
      <w:r>
        <w:rPr>
          <w:rFonts w:hint="eastAsia"/>
          <w:lang w:eastAsia="zh-CN"/>
        </w:rPr>
        <w:t>）</w:t>
      </w:r>
      <w:r>
        <w:rPr>
          <w:rFonts w:hint="eastAsia"/>
        </w:rPr>
        <w:t>合同措施</w:t>
      </w:r>
      <w:r>
        <w:tab/>
      </w:r>
      <w:r>
        <w:fldChar w:fldCharType="begin"/>
      </w:r>
      <w:r>
        <w:instrText xml:space="preserve"> PAGEREF _Toc5227 \h </w:instrText>
      </w:r>
      <w:r>
        <w:fldChar w:fldCharType="separate"/>
      </w:r>
      <w:r>
        <w:t>90</w:t>
      </w:r>
      <w:r>
        <w:fldChar w:fldCharType="end"/>
      </w:r>
      <w:r>
        <w:fldChar w:fldCharType="end"/>
      </w:r>
    </w:p>
    <w:p>
      <w:pPr>
        <w:pStyle w:val="26"/>
        <w:tabs>
          <w:tab w:val="right" w:leader="dot" w:pos="8306"/>
        </w:tabs>
      </w:pPr>
      <w:r>
        <w:fldChar w:fldCharType="begin"/>
      </w:r>
      <w:r>
        <w:instrText xml:space="preserve"> HYPERLINK \l _Toc10740 </w:instrText>
      </w:r>
      <w:r>
        <w:fldChar w:fldCharType="separate"/>
      </w:r>
      <w:r>
        <w:rPr>
          <w:rFonts w:hint="eastAsia"/>
          <w:lang w:eastAsia="zh-CN"/>
        </w:rPr>
        <w:t>（</w:t>
      </w:r>
      <w:r>
        <w:rPr>
          <w:rFonts w:hint="eastAsia"/>
          <w:lang w:val="en-US" w:eastAsia="zh-CN"/>
        </w:rPr>
        <w:t>四</w:t>
      </w:r>
      <w:r>
        <w:rPr>
          <w:rFonts w:hint="eastAsia"/>
          <w:lang w:eastAsia="zh-CN"/>
        </w:rPr>
        <w:t>）</w:t>
      </w:r>
      <w:r>
        <w:rPr>
          <w:rFonts w:hint="eastAsia"/>
        </w:rPr>
        <w:t>经济措施</w:t>
      </w:r>
      <w:r>
        <w:tab/>
      </w:r>
      <w:r>
        <w:fldChar w:fldCharType="begin"/>
      </w:r>
      <w:r>
        <w:instrText xml:space="preserve"> PAGEREF _Toc10740 \h </w:instrText>
      </w:r>
      <w:r>
        <w:fldChar w:fldCharType="separate"/>
      </w:r>
      <w:r>
        <w:t>91</w:t>
      </w:r>
      <w:r>
        <w:fldChar w:fldCharType="end"/>
      </w:r>
      <w:r>
        <w:fldChar w:fldCharType="end"/>
      </w:r>
    </w:p>
    <w:p>
      <w:pPr>
        <w:pStyle w:val="26"/>
        <w:tabs>
          <w:tab w:val="right" w:leader="dot" w:pos="8306"/>
        </w:tabs>
      </w:pPr>
      <w:r>
        <w:fldChar w:fldCharType="begin"/>
      </w:r>
      <w:r>
        <w:instrText xml:space="preserve"> HYPERLINK \l _Toc31870 </w:instrText>
      </w:r>
      <w:r>
        <w:fldChar w:fldCharType="separate"/>
      </w:r>
      <w:r>
        <w:rPr>
          <w:rFonts w:hint="eastAsia"/>
          <w:lang w:eastAsia="zh-CN"/>
        </w:rPr>
        <w:t>（</w:t>
      </w:r>
      <w:r>
        <w:rPr>
          <w:rFonts w:hint="eastAsia"/>
          <w:lang w:val="en-US" w:eastAsia="zh-CN"/>
        </w:rPr>
        <w:t>五</w:t>
      </w:r>
      <w:r>
        <w:rPr>
          <w:rFonts w:hint="eastAsia"/>
          <w:lang w:eastAsia="zh-CN"/>
        </w:rPr>
        <w:t>）</w:t>
      </w:r>
      <w:r>
        <w:rPr>
          <w:rFonts w:hint="eastAsia"/>
        </w:rPr>
        <w:t>信息管理措施</w:t>
      </w:r>
      <w:r>
        <w:tab/>
      </w:r>
      <w:r>
        <w:fldChar w:fldCharType="begin"/>
      </w:r>
      <w:r>
        <w:instrText xml:space="preserve"> PAGEREF _Toc31870 \h </w:instrText>
      </w:r>
      <w:r>
        <w:fldChar w:fldCharType="separate"/>
      </w:r>
      <w:r>
        <w:t>91</w:t>
      </w:r>
      <w:r>
        <w:fldChar w:fldCharType="end"/>
      </w:r>
      <w:r>
        <w:fldChar w:fldCharType="end"/>
      </w:r>
    </w:p>
    <w:p>
      <w:pPr>
        <w:pStyle w:val="20"/>
        <w:tabs>
          <w:tab w:val="right" w:leader="dot" w:pos="8306"/>
        </w:tabs>
      </w:pPr>
      <w:r>
        <w:fldChar w:fldCharType="begin"/>
      </w:r>
      <w:r>
        <w:instrText xml:space="preserve"> HYPERLINK \l _Toc12763 </w:instrText>
      </w:r>
      <w:r>
        <w:fldChar w:fldCharType="separate"/>
      </w:r>
      <w:r>
        <w:rPr>
          <w:rFonts w:hint="eastAsia"/>
          <w:lang w:val="en-US" w:eastAsia="zh-CN"/>
        </w:rPr>
        <w:t>三、</w:t>
      </w:r>
      <w:r>
        <w:rPr>
          <w:rFonts w:hint="eastAsia"/>
        </w:rPr>
        <w:t>供货周期的保证</w:t>
      </w:r>
      <w:r>
        <w:tab/>
      </w:r>
      <w:r>
        <w:fldChar w:fldCharType="begin"/>
      </w:r>
      <w:r>
        <w:instrText xml:space="preserve"> PAGEREF _Toc12763 \h </w:instrText>
      </w:r>
      <w:r>
        <w:fldChar w:fldCharType="separate"/>
      </w:r>
      <w:r>
        <w:t>92</w:t>
      </w:r>
      <w:r>
        <w:fldChar w:fldCharType="end"/>
      </w:r>
      <w:r>
        <w:fldChar w:fldCharType="end"/>
      </w:r>
    </w:p>
    <w:p>
      <w:pPr>
        <w:pStyle w:val="26"/>
        <w:tabs>
          <w:tab w:val="right" w:leader="dot" w:pos="8306"/>
        </w:tabs>
      </w:pPr>
      <w:r>
        <w:fldChar w:fldCharType="begin"/>
      </w:r>
      <w:r>
        <w:instrText xml:space="preserve"> HYPERLINK \l _Toc6019 </w:instrText>
      </w:r>
      <w:r>
        <w:fldChar w:fldCharType="separate"/>
      </w:r>
      <w:r>
        <w:rPr>
          <w:rFonts w:hint="eastAsia"/>
          <w:lang w:val="en-US" w:eastAsia="zh-CN"/>
        </w:rPr>
        <w:t>（一）</w:t>
      </w:r>
      <w:r>
        <w:rPr>
          <w:rFonts w:hint="eastAsia"/>
        </w:rPr>
        <w:t>发生急需供货时的对应措施</w:t>
      </w:r>
      <w:r>
        <w:tab/>
      </w:r>
      <w:r>
        <w:fldChar w:fldCharType="begin"/>
      </w:r>
      <w:r>
        <w:instrText xml:space="preserve"> PAGEREF _Toc6019 \h </w:instrText>
      </w:r>
      <w:r>
        <w:fldChar w:fldCharType="separate"/>
      </w:r>
      <w:r>
        <w:t>92</w:t>
      </w:r>
      <w:r>
        <w:fldChar w:fldCharType="end"/>
      </w:r>
      <w:r>
        <w:fldChar w:fldCharType="end"/>
      </w:r>
    </w:p>
    <w:p>
      <w:pPr>
        <w:pStyle w:val="26"/>
        <w:tabs>
          <w:tab w:val="right" w:leader="dot" w:pos="8306"/>
        </w:tabs>
      </w:pPr>
      <w:r>
        <w:fldChar w:fldCharType="begin"/>
      </w:r>
      <w:r>
        <w:instrText xml:space="preserve"> HYPERLINK \l _Toc28481 </w:instrText>
      </w:r>
      <w:r>
        <w:fldChar w:fldCharType="separate"/>
      </w:r>
      <w:r>
        <w:rPr>
          <w:rFonts w:hint="eastAsia"/>
          <w:lang w:val="en-US" w:eastAsia="zh-CN"/>
        </w:rPr>
        <w:t>（二）</w:t>
      </w:r>
      <w:r>
        <w:rPr>
          <w:rFonts w:hint="eastAsia"/>
        </w:rPr>
        <w:t>运输方案</w:t>
      </w:r>
      <w:r>
        <w:tab/>
      </w:r>
      <w:r>
        <w:fldChar w:fldCharType="begin"/>
      </w:r>
      <w:r>
        <w:instrText xml:space="preserve"> PAGEREF _Toc28481 \h </w:instrText>
      </w:r>
      <w:r>
        <w:fldChar w:fldCharType="separate"/>
      </w:r>
      <w:r>
        <w:t>93</w:t>
      </w:r>
      <w:r>
        <w:fldChar w:fldCharType="end"/>
      </w:r>
      <w:r>
        <w:fldChar w:fldCharType="end"/>
      </w:r>
    </w:p>
    <w:p>
      <w:pPr>
        <w:pStyle w:val="26"/>
        <w:tabs>
          <w:tab w:val="right" w:leader="dot" w:pos="8306"/>
        </w:tabs>
      </w:pPr>
      <w:r>
        <w:fldChar w:fldCharType="begin"/>
      </w:r>
      <w:r>
        <w:instrText xml:space="preserve"> HYPERLINK \l _Toc16403 </w:instrText>
      </w:r>
      <w:r>
        <w:fldChar w:fldCharType="separate"/>
      </w:r>
      <w:r>
        <w:rPr>
          <w:rFonts w:hint="eastAsia"/>
          <w:lang w:val="en-US" w:eastAsia="zh-CN"/>
        </w:rPr>
        <w:t>（三）</w:t>
      </w:r>
      <w:r>
        <w:rPr>
          <w:rFonts w:hint="eastAsia"/>
        </w:rPr>
        <w:t>保障措施</w:t>
      </w:r>
      <w:r>
        <w:tab/>
      </w:r>
      <w:r>
        <w:fldChar w:fldCharType="begin"/>
      </w:r>
      <w:r>
        <w:instrText xml:space="preserve"> PAGEREF _Toc16403 \h </w:instrText>
      </w:r>
      <w:r>
        <w:fldChar w:fldCharType="separate"/>
      </w:r>
      <w:r>
        <w:t>93</w:t>
      </w:r>
      <w:r>
        <w:fldChar w:fldCharType="end"/>
      </w:r>
      <w:r>
        <w:fldChar w:fldCharType="end"/>
      </w:r>
    </w:p>
    <w:p>
      <w:pPr>
        <w:pStyle w:val="20"/>
        <w:tabs>
          <w:tab w:val="right" w:leader="dot" w:pos="8306"/>
        </w:tabs>
      </w:pPr>
      <w:r>
        <w:fldChar w:fldCharType="begin"/>
      </w:r>
      <w:r>
        <w:instrText xml:space="preserve"> HYPERLINK \l _Toc12011 </w:instrText>
      </w:r>
      <w:r>
        <w:fldChar w:fldCharType="separate"/>
      </w:r>
      <w:r>
        <w:rPr>
          <w:rFonts w:hint="eastAsia"/>
          <w:lang w:val="en-US" w:eastAsia="zh-CN"/>
        </w:rPr>
        <w:t>四、</w:t>
      </w:r>
      <w:r>
        <w:rPr>
          <w:rFonts w:hint="eastAsia"/>
        </w:rPr>
        <w:t>项目组织构架和人员配备</w:t>
      </w:r>
      <w:r>
        <w:tab/>
      </w:r>
      <w:r>
        <w:fldChar w:fldCharType="begin"/>
      </w:r>
      <w:r>
        <w:instrText xml:space="preserve"> PAGEREF _Toc12011 \h </w:instrText>
      </w:r>
      <w:r>
        <w:fldChar w:fldCharType="separate"/>
      </w:r>
      <w:r>
        <w:t>95</w:t>
      </w:r>
      <w:r>
        <w:fldChar w:fldCharType="end"/>
      </w:r>
      <w:r>
        <w:fldChar w:fldCharType="end"/>
      </w:r>
    </w:p>
    <w:p>
      <w:pPr>
        <w:pStyle w:val="26"/>
        <w:tabs>
          <w:tab w:val="right" w:leader="dot" w:pos="8306"/>
        </w:tabs>
      </w:pPr>
      <w:r>
        <w:fldChar w:fldCharType="begin"/>
      </w:r>
      <w:r>
        <w:instrText xml:space="preserve"> HYPERLINK \l _Toc16939 </w:instrText>
      </w:r>
      <w:r>
        <w:fldChar w:fldCharType="separate"/>
      </w:r>
      <w:r>
        <w:rPr>
          <w:rFonts w:hint="eastAsia"/>
          <w:lang w:val="en-US" w:eastAsia="zh-CN"/>
        </w:rPr>
        <w:t>（一）</w:t>
      </w:r>
      <w:r>
        <w:rPr>
          <w:rFonts w:hint="eastAsia"/>
        </w:rPr>
        <w:t>组织建立计划</w:t>
      </w:r>
      <w:r>
        <w:tab/>
      </w:r>
      <w:r>
        <w:fldChar w:fldCharType="begin"/>
      </w:r>
      <w:r>
        <w:instrText xml:space="preserve"> PAGEREF _Toc16939 \h </w:instrText>
      </w:r>
      <w:r>
        <w:fldChar w:fldCharType="separate"/>
      </w:r>
      <w:r>
        <w:t>95</w:t>
      </w:r>
      <w:r>
        <w:fldChar w:fldCharType="end"/>
      </w:r>
      <w:r>
        <w:fldChar w:fldCharType="end"/>
      </w:r>
    </w:p>
    <w:p>
      <w:pPr>
        <w:pStyle w:val="26"/>
        <w:tabs>
          <w:tab w:val="right" w:leader="dot" w:pos="8306"/>
        </w:tabs>
      </w:pPr>
      <w:r>
        <w:fldChar w:fldCharType="begin"/>
      </w:r>
      <w:r>
        <w:instrText xml:space="preserve"> HYPERLINK \l _Toc7681 </w:instrText>
      </w:r>
      <w:r>
        <w:fldChar w:fldCharType="separate"/>
      </w:r>
      <w:r>
        <w:rPr>
          <w:rFonts w:hint="eastAsia"/>
          <w:lang w:val="en-US" w:eastAsia="zh-CN"/>
        </w:rPr>
        <w:t>（二）</w:t>
      </w:r>
      <w:r>
        <w:rPr>
          <w:rFonts w:hint="eastAsia"/>
        </w:rPr>
        <w:t>组织机构说明</w:t>
      </w:r>
      <w:r>
        <w:tab/>
      </w:r>
      <w:r>
        <w:fldChar w:fldCharType="begin"/>
      </w:r>
      <w:r>
        <w:instrText xml:space="preserve"> PAGEREF _Toc7681 \h </w:instrText>
      </w:r>
      <w:r>
        <w:fldChar w:fldCharType="separate"/>
      </w:r>
      <w:r>
        <w:t>100</w:t>
      </w:r>
      <w:r>
        <w:fldChar w:fldCharType="end"/>
      </w:r>
      <w:r>
        <w:fldChar w:fldCharType="end"/>
      </w:r>
    </w:p>
    <w:p>
      <w:pPr>
        <w:pStyle w:val="26"/>
        <w:tabs>
          <w:tab w:val="right" w:leader="dot" w:pos="8306"/>
        </w:tabs>
      </w:pPr>
      <w:r>
        <w:fldChar w:fldCharType="begin"/>
      </w:r>
      <w:r>
        <w:instrText xml:space="preserve"> HYPERLINK \l _Toc27374 </w:instrText>
      </w:r>
      <w:r>
        <w:fldChar w:fldCharType="separate"/>
      </w:r>
      <w:r>
        <w:rPr>
          <w:rFonts w:hint="eastAsia"/>
          <w:lang w:val="en-US" w:eastAsia="zh-CN"/>
        </w:rPr>
        <w:t>（三）</w:t>
      </w:r>
      <w:r>
        <w:rPr>
          <w:rFonts w:hint="eastAsia"/>
        </w:rPr>
        <w:t>人员配备计划</w:t>
      </w:r>
      <w:r>
        <w:tab/>
      </w:r>
      <w:r>
        <w:fldChar w:fldCharType="begin"/>
      </w:r>
      <w:r>
        <w:instrText xml:space="preserve"> PAGEREF _Toc27374 \h </w:instrText>
      </w:r>
      <w:r>
        <w:fldChar w:fldCharType="separate"/>
      </w:r>
      <w:r>
        <w:t>113</w:t>
      </w:r>
      <w:r>
        <w:fldChar w:fldCharType="end"/>
      </w:r>
      <w:r>
        <w:fldChar w:fldCharType="end"/>
      </w:r>
    </w:p>
    <w:p>
      <w:pPr>
        <w:pStyle w:val="26"/>
        <w:tabs>
          <w:tab w:val="right" w:leader="dot" w:pos="8306"/>
        </w:tabs>
      </w:pPr>
      <w:r>
        <w:fldChar w:fldCharType="begin"/>
      </w:r>
      <w:r>
        <w:instrText xml:space="preserve"> HYPERLINK \l _Toc16209 </w:instrText>
      </w:r>
      <w:r>
        <w:fldChar w:fldCharType="separate"/>
      </w:r>
      <w:r>
        <w:rPr>
          <w:rFonts w:hint="eastAsia"/>
          <w:lang w:val="en-US" w:eastAsia="zh-CN"/>
        </w:rPr>
        <w:t>（四）</w:t>
      </w:r>
      <w:r>
        <w:rPr>
          <w:rFonts w:hint="eastAsia"/>
        </w:rPr>
        <w:t>人员岗位职责</w:t>
      </w:r>
      <w:r>
        <w:tab/>
      </w:r>
      <w:r>
        <w:fldChar w:fldCharType="begin"/>
      </w:r>
      <w:r>
        <w:instrText xml:space="preserve"> PAGEREF _Toc16209 \h </w:instrText>
      </w:r>
      <w:r>
        <w:fldChar w:fldCharType="separate"/>
      </w:r>
      <w:r>
        <w:t>118</w:t>
      </w:r>
      <w:r>
        <w:fldChar w:fldCharType="end"/>
      </w:r>
      <w:r>
        <w:fldChar w:fldCharType="end"/>
      </w:r>
    </w:p>
    <w:p>
      <w:pPr>
        <w:pStyle w:val="20"/>
        <w:tabs>
          <w:tab w:val="right" w:leader="dot" w:pos="8306"/>
        </w:tabs>
      </w:pPr>
      <w:r>
        <w:fldChar w:fldCharType="begin"/>
      </w:r>
      <w:r>
        <w:instrText xml:space="preserve"> HYPERLINK \l _Toc15189 </w:instrText>
      </w:r>
      <w:r>
        <w:fldChar w:fldCharType="separate"/>
      </w:r>
      <w:r>
        <w:rPr>
          <w:rFonts w:hint="eastAsia"/>
          <w:lang w:val="en-US" w:eastAsia="zh-CN"/>
        </w:rPr>
        <w:t>五、</w:t>
      </w:r>
      <w:r>
        <w:rPr>
          <w:rFonts w:hint="eastAsia"/>
        </w:rPr>
        <w:t>拟配备的技术人员更换的违约处罚措施</w:t>
      </w:r>
      <w:r>
        <w:tab/>
      </w:r>
      <w:r>
        <w:fldChar w:fldCharType="begin"/>
      </w:r>
      <w:r>
        <w:instrText xml:space="preserve"> PAGEREF _Toc15189 \h </w:instrText>
      </w:r>
      <w:r>
        <w:fldChar w:fldCharType="separate"/>
      </w:r>
      <w:r>
        <w:t>145</w:t>
      </w:r>
      <w:r>
        <w:fldChar w:fldCharType="end"/>
      </w:r>
      <w:r>
        <w:fldChar w:fldCharType="end"/>
      </w:r>
    </w:p>
    <w:p>
      <w:pPr>
        <w:pStyle w:val="20"/>
        <w:tabs>
          <w:tab w:val="right" w:leader="dot" w:pos="8306"/>
        </w:tabs>
      </w:pPr>
      <w:r>
        <w:fldChar w:fldCharType="begin"/>
      </w:r>
      <w:r>
        <w:instrText xml:space="preserve"> HYPERLINK \l _Toc7083 </w:instrText>
      </w:r>
      <w:r>
        <w:fldChar w:fldCharType="separate"/>
      </w:r>
      <w:r>
        <w:rPr>
          <w:rFonts w:hint="eastAsia"/>
          <w:lang w:val="en-US" w:eastAsia="zh-CN"/>
        </w:rPr>
        <w:t>六、</w:t>
      </w:r>
      <w:r>
        <w:t>备品、备货措施</w:t>
      </w:r>
      <w:r>
        <w:tab/>
      </w:r>
      <w:r>
        <w:fldChar w:fldCharType="begin"/>
      </w:r>
      <w:r>
        <w:instrText xml:space="preserve"> PAGEREF _Toc7083 \h </w:instrText>
      </w:r>
      <w:r>
        <w:fldChar w:fldCharType="separate"/>
      </w:r>
      <w:r>
        <w:t>146</w:t>
      </w:r>
      <w:r>
        <w:fldChar w:fldCharType="end"/>
      </w:r>
      <w:r>
        <w:fldChar w:fldCharType="end"/>
      </w:r>
    </w:p>
    <w:p>
      <w:pPr>
        <w:pStyle w:val="26"/>
        <w:tabs>
          <w:tab w:val="right" w:leader="dot" w:pos="8306"/>
        </w:tabs>
      </w:pPr>
      <w:r>
        <w:fldChar w:fldCharType="begin"/>
      </w:r>
      <w:r>
        <w:instrText xml:space="preserve"> HYPERLINK \l _Toc32179 </w:instrText>
      </w:r>
      <w:r>
        <w:fldChar w:fldCharType="separate"/>
      </w:r>
      <w:r>
        <w:rPr>
          <w:rFonts w:hint="eastAsia"/>
          <w:lang w:val="en-US" w:eastAsia="zh-CN"/>
        </w:rPr>
        <w:t>（一）售后供货数量发生变化的备货措施</w:t>
      </w:r>
      <w:r>
        <w:tab/>
      </w:r>
      <w:r>
        <w:fldChar w:fldCharType="begin"/>
      </w:r>
      <w:r>
        <w:instrText xml:space="preserve"> PAGEREF _Toc32179 \h </w:instrText>
      </w:r>
      <w:r>
        <w:fldChar w:fldCharType="separate"/>
      </w:r>
      <w:r>
        <w:t>146</w:t>
      </w:r>
      <w:r>
        <w:fldChar w:fldCharType="end"/>
      </w:r>
      <w:r>
        <w:fldChar w:fldCharType="end"/>
      </w:r>
    </w:p>
    <w:p>
      <w:pPr>
        <w:pStyle w:val="26"/>
        <w:tabs>
          <w:tab w:val="right" w:leader="dot" w:pos="8306"/>
        </w:tabs>
      </w:pPr>
      <w:r>
        <w:fldChar w:fldCharType="begin"/>
      </w:r>
      <w:r>
        <w:instrText xml:space="preserve"> HYPERLINK \l _Toc3567 </w:instrText>
      </w:r>
      <w:r>
        <w:fldChar w:fldCharType="separate"/>
      </w:r>
      <w:r>
        <w:rPr>
          <w:rFonts w:hint="eastAsia"/>
          <w:lang w:val="en-US" w:eastAsia="zh-CN"/>
        </w:rPr>
        <w:t>（二）售后遇有紧急情况的备货措施</w:t>
      </w:r>
      <w:r>
        <w:tab/>
      </w:r>
      <w:r>
        <w:fldChar w:fldCharType="begin"/>
      </w:r>
      <w:r>
        <w:instrText xml:space="preserve"> PAGEREF _Toc3567 \h </w:instrText>
      </w:r>
      <w:r>
        <w:fldChar w:fldCharType="separate"/>
      </w:r>
      <w:r>
        <w:t>146</w:t>
      </w:r>
      <w:r>
        <w:fldChar w:fldCharType="end"/>
      </w:r>
      <w:r>
        <w:fldChar w:fldCharType="end"/>
      </w:r>
    </w:p>
    <w:p>
      <w:pPr>
        <w:pStyle w:val="26"/>
        <w:tabs>
          <w:tab w:val="right" w:leader="dot" w:pos="8306"/>
        </w:tabs>
      </w:pPr>
      <w:r>
        <w:fldChar w:fldCharType="begin"/>
      </w:r>
      <w:r>
        <w:instrText xml:space="preserve"> HYPERLINK \l _Toc15342 </w:instrText>
      </w:r>
      <w:r>
        <w:fldChar w:fldCharType="separate"/>
      </w:r>
      <w:r>
        <w:rPr>
          <w:rFonts w:hint="eastAsia"/>
          <w:lang w:val="en-US" w:eastAsia="zh-CN"/>
        </w:rPr>
        <w:t>（三）</w:t>
      </w:r>
      <w:r>
        <w:rPr>
          <w:rFonts w:hint="eastAsia"/>
        </w:rPr>
        <w:t>紧急运输响应速度</w:t>
      </w:r>
      <w:r>
        <w:tab/>
      </w:r>
      <w:r>
        <w:fldChar w:fldCharType="begin"/>
      </w:r>
      <w:r>
        <w:instrText xml:space="preserve"> PAGEREF _Toc15342 \h </w:instrText>
      </w:r>
      <w:r>
        <w:fldChar w:fldCharType="separate"/>
      </w:r>
      <w:r>
        <w:t>147</w:t>
      </w:r>
      <w:r>
        <w:fldChar w:fldCharType="end"/>
      </w:r>
      <w:r>
        <w:fldChar w:fldCharType="end"/>
      </w:r>
    </w:p>
    <w:p>
      <w:pPr>
        <w:pStyle w:val="26"/>
        <w:tabs>
          <w:tab w:val="right" w:leader="dot" w:pos="8306"/>
        </w:tabs>
      </w:pPr>
      <w:r>
        <w:fldChar w:fldCharType="begin"/>
      </w:r>
      <w:r>
        <w:instrText xml:space="preserve"> HYPERLINK \l _Toc20683 </w:instrText>
      </w:r>
      <w:r>
        <w:fldChar w:fldCharType="separate"/>
      </w:r>
      <w:r>
        <w:rPr>
          <w:rFonts w:hint="eastAsia"/>
          <w:lang w:val="en-US" w:eastAsia="zh-CN"/>
        </w:rPr>
        <w:t>（四）</w:t>
      </w:r>
      <w:r>
        <w:rPr>
          <w:rFonts w:hint="eastAsia"/>
        </w:rPr>
        <w:t>紧急运输措施</w:t>
      </w:r>
      <w:r>
        <w:tab/>
      </w:r>
      <w:r>
        <w:fldChar w:fldCharType="begin"/>
      </w:r>
      <w:r>
        <w:instrText xml:space="preserve"> PAGEREF _Toc20683 \h </w:instrText>
      </w:r>
      <w:r>
        <w:fldChar w:fldCharType="separate"/>
      </w:r>
      <w:r>
        <w:t>147</w:t>
      </w:r>
      <w:r>
        <w:fldChar w:fldCharType="end"/>
      </w:r>
      <w:r>
        <w:fldChar w:fldCharType="end"/>
      </w:r>
    </w:p>
    <w:p>
      <w:pPr>
        <w:pStyle w:val="28"/>
        <w:tabs>
          <w:tab w:val="right" w:leader="dot" w:pos="8306"/>
        </w:tabs>
      </w:pPr>
      <w:r>
        <w:fldChar w:fldCharType="begin"/>
      </w:r>
      <w:r>
        <w:instrText xml:space="preserve"> HYPERLINK \l _Toc17622 </w:instrText>
      </w:r>
      <w:r>
        <w:fldChar w:fldCharType="separate"/>
      </w:r>
      <w:r>
        <w:rPr>
          <w:rFonts w:hint="eastAsia"/>
          <w:lang w:val="en-US" w:eastAsia="zh-CN"/>
        </w:rPr>
        <w:t xml:space="preserve">第七节  </w:t>
      </w:r>
      <w:r>
        <w:rPr>
          <w:rFonts w:hint="eastAsia"/>
        </w:rPr>
        <w:t>项目运输方案</w:t>
      </w:r>
      <w:r>
        <w:tab/>
      </w:r>
      <w:r>
        <w:fldChar w:fldCharType="begin"/>
      </w:r>
      <w:r>
        <w:instrText xml:space="preserve"> PAGEREF _Toc17622 \h </w:instrText>
      </w:r>
      <w:r>
        <w:fldChar w:fldCharType="separate"/>
      </w:r>
      <w:r>
        <w:t>148</w:t>
      </w:r>
      <w:r>
        <w:fldChar w:fldCharType="end"/>
      </w:r>
      <w:r>
        <w:fldChar w:fldCharType="end"/>
      </w:r>
    </w:p>
    <w:p>
      <w:pPr>
        <w:pStyle w:val="20"/>
        <w:tabs>
          <w:tab w:val="right" w:leader="dot" w:pos="8306"/>
        </w:tabs>
      </w:pPr>
      <w:r>
        <w:fldChar w:fldCharType="begin"/>
      </w:r>
      <w:r>
        <w:instrText xml:space="preserve"> HYPERLINK \l _Toc25409 </w:instrText>
      </w:r>
      <w:r>
        <w:fldChar w:fldCharType="separate"/>
      </w:r>
      <w:r>
        <w:rPr>
          <w:rFonts w:hint="eastAsia"/>
          <w:lang w:val="en-US" w:eastAsia="zh-CN"/>
        </w:rPr>
        <w:t>一、</w:t>
      </w:r>
      <w:r>
        <w:rPr>
          <w:rFonts w:hint="eastAsia"/>
        </w:rPr>
        <w:t>货物装卸方案</w:t>
      </w:r>
      <w:r>
        <w:tab/>
      </w:r>
      <w:r>
        <w:fldChar w:fldCharType="begin"/>
      </w:r>
      <w:r>
        <w:instrText xml:space="preserve"> PAGEREF _Toc25409 \h </w:instrText>
      </w:r>
      <w:r>
        <w:fldChar w:fldCharType="separate"/>
      </w:r>
      <w:r>
        <w:t>148</w:t>
      </w:r>
      <w:r>
        <w:fldChar w:fldCharType="end"/>
      </w:r>
      <w:r>
        <w:fldChar w:fldCharType="end"/>
      </w:r>
    </w:p>
    <w:p>
      <w:pPr>
        <w:pStyle w:val="26"/>
        <w:tabs>
          <w:tab w:val="right" w:leader="dot" w:pos="8306"/>
        </w:tabs>
      </w:pPr>
      <w:r>
        <w:fldChar w:fldCharType="begin"/>
      </w:r>
      <w:r>
        <w:instrText xml:space="preserve"> HYPERLINK \l _Toc8464 </w:instrText>
      </w:r>
      <w:r>
        <w:fldChar w:fldCharType="separate"/>
      </w:r>
      <w:r>
        <w:rPr>
          <w:rFonts w:hint="eastAsia"/>
          <w:lang w:val="en-US" w:eastAsia="zh-CN"/>
        </w:rPr>
        <w:t>（一）</w:t>
      </w:r>
      <w:r>
        <w:rPr>
          <w:rFonts w:hint="eastAsia"/>
        </w:rPr>
        <w:t>装卸人员</w:t>
      </w:r>
      <w:r>
        <w:tab/>
      </w:r>
      <w:r>
        <w:fldChar w:fldCharType="begin"/>
      </w:r>
      <w:r>
        <w:instrText xml:space="preserve"> PAGEREF _Toc8464 \h </w:instrText>
      </w:r>
      <w:r>
        <w:fldChar w:fldCharType="separate"/>
      </w:r>
      <w:r>
        <w:t>148</w:t>
      </w:r>
      <w:r>
        <w:fldChar w:fldCharType="end"/>
      </w:r>
      <w:r>
        <w:fldChar w:fldCharType="end"/>
      </w:r>
    </w:p>
    <w:p>
      <w:pPr>
        <w:pStyle w:val="26"/>
        <w:tabs>
          <w:tab w:val="right" w:leader="dot" w:pos="8306"/>
        </w:tabs>
      </w:pPr>
      <w:r>
        <w:fldChar w:fldCharType="begin"/>
      </w:r>
      <w:r>
        <w:instrText xml:space="preserve"> HYPERLINK \l _Toc16992 </w:instrText>
      </w:r>
      <w:r>
        <w:fldChar w:fldCharType="separate"/>
      </w:r>
      <w:r>
        <w:rPr>
          <w:rFonts w:hint="eastAsia"/>
          <w:lang w:val="en-US" w:eastAsia="zh-CN"/>
        </w:rPr>
        <w:t>（二）</w:t>
      </w:r>
      <w:r>
        <w:rPr>
          <w:rFonts w:hint="eastAsia"/>
        </w:rPr>
        <w:t>装卸工具</w:t>
      </w:r>
      <w:r>
        <w:tab/>
      </w:r>
      <w:r>
        <w:fldChar w:fldCharType="begin"/>
      </w:r>
      <w:r>
        <w:instrText xml:space="preserve"> PAGEREF _Toc16992 \h </w:instrText>
      </w:r>
      <w:r>
        <w:fldChar w:fldCharType="separate"/>
      </w:r>
      <w:r>
        <w:t>148</w:t>
      </w:r>
      <w:r>
        <w:fldChar w:fldCharType="end"/>
      </w:r>
      <w:r>
        <w:fldChar w:fldCharType="end"/>
      </w:r>
    </w:p>
    <w:p>
      <w:pPr>
        <w:pStyle w:val="26"/>
        <w:tabs>
          <w:tab w:val="right" w:leader="dot" w:pos="8306"/>
        </w:tabs>
      </w:pPr>
      <w:r>
        <w:fldChar w:fldCharType="begin"/>
      </w:r>
      <w:r>
        <w:instrText xml:space="preserve"> HYPERLINK \l _Toc7270 </w:instrText>
      </w:r>
      <w:r>
        <w:fldChar w:fldCharType="separate"/>
      </w:r>
      <w:r>
        <w:rPr>
          <w:rFonts w:hint="eastAsia"/>
          <w:lang w:eastAsia="zh-CN"/>
        </w:rPr>
        <w:t>（</w:t>
      </w:r>
      <w:r>
        <w:rPr>
          <w:rFonts w:hint="eastAsia"/>
          <w:lang w:val="en-US" w:eastAsia="zh-CN"/>
        </w:rPr>
        <w:t>三</w:t>
      </w:r>
      <w:r>
        <w:rPr>
          <w:rFonts w:hint="eastAsia"/>
          <w:lang w:eastAsia="zh-CN"/>
        </w:rPr>
        <w:t>）</w:t>
      </w:r>
      <w:r>
        <w:rPr>
          <w:rFonts w:hint="eastAsia"/>
        </w:rPr>
        <w:t>装货方案</w:t>
      </w:r>
      <w:r>
        <w:tab/>
      </w:r>
      <w:r>
        <w:fldChar w:fldCharType="begin"/>
      </w:r>
      <w:r>
        <w:instrText xml:space="preserve"> PAGEREF _Toc7270 \h </w:instrText>
      </w:r>
      <w:r>
        <w:fldChar w:fldCharType="separate"/>
      </w:r>
      <w:r>
        <w:t>154</w:t>
      </w:r>
      <w:r>
        <w:fldChar w:fldCharType="end"/>
      </w:r>
      <w:r>
        <w:fldChar w:fldCharType="end"/>
      </w:r>
    </w:p>
    <w:p>
      <w:pPr>
        <w:pStyle w:val="26"/>
        <w:tabs>
          <w:tab w:val="right" w:leader="dot" w:pos="8306"/>
        </w:tabs>
      </w:pPr>
      <w:r>
        <w:fldChar w:fldCharType="begin"/>
      </w:r>
      <w:r>
        <w:instrText xml:space="preserve"> HYPERLINK \l _Toc10722 </w:instrText>
      </w:r>
      <w:r>
        <w:fldChar w:fldCharType="separate"/>
      </w:r>
      <w:r>
        <w:rPr>
          <w:rFonts w:hint="eastAsia"/>
          <w:lang w:eastAsia="zh-CN"/>
        </w:rPr>
        <w:t>（</w:t>
      </w:r>
      <w:r>
        <w:rPr>
          <w:rFonts w:hint="eastAsia"/>
          <w:lang w:val="en-US" w:eastAsia="zh-CN"/>
        </w:rPr>
        <w:t>四</w:t>
      </w:r>
      <w:r>
        <w:rPr>
          <w:rFonts w:hint="eastAsia"/>
          <w:lang w:eastAsia="zh-CN"/>
        </w:rPr>
        <w:t>）</w:t>
      </w:r>
      <w:r>
        <w:rPr>
          <w:rFonts w:hint="eastAsia"/>
        </w:rPr>
        <w:t>卸货方案</w:t>
      </w:r>
      <w:r>
        <w:tab/>
      </w:r>
      <w:r>
        <w:fldChar w:fldCharType="begin"/>
      </w:r>
      <w:r>
        <w:instrText xml:space="preserve"> PAGEREF _Toc10722 \h </w:instrText>
      </w:r>
      <w:r>
        <w:fldChar w:fldCharType="separate"/>
      </w:r>
      <w:r>
        <w:t>156</w:t>
      </w:r>
      <w:r>
        <w:fldChar w:fldCharType="end"/>
      </w:r>
      <w:r>
        <w:fldChar w:fldCharType="end"/>
      </w:r>
    </w:p>
    <w:p>
      <w:pPr>
        <w:pStyle w:val="26"/>
        <w:tabs>
          <w:tab w:val="right" w:leader="dot" w:pos="8306"/>
        </w:tabs>
      </w:pPr>
      <w:r>
        <w:fldChar w:fldCharType="begin"/>
      </w:r>
      <w:r>
        <w:instrText xml:space="preserve"> HYPERLINK \l _Toc28280 </w:instrText>
      </w:r>
      <w:r>
        <w:fldChar w:fldCharType="separate"/>
      </w:r>
      <w:r>
        <w:rPr>
          <w:rFonts w:hint="eastAsia"/>
          <w:lang w:eastAsia="zh-CN"/>
        </w:rPr>
        <w:t>（</w:t>
      </w:r>
      <w:r>
        <w:rPr>
          <w:rFonts w:hint="eastAsia"/>
          <w:lang w:val="en-US" w:eastAsia="zh-CN"/>
        </w:rPr>
        <w:t>五</w:t>
      </w:r>
      <w:r>
        <w:rPr>
          <w:rFonts w:hint="eastAsia"/>
          <w:lang w:eastAsia="zh-CN"/>
        </w:rPr>
        <w:t>）</w:t>
      </w:r>
      <w:r>
        <w:rPr>
          <w:rFonts w:hint="eastAsia"/>
        </w:rPr>
        <w:t>装卸安全管理</w:t>
      </w:r>
      <w:r>
        <w:tab/>
      </w:r>
      <w:r>
        <w:fldChar w:fldCharType="begin"/>
      </w:r>
      <w:r>
        <w:instrText xml:space="preserve"> PAGEREF _Toc28280 \h </w:instrText>
      </w:r>
      <w:r>
        <w:fldChar w:fldCharType="separate"/>
      </w:r>
      <w:r>
        <w:t>157</w:t>
      </w:r>
      <w:r>
        <w:fldChar w:fldCharType="end"/>
      </w:r>
      <w:r>
        <w:fldChar w:fldCharType="end"/>
      </w:r>
    </w:p>
    <w:p>
      <w:pPr>
        <w:pStyle w:val="20"/>
        <w:tabs>
          <w:tab w:val="right" w:leader="dot" w:pos="8306"/>
        </w:tabs>
      </w:pPr>
      <w:r>
        <w:fldChar w:fldCharType="begin"/>
      </w:r>
      <w:r>
        <w:instrText xml:space="preserve"> HYPERLINK \l _Toc23171 </w:instrText>
      </w:r>
      <w:r>
        <w:fldChar w:fldCharType="separate"/>
      </w:r>
      <w:r>
        <w:rPr>
          <w:rFonts w:hint="eastAsia"/>
          <w:lang w:val="en-US" w:eastAsia="zh-CN"/>
        </w:rPr>
        <w:t>二、</w:t>
      </w:r>
      <w:r>
        <w:rPr>
          <w:rFonts w:hint="eastAsia"/>
        </w:rPr>
        <w:t>货物运输流程</w:t>
      </w:r>
      <w:r>
        <w:tab/>
      </w:r>
      <w:r>
        <w:fldChar w:fldCharType="begin"/>
      </w:r>
      <w:r>
        <w:instrText xml:space="preserve"> PAGEREF _Toc23171 \h </w:instrText>
      </w:r>
      <w:r>
        <w:fldChar w:fldCharType="separate"/>
      </w:r>
      <w:r>
        <w:t>161</w:t>
      </w:r>
      <w:r>
        <w:fldChar w:fldCharType="end"/>
      </w:r>
      <w:r>
        <w:fldChar w:fldCharType="end"/>
      </w:r>
    </w:p>
    <w:p>
      <w:pPr>
        <w:pStyle w:val="20"/>
        <w:tabs>
          <w:tab w:val="right" w:leader="dot" w:pos="8306"/>
        </w:tabs>
      </w:pPr>
      <w:r>
        <w:fldChar w:fldCharType="begin"/>
      </w:r>
      <w:r>
        <w:instrText xml:space="preserve"> HYPERLINK \l _Toc9769 </w:instrText>
      </w:r>
      <w:r>
        <w:fldChar w:fldCharType="separate"/>
      </w:r>
      <w:r>
        <w:rPr>
          <w:rFonts w:hint="eastAsia"/>
          <w:lang w:val="en-US" w:eastAsia="zh-CN"/>
        </w:rPr>
        <w:t>三、</w:t>
      </w:r>
      <w:r>
        <w:rPr>
          <w:rFonts w:hint="eastAsia"/>
        </w:rPr>
        <w:t>运输实施计划</w:t>
      </w:r>
      <w:r>
        <w:tab/>
      </w:r>
      <w:r>
        <w:fldChar w:fldCharType="begin"/>
      </w:r>
      <w:r>
        <w:instrText xml:space="preserve"> PAGEREF _Toc9769 \h </w:instrText>
      </w:r>
      <w:r>
        <w:fldChar w:fldCharType="separate"/>
      </w:r>
      <w:r>
        <w:t>163</w:t>
      </w:r>
      <w:r>
        <w:fldChar w:fldCharType="end"/>
      </w:r>
      <w:r>
        <w:fldChar w:fldCharType="end"/>
      </w:r>
    </w:p>
    <w:p>
      <w:pPr>
        <w:pStyle w:val="26"/>
        <w:tabs>
          <w:tab w:val="right" w:leader="dot" w:pos="8306"/>
        </w:tabs>
      </w:pPr>
      <w:r>
        <w:fldChar w:fldCharType="begin"/>
      </w:r>
      <w:r>
        <w:instrText xml:space="preserve"> HYPERLINK \l _Toc7250 </w:instrText>
      </w:r>
      <w:r>
        <w:fldChar w:fldCharType="separate"/>
      </w:r>
      <w:r>
        <w:rPr>
          <w:rFonts w:hint="eastAsia"/>
          <w:lang w:eastAsia="zh-CN"/>
        </w:rPr>
        <w:t>（</w:t>
      </w:r>
      <w:r>
        <w:rPr>
          <w:rFonts w:hint="eastAsia"/>
          <w:lang w:val="en-US" w:eastAsia="zh-CN"/>
        </w:rPr>
        <w:t>一</w:t>
      </w:r>
      <w:r>
        <w:rPr>
          <w:rFonts w:hint="eastAsia"/>
          <w:lang w:eastAsia="zh-CN"/>
        </w:rPr>
        <w:t>）</w:t>
      </w:r>
      <w:r>
        <w:rPr>
          <w:rFonts w:hint="eastAsia"/>
        </w:rPr>
        <w:t>运输人员</w:t>
      </w:r>
      <w:r>
        <w:tab/>
      </w:r>
      <w:r>
        <w:fldChar w:fldCharType="begin"/>
      </w:r>
      <w:r>
        <w:instrText xml:space="preserve"> PAGEREF _Toc7250 \h </w:instrText>
      </w:r>
      <w:r>
        <w:fldChar w:fldCharType="separate"/>
      </w:r>
      <w:r>
        <w:t>163</w:t>
      </w:r>
      <w:r>
        <w:fldChar w:fldCharType="end"/>
      </w:r>
      <w:r>
        <w:fldChar w:fldCharType="end"/>
      </w:r>
    </w:p>
    <w:p>
      <w:pPr>
        <w:pStyle w:val="26"/>
        <w:tabs>
          <w:tab w:val="right" w:leader="dot" w:pos="8306"/>
        </w:tabs>
      </w:pPr>
      <w:r>
        <w:fldChar w:fldCharType="begin"/>
      </w:r>
      <w:r>
        <w:instrText xml:space="preserve"> HYPERLINK \l _Toc21818 </w:instrText>
      </w:r>
      <w:r>
        <w:fldChar w:fldCharType="separate"/>
      </w:r>
      <w:r>
        <w:rPr>
          <w:rFonts w:hint="eastAsia"/>
          <w:lang w:eastAsia="zh-CN"/>
        </w:rPr>
        <w:t>（</w:t>
      </w:r>
      <w:r>
        <w:rPr>
          <w:rFonts w:hint="eastAsia"/>
          <w:lang w:val="en-US" w:eastAsia="zh-CN"/>
        </w:rPr>
        <w:t>二</w:t>
      </w:r>
      <w:r>
        <w:rPr>
          <w:rFonts w:hint="eastAsia"/>
          <w:lang w:eastAsia="zh-CN"/>
        </w:rPr>
        <w:t>）</w:t>
      </w:r>
      <w:r>
        <w:rPr>
          <w:rFonts w:hint="eastAsia"/>
        </w:rPr>
        <w:t>运输车辆</w:t>
      </w:r>
      <w:r>
        <w:tab/>
      </w:r>
      <w:r>
        <w:fldChar w:fldCharType="begin"/>
      </w:r>
      <w:r>
        <w:instrText xml:space="preserve"> PAGEREF _Toc21818 \h </w:instrText>
      </w:r>
      <w:r>
        <w:fldChar w:fldCharType="separate"/>
      </w:r>
      <w:r>
        <w:t>163</w:t>
      </w:r>
      <w:r>
        <w:fldChar w:fldCharType="end"/>
      </w:r>
      <w:r>
        <w:fldChar w:fldCharType="end"/>
      </w:r>
    </w:p>
    <w:p>
      <w:pPr>
        <w:pStyle w:val="26"/>
        <w:tabs>
          <w:tab w:val="right" w:leader="dot" w:pos="8306"/>
        </w:tabs>
      </w:pPr>
      <w:r>
        <w:fldChar w:fldCharType="begin"/>
      </w:r>
      <w:r>
        <w:instrText xml:space="preserve"> HYPERLINK \l _Toc9290 </w:instrText>
      </w:r>
      <w:r>
        <w:fldChar w:fldCharType="separate"/>
      </w:r>
      <w:r>
        <w:rPr>
          <w:rFonts w:hint="eastAsia"/>
          <w:lang w:eastAsia="zh-CN"/>
        </w:rPr>
        <w:t>（</w:t>
      </w:r>
      <w:r>
        <w:rPr>
          <w:rFonts w:hint="eastAsia"/>
          <w:lang w:val="en-US" w:eastAsia="zh-CN"/>
        </w:rPr>
        <w:t>三</w:t>
      </w:r>
      <w:r>
        <w:rPr>
          <w:rFonts w:hint="eastAsia"/>
          <w:lang w:eastAsia="zh-CN"/>
        </w:rPr>
        <w:t>）</w:t>
      </w:r>
      <w:r>
        <w:rPr>
          <w:rFonts w:hint="eastAsia"/>
        </w:rPr>
        <w:t>运输承诺</w:t>
      </w:r>
      <w:r>
        <w:tab/>
      </w:r>
      <w:r>
        <w:fldChar w:fldCharType="begin"/>
      </w:r>
      <w:r>
        <w:instrText xml:space="preserve"> PAGEREF _Toc9290 \h </w:instrText>
      </w:r>
      <w:r>
        <w:fldChar w:fldCharType="separate"/>
      </w:r>
      <w:r>
        <w:t>163</w:t>
      </w:r>
      <w:r>
        <w:fldChar w:fldCharType="end"/>
      </w:r>
      <w:r>
        <w:fldChar w:fldCharType="end"/>
      </w:r>
    </w:p>
    <w:p>
      <w:pPr>
        <w:pStyle w:val="26"/>
        <w:tabs>
          <w:tab w:val="right" w:leader="dot" w:pos="8306"/>
        </w:tabs>
      </w:pPr>
      <w:r>
        <w:fldChar w:fldCharType="begin"/>
      </w:r>
      <w:r>
        <w:instrText xml:space="preserve"> HYPERLINK \l _Toc9710 </w:instrText>
      </w:r>
      <w:r>
        <w:fldChar w:fldCharType="separate"/>
      </w:r>
      <w:r>
        <w:rPr>
          <w:rFonts w:hint="eastAsia"/>
          <w:lang w:eastAsia="zh-CN"/>
        </w:rPr>
        <w:t>（</w:t>
      </w:r>
      <w:r>
        <w:rPr>
          <w:rFonts w:hint="eastAsia"/>
          <w:lang w:val="en-US" w:eastAsia="zh-CN"/>
        </w:rPr>
        <w:t>四</w:t>
      </w:r>
      <w:r>
        <w:rPr>
          <w:rFonts w:hint="eastAsia"/>
          <w:lang w:eastAsia="zh-CN"/>
        </w:rPr>
        <w:t>）</w:t>
      </w:r>
      <w:r>
        <w:rPr>
          <w:rFonts w:hint="eastAsia"/>
        </w:rPr>
        <w:t>运输服务方针</w:t>
      </w:r>
      <w:r>
        <w:tab/>
      </w:r>
      <w:r>
        <w:fldChar w:fldCharType="begin"/>
      </w:r>
      <w:r>
        <w:instrText xml:space="preserve"> PAGEREF _Toc9710 \h </w:instrText>
      </w:r>
      <w:r>
        <w:fldChar w:fldCharType="separate"/>
      </w:r>
      <w:r>
        <w:t>165</w:t>
      </w:r>
      <w:r>
        <w:fldChar w:fldCharType="end"/>
      </w:r>
      <w:r>
        <w:fldChar w:fldCharType="end"/>
      </w:r>
    </w:p>
    <w:p>
      <w:pPr>
        <w:pStyle w:val="26"/>
        <w:tabs>
          <w:tab w:val="right" w:leader="dot" w:pos="8306"/>
        </w:tabs>
      </w:pPr>
      <w:r>
        <w:fldChar w:fldCharType="begin"/>
      </w:r>
      <w:r>
        <w:instrText xml:space="preserve"> HYPERLINK \l _Toc32758 </w:instrText>
      </w:r>
      <w:r>
        <w:fldChar w:fldCharType="separate"/>
      </w:r>
      <w:r>
        <w:rPr>
          <w:rFonts w:hint="eastAsia"/>
          <w:lang w:eastAsia="zh-CN"/>
        </w:rPr>
        <w:t>（</w:t>
      </w:r>
      <w:r>
        <w:rPr>
          <w:rFonts w:hint="eastAsia"/>
          <w:lang w:val="en-US" w:eastAsia="zh-CN"/>
        </w:rPr>
        <w:t>五</w:t>
      </w:r>
      <w:r>
        <w:rPr>
          <w:rFonts w:hint="eastAsia"/>
          <w:lang w:eastAsia="zh-CN"/>
        </w:rPr>
        <w:t>）</w:t>
      </w:r>
      <w:r>
        <w:rPr>
          <w:rFonts w:hint="eastAsia"/>
        </w:rPr>
        <w:t>运输风险控制</w:t>
      </w:r>
      <w:r>
        <w:tab/>
      </w:r>
      <w:r>
        <w:fldChar w:fldCharType="begin"/>
      </w:r>
      <w:r>
        <w:instrText xml:space="preserve"> PAGEREF _Toc32758 \h </w:instrText>
      </w:r>
      <w:r>
        <w:fldChar w:fldCharType="separate"/>
      </w:r>
      <w:r>
        <w:t>166</w:t>
      </w:r>
      <w:r>
        <w:fldChar w:fldCharType="end"/>
      </w:r>
      <w:r>
        <w:fldChar w:fldCharType="end"/>
      </w:r>
    </w:p>
    <w:p>
      <w:pPr>
        <w:pStyle w:val="26"/>
        <w:tabs>
          <w:tab w:val="right" w:leader="dot" w:pos="8306"/>
        </w:tabs>
      </w:pPr>
      <w:r>
        <w:fldChar w:fldCharType="begin"/>
      </w:r>
      <w:r>
        <w:instrText xml:space="preserve"> HYPERLINK \l _Toc4787 </w:instrText>
      </w:r>
      <w:r>
        <w:fldChar w:fldCharType="separate"/>
      </w:r>
      <w:r>
        <w:rPr>
          <w:rFonts w:hint="eastAsia"/>
          <w:lang w:eastAsia="zh-CN"/>
        </w:rPr>
        <w:t>（</w:t>
      </w:r>
      <w:r>
        <w:rPr>
          <w:rFonts w:hint="eastAsia"/>
          <w:lang w:val="en-US" w:eastAsia="zh-CN"/>
        </w:rPr>
        <w:t>六</w:t>
      </w:r>
      <w:r>
        <w:rPr>
          <w:rFonts w:hint="eastAsia"/>
          <w:lang w:eastAsia="zh-CN"/>
        </w:rPr>
        <w:t>）</w:t>
      </w:r>
      <w:r>
        <w:rPr>
          <w:rFonts w:hint="eastAsia"/>
        </w:rPr>
        <w:t>货物运输目标</w:t>
      </w:r>
      <w:r>
        <w:tab/>
      </w:r>
      <w:r>
        <w:fldChar w:fldCharType="begin"/>
      </w:r>
      <w:r>
        <w:instrText xml:space="preserve"> PAGEREF _Toc4787 \h </w:instrText>
      </w:r>
      <w:r>
        <w:fldChar w:fldCharType="separate"/>
      </w:r>
      <w:r>
        <w:t>166</w:t>
      </w:r>
      <w:r>
        <w:fldChar w:fldCharType="end"/>
      </w:r>
      <w:r>
        <w:fldChar w:fldCharType="end"/>
      </w:r>
    </w:p>
    <w:p>
      <w:pPr>
        <w:pStyle w:val="26"/>
        <w:tabs>
          <w:tab w:val="right" w:leader="dot" w:pos="8306"/>
        </w:tabs>
      </w:pPr>
      <w:r>
        <w:fldChar w:fldCharType="begin"/>
      </w:r>
      <w:r>
        <w:instrText xml:space="preserve"> HYPERLINK \l _Toc32492 </w:instrText>
      </w:r>
      <w:r>
        <w:fldChar w:fldCharType="separate"/>
      </w:r>
      <w:r>
        <w:rPr>
          <w:rFonts w:hint="eastAsia"/>
          <w:lang w:eastAsia="zh-CN"/>
        </w:rPr>
        <w:t>（</w:t>
      </w:r>
      <w:r>
        <w:rPr>
          <w:rFonts w:hint="eastAsia"/>
          <w:lang w:val="en-US" w:eastAsia="zh-CN"/>
        </w:rPr>
        <w:t>七</w:t>
      </w:r>
      <w:r>
        <w:rPr>
          <w:rFonts w:hint="eastAsia"/>
          <w:lang w:eastAsia="zh-CN"/>
        </w:rPr>
        <w:t>）</w:t>
      </w:r>
      <w:r>
        <w:rPr>
          <w:rFonts w:hint="eastAsia"/>
        </w:rPr>
        <w:t>时间保障</w:t>
      </w:r>
      <w:r>
        <w:tab/>
      </w:r>
      <w:r>
        <w:fldChar w:fldCharType="begin"/>
      </w:r>
      <w:r>
        <w:instrText xml:space="preserve"> PAGEREF _Toc32492 \h </w:instrText>
      </w:r>
      <w:r>
        <w:fldChar w:fldCharType="separate"/>
      </w:r>
      <w:r>
        <w:t>168</w:t>
      </w:r>
      <w:r>
        <w:fldChar w:fldCharType="end"/>
      </w:r>
      <w:r>
        <w:fldChar w:fldCharType="end"/>
      </w:r>
    </w:p>
    <w:p>
      <w:pPr>
        <w:pStyle w:val="26"/>
        <w:tabs>
          <w:tab w:val="right" w:leader="dot" w:pos="8306"/>
        </w:tabs>
      </w:pPr>
      <w:r>
        <w:fldChar w:fldCharType="begin"/>
      </w:r>
      <w:r>
        <w:instrText xml:space="preserve"> HYPERLINK \l _Toc30751 </w:instrText>
      </w:r>
      <w:r>
        <w:fldChar w:fldCharType="separate"/>
      </w:r>
      <w:r>
        <w:rPr>
          <w:rFonts w:hint="eastAsia"/>
          <w:lang w:eastAsia="zh-CN"/>
        </w:rPr>
        <w:t>（</w:t>
      </w:r>
      <w:r>
        <w:rPr>
          <w:rFonts w:hint="eastAsia"/>
          <w:lang w:val="en-US" w:eastAsia="zh-CN"/>
        </w:rPr>
        <w:t>八</w:t>
      </w:r>
      <w:r>
        <w:rPr>
          <w:rFonts w:hint="eastAsia"/>
          <w:lang w:eastAsia="zh-CN"/>
        </w:rPr>
        <w:t>）</w:t>
      </w:r>
      <w:r>
        <w:rPr>
          <w:rFonts w:hint="eastAsia"/>
        </w:rPr>
        <w:t>安全保障</w:t>
      </w:r>
      <w:r>
        <w:tab/>
      </w:r>
      <w:r>
        <w:fldChar w:fldCharType="begin"/>
      </w:r>
      <w:r>
        <w:instrText xml:space="preserve"> PAGEREF _Toc30751 \h </w:instrText>
      </w:r>
      <w:r>
        <w:fldChar w:fldCharType="separate"/>
      </w:r>
      <w:r>
        <w:t>168</w:t>
      </w:r>
      <w:r>
        <w:fldChar w:fldCharType="end"/>
      </w:r>
      <w:r>
        <w:fldChar w:fldCharType="end"/>
      </w:r>
    </w:p>
    <w:p>
      <w:pPr>
        <w:pStyle w:val="26"/>
        <w:tabs>
          <w:tab w:val="right" w:leader="dot" w:pos="8306"/>
        </w:tabs>
      </w:pPr>
      <w:r>
        <w:fldChar w:fldCharType="begin"/>
      </w:r>
      <w:r>
        <w:instrText xml:space="preserve"> HYPERLINK \l _Toc4448 </w:instrText>
      </w:r>
      <w:r>
        <w:fldChar w:fldCharType="separate"/>
      </w:r>
      <w:r>
        <w:rPr>
          <w:rFonts w:hint="eastAsia"/>
          <w:lang w:eastAsia="zh-CN"/>
        </w:rPr>
        <w:t>（</w:t>
      </w:r>
      <w:r>
        <w:rPr>
          <w:rFonts w:hint="eastAsia"/>
          <w:lang w:val="en-US" w:eastAsia="zh-CN"/>
        </w:rPr>
        <w:t>九</w:t>
      </w:r>
      <w:r>
        <w:rPr>
          <w:rFonts w:hint="eastAsia"/>
          <w:lang w:eastAsia="zh-CN"/>
        </w:rPr>
        <w:t>）</w:t>
      </w:r>
      <w:r>
        <w:rPr>
          <w:rFonts w:hint="eastAsia"/>
        </w:rPr>
        <w:t>运输注意事项</w:t>
      </w:r>
      <w:r>
        <w:tab/>
      </w:r>
      <w:r>
        <w:fldChar w:fldCharType="begin"/>
      </w:r>
      <w:r>
        <w:instrText xml:space="preserve"> PAGEREF _Toc4448 \h </w:instrText>
      </w:r>
      <w:r>
        <w:fldChar w:fldCharType="separate"/>
      </w:r>
      <w:r>
        <w:t>170</w:t>
      </w:r>
      <w:r>
        <w:fldChar w:fldCharType="end"/>
      </w:r>
      <w:r>
        <w:fldChar w:fldCharType="end"/>
      </w:r>
    </w:p>
    <w:p>
      <w:pPr>
        <w:pStyle w:val="20"/>
        <w:tabs>
          <w:tab w:val="right" w:leader="dot" w:pos="8306"/>
        </w:tabs>
      </w:pPr>
      <w:r>
        <w:fldChar w:fldCharType="begin"/>
      </w:r>
      <w:r>
        <w:instrText xml:space="preserve"> HYPERLINK \l _Toc15296 </w:instrText>
      </w:r>
      <w:r>
        <w:fldChar w:fldCharType="separate"/>
      </w:r>
      <w:r>
        <w:rPr>
          <w:rFonts w:hint="eastAsia"/>
          <w:lang w:val="en-US" w:eastAsia="zh-CN"/>
        </w:rPr>
        <w:t>四、</w:t>
      </w:r>
      <w:r>
        <w:rPr>
          <w:rFonts w:hint="eastAsia"/>
        </w:rPr>
        <w:t>产品运输计划</w:t>
      </w:r>
      <w:r>
        <w:tab/>
      </w:r>
      <w:r>
        <w:fldChar w:fldCharType="begin"/>
      </w:r>
      <w:r>
        <w:instrText xml:space="preserve"> PAGEREF _Toc15296 \h </w:instrText>
      </w:r>
      <w:r>
        <w:fldChar w:fldCharType="separate"/>
      </w:r>
      <w:r>
        <w:t>172</w:t>
      </w:r>
      <w:r>
        <w:fldChar w:fldCharType="end"/>
      </w:r>
      <w:r>
        <w:fldChar w:fldCharType="end"/>
      </w:r>
    </w:p>
    <w:p>
      <w:pPr>
        <w:pStyle w:val="26"/>
        <w:tabs>
          <w:tab w:val="right" w:leader="dot" w:pos="8306"/>
        </w:tabs>
      </w:pPr>
      <w:r>
        <w:fldChar w:fldCharType="begin"/>
      </w:r>
      <w:r>
        <w:instrText xml:space="preserve"> HYPERLINK \l _Toc3110 </w:instrText>
      </w:r>
      <w:r>
        <w:fldChar w:fldCharType="separate"/>
      </w:r>
      <w:r>
        <w:rPr>
          <w:rFonts w:hint="eastAsia"/>
          <w:lang w:val="en-US" w:eastAsia="zh-CN"/>
        </w:rPr>
        <w:t>（一）</w:t>
      </w:r>
      <w:r>
        <w:rPr>
          <w:rFonts w:hint="eastAsia"/>
        </w:rPr>
        <w:t>产品运输计划</w:t>
      </w:r>
      <w:r>
        <w:tab/>
      </w:r>
      <w:r>
        <w:fldChar w:fldCharType="begin"/>
      </w:r>
      <w:r>
        <w:instrText xml:space="preserve"> PAGEREF _Toc3110 \h </w:instrText>
      </w:r>
      <w:r>
        <w:fldChar w:fldCharType="separate"/>
      </w:r>
      <w:r>
        <w:t>172</w:t>
      </w:r>
      <w:r>
        <w:fldChar w:fldCharType="end"/>
      </w:r>
      <w:r>
        <w:fldChar w:fldCharType="end"/>
      </w:r>
    </w:p>
    <w:p>
      <w:pPr>
        <w:pStyle w:val="26"/>
        <w:tabs>
          <w:tab w:val="right" w:leader="dot" w:pos="8306"/>
        </w:tabs>
      </w:pPr>
      <w:r>
        <w:fldChar w:fldCharType="begin"/>
      </w:r>
      <w:r>
        <w:instrText xml:space="preserve"> HYPERLINK \l _Toc22166 </w:instrText>
      </w:r>
      <w:r>
        <w:fldChar w:fldCharType="separate"/>
      </w:r>
      <w:r>
        <w:rPr>
          <w:rFonts w:hint="eastAsia"/>
          <w:lang w:val="en-US" w:eastAsia="zh-CN"/>
        </w:rPr>
        <w:t>（二）</w:t>
      </w:r>
      <w:r>
        <w:rPr>
          <w:rFonts w:hint="eastAsia"/>
        </w:rPr>
        <w:t>运输保障</w:t>
      </w:r>
      <w:r>
        <w:tab/>
      </w:r>
      <w:r>
        <w:fldChar w:fldCharType="begin"/>
      </w:r>
      <w:r>
        <w:instrText xml:space="preserve"> PAGEREF _Toc22166 \h </w:instrText>
      </w:r>
      <w:r>
        <w:fldChar w:fldCharType="separate"/>
      </w:r>
      <w:r>
        <w:t>182</w:t>
      </w:r>
      <w:r>
        <w:fldChar w:fldCharType="end"/>
      </w:r>
      <w:r>
        <w:fldChar w:fldCharType="end"/>
      </w:r>
    </w:p>
    <w:p>
      <w:pPr>
        <w:pStyle w:val="26"/>
        <w:tabs>
          <w:tab w:val="right" w:leader="dot" w:pos="8306"/>
        </w:tabs>
      </w:pPr>
      <w:r>
        <w:fldChar w:fldCharType="begin"/>
      </w:r>
      <w:r>
        <w:instrText xml:space="preserve"> HYPERLINK \l _Toc1489 </w:instrText>
      </w:r>
      <w:r>
        <w:fldChar w:fldCharType="separate"/>
      </w:r>
      <w:r>
        <w:rPr>
          <w:rFonts w:hint="eastAsia"/>
          <w:lang w:val="en-US" w:eastAsia="zh-CN"/>
        </w:rPr>
        <w:t>（三）</w:t>
      </w:r>
      <w:r>
        <w:rPr>
          <w:rFonts w:hint="eastAsia"/>
        </w:rPr>
        <w:t>产品配送流程图</w:t>
      </w:r>
      <w:r>
        <w:tab/>
      </w:r>
      <w:r>
        <w:fldChar w:fldCharType="begin"/>
      </w:r>
      <w:r>
        <w:instrText xml:space="preserve"> PAGEREF _Toc1489 \h </w:instrText>
      </w:r>
      <w:r>
        <w:fldChar w:fldCharType="separate"/>
      </w:r>
      <w:r>
        <w:t>183</w:t>
      </w:r>
      <w:r>
        <w:fldChar w:fldCharType="end"/>
      </w:r>
      <w:r>
        <w:fldChar w:fldCharType="end"/>
      </w:r>
    </w:p>
    <w:p>
      <w:pPr>
        <w:pStyle w:val="26"/>
        <w:tabs>
          <w:tab w:val="right" w:leader="dot" w:pos="8306"/>
        </w:tabs>
      </w:pPr>
      <w:r>
        <w:fldChar w:fldCharType="begin"/>
      </w:r>
      <w:r>
        <w:instrText xml:space="preserve"> HYPERLINK \l _Toc18477 </w:instrText>
      </w:r>
      <w:r>
        <w:fldChar w:fldCharType="separate"/>
      </w:r>
      <w:r>
        <w:rPr>
          <w:rFonts w:hint="eastAsia"/>
          <w:lang w:val="en-US" w:eastAsia="zh-CN"/>
        </w:rPr>
        <w:t>（四）</w:t>
      </w:r>
      <w:r>
        <w:rPr>
          <w:rFonts w:hint="eastAsia"/>
        </w:rPr>
        <w:t>配送操作规程</w:t>
      </w:r>
      <w:r>
        <w:tab/>
      </w:r>
      <w:r>
        <w:fldChar w:fldCharType="begin"/>
      </w:r>
      <w:r>
        <w:instrText xml:space="preserve"> PAGEREF _Toc18477 \h </w:instrText>
      </w:r>
      <w:r>
        <w:fldChar w:fldCharType="separate"/>
      </w:r>
      <w:r>
        <w:t>184</w:t>
      </w:r>
      <w:r>
        <w:fldChar w:fldCharType="end"/>
      </w:r>
      <w:r>
        <w:fldChar w:fldCharType="end"/>
      </w:r>
    </w:p>
    <w:p>
      <w:pPr>
        <w:pStyle w:val="26"/>
        <w:tabs>
          <w:tab w:val="right" w:leader="dot" w:pos="8306"/>
        </w:tabs>
      </w:pPr>
      <w:r>
        <w:fldChar w:fldCharType="begin"/>
      </w:r>
      <w:r>
        <w:instrText xml:space="preserve"> HYPERLINK \l _Toc24029 </w:instrText>
      </w:r>
      <w:r>
        <w:fldChar w:fldCharType="separate"/>
      </w:r>
      <w:r>
        <w:rPr>
          <w:rFonts w:hint="eastAsia"/>
          <w:lang w:val="en-US" w:eastAsia="zh-CN"/>
        </w:rPr>
        <w:t>（五）</w:t>
      </w:r>
      <w:r>
        <w:rPr>
          <w:rFonts w:hint="eastAsia"/>
        </w:rPr>
        <w:t>配送管理</w:t>
      </w:r>
      <w:r>
        <w:tab/>
      </w:r>
      <w:r>
        <w:fldChar w:fldCharType="begin"/>
      </w:r>
      <w:r>
        <w:instrText xml:space="preserve"> PAGEREF _Toc24029 \h </w:instrText>
      </w:r>
      <w:r>
        <w:fldChar w:fldCharType="separate"/>
      </w:r>
      <w:r>
        <w:t>186</w:t>
      </w:r>
      <w:r>
        <w:fldChar w:fldCharType="end"/>
      </w:r>
      <w:r>
        <w:fldChar w:fldCharType="end"/>
      </w:r>
    </w:p>
    <w:p>
      <w:pPr>
        <w:pStyle w:val="26"/>
        <w:tabs>
          <w:tab w:val="right" w:leader="dot" w:pos="8306"/>
        </w:tabs>
      </w:pPr>
      <w:r>
        <w:fldChar w:fldCharType="begin"/>
      </w:r>
      <w:r>
        <w:instrText xml:space="preserve"> HYPERLINK \l _Toc24497 </w:instrText>
      </w:r>
      <w:r>
        <w:fldChar w:fldCharType="separate"/>
      </w:r>
      <w:r>
        <w:rPr>
          <w:rFonts w:hint="eastAsia"/>
          <w:lang w:val="en-US" w:eastAsia="zh-CN"/>
        </w:rPr>
        <w:t>（六）</w:t>
      </w:r>
      <w:r>
        <w:rPr>
          <w:rFonts w:hint="eastAsia"/>
        </w:rPr>
        <w:t>产品应急配送计划</w:t>
      </w:r>
      <w:r>
        <w:tab/>
      </w:r>
      <w:r>
        <w:fldChar w:fldCharType="begin"/>
      </w:r>
      <w:r>
        <w:instrText xml:space="preserve"> PAGEREF _Toc24497 \h </w:instrText>
      </w:r>
      <w:r>
        <w:fldChar w:fldCharType="separate"/>
      </w:r>
      <w:r>
        <w:t>189</w:t>
      </w:r>
      <w:r>
        <w:fldChar w:fldCharType="end"/>
      </w:r>
      <w:r>
        <w:fldChar w:fldCharType="end"/>
      </w:r>
    </w:p>
    <w:p>
      <w:pPr>
        <w:pStyle w:val="26"/>
        <w:tabs>
          <w:tab w:val="right" w:leader="dot" w:pos="8306"/>
        </w:tabs>
      </w:pPr>
      <w:r>
        <w:fldChar w:fldCharType="begin"/>
      </w:r>
      <w:r>
        <w:instrText xml:space="preserve"> HYPERLINK \l _Toc17916 </w:instrText>
      </w:r>
      <w:r>
        <w:fldChar w:fldCharType="separate"/>
      </w:r>
      <w:r>
        <w:rPr>
          <w:rFonts w:hint="eastAsia"/>
          <w:lang w:val="en-US" w:eastAsia="zh-CN"/>
        </w:rPr>
        <w:t>（七）</w:t>
      </w:r>
      <w:r>
        <w:rPr>
          <w:rFonts w:hint="eastAsia"/>
        </w:rPr>
        <w:t>雨季运输服务方案</w:t>
      </w:r>
      <w:r>
        <w:tab/>
      </w:r>
      <w:r>
        <w:fldChar w:fldCharType="begin"/>
      </w:r>
      <w:r>
        <w:instrText xml:space="preserve"> PAGEREF _Toc17916 \h </w:instrText>
      </w:r>
      <w:r>
        <w:fldChar w:fldCharType="separate"/>
      </w:r>
      <w:r>
        <w:t>190</w:t>
      </w:r>
      <w:r>
        <w:fldChar w:fldCharType="end"/>
      </w:r>
      <w:r>
        <w:fldChar w:fldCharType="end"/>
      </w:r>
    </w:p>
    <w:p>
      <w:pPr>
        <w:pStyle w:val="26"/>
        <w:tabs>
          <w:tab w:val="right" w:leader="dot" w:pos="8306"/>
        </w:tabs>
      </w:pPr>
      <w:r>
        <w:fldChar w:fldCharType="begin"/>
      </w:r>
      <w:r>
        <w:instrText xml:space="preserve"> HYPERLINK \l _Toc29297 </w:instrText>
      </w:r>
      <w:r>
        <w:fldChar w:fldCharType="separate"/>
      </w:r>
      <w:r>
        <w:rPr>
          <w:rFonts w:hint="eastAsia"/>
          <w:lang w:val="en-US" w:eastAsia="zh-CN"/>
        </w:rPr>
        <w:t>（八）</w:t>
      </w:r>
      <w:r>
        <w:rPr>
          <w:rFonts w:hint="eastAsia"/>
        </w:rPr>
        <w:t>其它恶劣天气的运输应急预案</w:t>
      </w:r>
      <w:r>
        <w:tab/>
      </w:r>
      <w:r>
        <w:fldChar w:fldCharType="begin"/>
      </w:r>
      <w:r>
        <w:instrText xml:space="preserve"> PAGEREF _Toc29297 \h </w:instrText>
      </w:r>
      <w:r>
        <w:fldChar w:fldCharType="separate"/>
      </w:r>
      <w:r>
        <w:t>193</w:t>
      </w:r>
      <w:r>
        <w:fldChar w:fldCharType="end"/>
      </w:r>
      <w:r>
        <w:fldChar w:fldCharType="end"/>
      </w:r>
    </w:p>
    <w:p>
      <w:pPr>
        <w:pStyle w:val="26"/>
        <w:tabs>
          <w:tab w:val="right" w:leader="dot" w:pos="8306"/>
        </w:tabs>
      </w:pPr>
      <w:r>
        <w:fldChar w:fldCharType="begin"/>
      </w:r>
      <w:r>
        <w:instrText xml:space="preserve"> HYPERLINK \l _Toc9988 </w:instrText>
      </w:r>
      <w:r>
        <w:fldChar w:fldCharType="separate"/>
      </w:r>
      <w:r>
        <w:rPr>
          <w:rFonts w:hint="eastAsia"/>
          <w:lang w:val="en-US" w:eastAsia="zh-CN"/>
        </w:rPr>
        <w:t>（九）</w:t>
      </w:r>
      <w:r>
        <w:rPr>
          <w:rFonts w:hint="eastAsia"/>
        </w:rPr>
        <w:t>运输过程中的应急预案</w:t>
      </w:r>
      <w:r>
        <w:tab/>
      </w:r>
      <w:r>
        <w:fldChar w:fldCharType="begin"/>
      </w:r>
      <w:r>
        <w:instrText xml:space="preserve"> PAGEREF _Toc9988 \h </w:instrText>
      </w:r>
      <w:r>
        <w:fldChar w:fldCharType="separate"/>
      </w:r>
      <w:r>
        <w:t>198</w:t>
      </w:r>
      <w:r>
        <w:fldChar w:fldCharType="end"/>
      </w:r>
      <w:r>
        <w:fldChar w:fldCharType="end"/>
      </w:r>
    </w:p>
    <w:p>
      <w:pPr>
        <w:pStyle w:val="26"/>
        <w:tabs>
          <w:tab w:val="right" w:leader="dot" w:pos="8306"/>
        </w:tabs>
      </w:pPr>
      <w:r>
        <w:fldChar w:fldCharType="begin"/>
      </w:r>
      <w:r>
        <w:instrText xml:space="preserve"> HYPERLINK \l _Toc5033 </w:instrText>
      </w:r>
      <w:r>
        <w:fldChar w:fldCharType="separate"/>
      </w:r>
      <w:r>
        <w:rPr>
          <w:rFonts w:hint="eastAsia"/>
          <w:lang w:val="en-US" w:eastAsia="zh-CN"/>
        </w:rPr>
        <w:t>（十）</w:t>
      </w:r>
      <w:r>
        <w:rPr>
          <w:rFonts w:hint="eastAsia"/>
        </w:rPr>
        <w:t>配送人员及配送车辆安排</w:t>
      </w:r>
      <w:r>
        <w:tab/>
      </w:r>
      <w:r>
        <w:fldChar w:fldCharType="begin"/>
      </w:r>
      <w:r>
        <w:instrText xml:space="preserve"> PAGEREF _Toc5033 \h </w:instrText>
      </w:r>
      <w:r>
        <w:fldChar w:fldCharType="separate"/>
      </w:r>
      <w:r>
        <w:t>202</w:t>
      </w:r>
      <w:r>
        <w:fldChar w:fldCharType="end"/>
      </w:r>
      <w:r>
        <w:fldChar w:fldCharType="end"/>
      </w:r>
    </w:p>
    <w:p>
      <w:pPr>
        <w:pStyle w:val="20"/>
        <w:tabs>
          <w:tab w:val="right" w:leader="dot" w:pos="8306"/>
        </w:tabs>
      </w:pPr>
      <w:r>
        <w:fldChar w:fldCharType="begin"/>
      </w:r>
      <w:r>
        <w:instrText xml:space="preserve"> HYPERLINK \l _Toc17933 </w:instrText>
      </w:r>
      <w:r>
        <w:fldChar w:fldCharType="separate"/>
      </w:r>
      <w:r>
        <w:rPr>
          <w:rFonts w:hint="eastAsia"/>
          <w:lang w:val="en-US" w:eastAsia="zh-CN"/>
        </w:rPr>
        <w:t>五、</w:t>
      </w:r>
      <w:r>
        <w:rPr>
          <w:rFonts w:hint="eastAsia"/>
        </w:rPr>
        <w:t>运输安全管理制度</w:t>
      </w:r>
      <w:r>
        <w:tab/>
      </w:r>
      <w:r>
        <w:fldChar w:fldCharType="begin"/>
      </w:r>
      <w:r>
        <w:instrText xml:space="preserve"> PAGEREF _Toc17933 \h </w:instrText>
      </w:r>
      <w:r>
        <w:fldChar w:fldCharType="separate"/>
      </w:r>
      <w:r>
        <w:t>204</w:t>
      </w:r>
      <w:r>
        <w:fldChar w:fldCharType="end"/>
      </w:r>
      <w:r>
        <w:fldChar w:fldCharType="end"/>
      </w:r>
    </w:p>
    <w:p>
      <w:pPr>
        <w:pStyle w:val="26"/>
        <w:tabs>
          <w:tab w:val="right" w:leader="dot" w:pos="8306"/>
        </w:tabs>
      </w:pPr>
      <w:r>
        <w:fldChar w:fldCharType="begin"/>
      </w:r>
      <w:r>
        <w:instrText xml:space="preserve"> HYPERLINK \l _Toc16280 </w:instrText>
      </w:r>
      <w:r>
        <w:fldChar w:fldCharType="separate"/>
      </w:r>
      <w:r>
        <w:rPr>
          <w:rFonts w:hint="eastAsia"/>
          <w:lang w:val="en-US" w:eastAsia="zh-CN"/>
        </w:rPr>
        <w:t>（一）</w:t>
      </w:r>
      <w:r>
        <w:rPr>
          <w:rFonts w:hint="eastAsia"/>
        </w:rPr>
        <w:t>安全生产和岗位责任制度</w:t>
      </w:r>
      <w:r>
        <w:tab/>
      </w:r>
      <w:r>
        <w:fldChar w:fldCharType="begin"/>
      </w:r>
      <w:r>
        <w:instrText xml:space="preserve"> PAGEREF _Toc16280 \h </w:instrText>
      </w:r>
      <w:r>
        <w:fldChar w:fldCharType="separate"/>
      </w:r>
      <w:r>
        <w:t>204</w:t>
      </w:r>
      <w:r>
        <w:fldChar w:fldCharType="end"/>
      </w:r>
      <w:r>
        <w:fldChar w:fldCharType="end"/>
      </w:r>
    </w:p>
    <w:p>
      <w:pPr>
        <w:pStyle w:val="26"/>
        <w:tabs>
          <w:tab w:val="right" w:leader="dot" w:pos="8306"/>
        </w:tabs>
      </w:pPr>
      <w:r>
        <w:fldChar w:fldCharType="begin"/>
      </w:r>
      <w:r>
        <w:instrText xml:space="preserve"> HYPERLINK \l _Toc29632 </w:instrText>
      </w:r>
      <w:r>
        <w:fldChar w:fldCharType="separate"/>
      </w:r>
      <w:r>
        <w:rPr>
          <w:rFonts w:hint="eastAsia"/>
          <w:lang w:val="en-US" w:eastAsia="zh-CN"/>
        </w:rPr>
        <w:t>（二）</w:t>
      </w:r>
      <w:r>
        <w:rPr>
          <w:rFonts w:hint="eastAsia"/>
        </w:rPr>
        <w:t>安全生产操作规程</w:t>
      </w:r>
      <w:r>
        <w:tab/>
      </w:r>
      <w:r>
        <w:fldChar w:fldCharType="begin"/>
      </w:r>
      <w:r>
        <w:instrText xml:space="preserve"> PAGEREF _Toc29632 \h </w:instrText>
      </w:r>
      <w:r>
        <w:fldChar w:fldCharType="separate"/>
      </w:r>
      <w:r>
        <w:t>205</w:t>
      </w:r>
      <w:r>
        <w:fldChar w:fldCharType="end"/>
      </w:r>
      <w:r>
        <w:fldChar w:fldCharType="end"/>
      </w:r>
    </w:p>
    <w:p>
      <w:pPr>
        <w:pStyle w:val="26"/>
        <w:tabs>
          <w:tab w:val="right" w:leader="dot" w:pos="8306"/>
        </w:tabs>
      </w:pPr>
      <w:r>
        <w:fldChar w:fldCharType="begin"/>
      </w:r>
      <w:r>
        <w:instrText xml:space="preserve"> HYPERLINK \l _Toc15391 </w:instrText>
      </w:r>
      <w:r>
        <w:fldChar w:fldCharType="separate"/>
      </w:r>
      <w:r>
        <w:rPr>
          <w:rFonts w:hint="eastAsia"/>
          <w:lang w:val="en-US" w:eastAsia="zh-CN"/>
        </w:rPr>
        <w:t>（三）</w:t>
      </w:r>
      <w:r>
        <w:rPr>
          <w:rFonts w:hint="eastAsia"/>
        </w:rPr>
        <w:t>安全生产监督检查制度</w:t>
      </w:r>
      <w:r>
        <w:tab/>
      </w:r>
      <w:r>
        <w:fldChar w:fldCharType="begin"/>
      </w:r>
      <w:r>
        <w:instrText xml:space="preserve"> PAGEREF _Toc15391 \h </w:instrText>
      </w:r>
      <w:r>
        <w:fldChar w:fldCharType="separate"/>
      </w:r>
      <w:r>
        <w:t>207</w:t>
      </w:r>
      <w:r>
        <w:fldChar w:fldCharType="end"/>
      </w:r>
      <w:r>
        <w:fldChar w:fldCharType="end"/>
      </w:r>
    </w:p>
    <w:p>
      <w:pPr>
        <w:pStyle w:val="26"/>
        <w:tabs>
          <w:tab w:val="right" w:leader="dot" w:pos="8306"/>
        </w:tabs>
      </w:pPr>
      <w:r>
        <w:fldChar w:fldCharType="begin"/>
      </w:r>
      <w:r>
        <w:instrText xml:space="preserve"> HYPERLINK \l _Toc7914 </w:instrText>
      </w:r>
      <w:r>
        <w:fldChar w:fldCharType="separate"/>
      </w:r>
      <w:r>
        <w:rPr>
          <w:rFonts w:hint="eastAsia"/>
          <w:lang w:val="en-US" w:eastAsia="zh-CN"/>
        </w:rPr>
        <w:t>（四）</w:t>
      </w:r>
      <w:r>
        <w:rPr>
          <w:rFonts w:hint="eastAsia"/>
        </w:rPr>
        <w:t>企业负责人岗位责任制度</w:t>
      </w:r>
      <w:r>
        <w:tab/>
      </w:r>
      <w:r>
        <w:fldChar w:fldCharType="begin"/>
      </w:r>
      <w:r>
        <w:instrText xml:space="preserve"> PAGEREF _Toc7914 \h </w:instrText>
      </w:r>
      <w:r>
        <w:fldChar w:fldCharType="separate"/>
      </w:r>
      <w:r>
        <w:t>208</w:t>
      </w:r>
      <w:r>
        <w:fldChar w:fldCharType="end"/>
      </w:r>
      <w:r>
        <w:fldChar w:fldCharType="end"/>
      </w:r>
    </w:p>
    <w:p>
      <w:pPr>
        <w:pStyle w:val="26"/>
        <w:tabs>
          <w:tab w:val="right" w:leader="dot" w:pos="8306"/>
        </w:tabs>
      </w:pPr>
      <w:r>
        <w:fldChar w:fldCharType="begin"/>
      </w:r>
      <w:r>
        <w:instrText xml:space="preserve"> HYPERLINK \l _Toc17280 </w:instrText>
      </w:r>
      <w:r>
        <w:fldChar w:fldCharType="separate"/>
      </w:r>
      <w:r>
        <w:rPr>
          <w:rFonts w:hint="eastAsia"/>
          <w:lang w:val="en-US" w:eastAsia="zh-CN"/>
        </w:rPr>
        <w:t>（五）</w:t>
      </w:r>
      <w:r>
        <w:rPr>
          <w:rFonts w:hint="eastAsia"/>
        </w:rPr>
        <w:t>驾驶员岗位责任制度</w:t>
      </w:r>
      <w:r>
        <w:tab/>
      </w:r>
      <w:r>
        <w:fldChar w:fldCharType="begin"/>
      </w:r>
      <w:r>
        <w:instrText xml:space="preserve"> PAGEREF _Toc17280 \h </w:instrText>
      </w:r>
      <w:r>
        <w:fldChar w:fldCharType="separate"/>
      </w:r>
      <w:r>
        <w:t>210</w:t>
      </w:r>
      <w:r>
        <w:fldChar w:fldCharType="end"/>
      </w:r>
      <w:r>
        <w:fldChar w:fldCharType="end"/>
      </w:r>
    </w:p>
    <w:p>
      <w:pPr>
        <w:pStyle w:val="26"/>
        <w:tabs>
          <w:tab w:val="right" w:leader="dot" w:pos="8306"/>
        </w:tabs>
      </w:pPr>
      <w:r>
        <w:fldChar w:fldCharType="begin"/>
      </w:r>
      <w:r>
        <w:instrText xml:space="preserve"> HYPERLINK \l _Toc11466 </w:instrText>
      </w:r>
      <w:r>
        <w:fldChar w:fldCharType="separate"/>
      </w:r>
      <w:r>
        <w:rPr>
          <w:rFonts w:hint="eastAsia"/>
          <w:lang w:val="en-US" w:eastAsia="zh-CN"/>
        </w:rPr>
        <w:t>（六）</w:t>
      </w:r>
      <w:r>
        <w:rPr>
          <w:rFonts w:hint="eastAsia"/>
        </w:rPr>
        <w:t>车辆GSP管理制度</w:t>
      </w:r>
      <w:r>
        <w:tab/>
      </w:r>
      <w:r>
        <w:fldChar w:fldCharType="begin"/>
      </w:r>
      <w:r>
        <w:instrText xml:space="preserve"> PAGEREF _Toc11466 \h </w:instrText>
      </w:r>
      <w:r>
        <w:fldChar w:fldCharType="separate"/>
      </w:r>
      <w:r>
        <w:t>211</w:t>
      </w:r>
      <w:r>
        <w:fldChar w:fldCharType="end"/>
      </w:r>
      <w:r>
        <w:fldChar w:fldCharType="end"/>
      </w:r>
    </w:p>
    <w:p>
      <w:pPr>
        <w:pStyle w:val="28"/>
        <w:tabs>
          <w:tab w:val="right" w:leader="dot" w:pos="8306"/>
        </w:tabs>
      </w:pPr>
      <w:r>
        <w:fldChar w:fldCharType="begin"/>
      </w:r>
      <w:r>
        <w:instrText xml:space="preserve"> HYPERLINK \l _Toc29176 </w:instrText>
      </w:r>
      <w:r>
        <w:fldChar w:fldCharType="separate"/>
      </w:r>
      <w:r>
        <w:rPr>
          <w:rFonts w:hint="eastAsia"/>
          <w:lang w:val="en-US" w:eastAsia="zh-CN"/>
        </w:rPr>
        <w:t xml:space="preserve">第八节  </w:t>
      </w:r>
      <w:r>
        <w:rPr>
          <w:rFonts w:hint="eastAsia"/>
        </w:rPr>
        <w:t>应急方案</w:t>
      </w:r>
      <w:r>
        <w:tab/>
      </w:r>
      <w:r>
        <w:fldChar w:fldCharType="begin"/>
      </w:r>
      <w:r>
        <w:instrText xml:space="preserve"> PAGEREF _Toc29176 \h </w:instrText>
      </w:r>
      <w:r>
        <w:fldChar w:fldCharType="separate"/>
      </w:r>
      <w:r>
        <w:t>214</w:t>
      </w:r>
      <w:r>
        <w:fldChar w:fldCharType="end"/>
      </w:r>
      <w:r>
        <w:fldChar w:fldCharType="end"/>
      </w:r>
    </w:p>
    <w:p>
      <w:pPr>
        <w:pStyle w:val="20"/>
        <w:tabs>
          <w:tab w:val="right" w:leader="dot" w:pos="8306"/>
        </w:tabs>
      </w:pPr>
      <w:r>
        <w:fldChar w:fldCharType="begin"/>
      </w:r>
      <w:r>
        <w:instrText xml:space="preserve"> HYPERLINK \l _Toc19641 </w:instrText>
      </w:r>
      <w:r>
        <w:fldChar w:fldCharType="separate"/>
      </w:r>
      <w:r>
        <w:rPr>
          <w:rFonts w:hint="eastAsia"/>
          <w:lang w:val="en-US" w:eastAsia="zh-CN"/>
        </w:rPr>
        <w:t>一、</w:t>
      </w:r>
      <w:r>
        <w:rPr>
          <w:rFonts w:hint="eastAsia"/>
        </w:rPr>
        <w:t>应急总预案</w:t>
      </w:r>
      <w:r>
        <w:tab/>
      </w:r>
      <w:r>
        <w:fldChar w:fldCharType="begin"/>
      </w:r>
      <w:r>
        <w:instrText xml:space="preserve"> PAGEREF _Toc19641 \h </w:instrText>
      </w:r>
      <w:r>
        <w:fldChar w:fldCharType="separate"/>
      </w:r>
      <w:r>
        <w:t>214</w:t>
      </w:r>
      <w:r>
        <w:fldChar w:fldCharType="end"/>
      </w:r>
      <w:r>
        <w:fldChar w:fldCharType="end"/>
      </w:r>
    </w:p>
    <w:p>
      <w:pPr>
        <w:pStyle w:val="26"/>
        <w:tabs>
          <w:tab w:val="right" w:leader="dot" w:pos="8306"/>
        </w:tabs>
      </w:pPr>
      <w:r>
        <w:fldChar w:fldCharType="begin"/>
      </w:r>
      <w:r>
        <w:instrText xml:space="preserve"> HYPERLINK \l _Toc30024 </w:instrText>
      </w:r>
      <w:r>
        <w:fldChar w:fldCharType="separate"/>
      </w:r>
      <w:r>
        <w:rPr>
          <w:rFonts w:hint="eastAsia"/>
          <w:lang w:eastAsia="zh-CN"/>
        </w:rPr>
        <w:t>（</w:t>
      </w:r>
      <w:r>
        <w:rPr>
          <w:rFonts w:hint="eastAsia"/>
          <w:lang w:val="en-US" w:eastAsia="zh-CN"/>
        </w:rPr>
        <w:t>一</w:t>
      </w:r>
      <w:r>
        <w:rPr>
          <w:rFonts w:hint="eastAsia"/>
          <w:lang w:eastAsia="zh-CN"/>
        </w:rPr>
        <w:t>）</w:t>
      </w:r>
      <w:r>
        <w:rPr>
          <w:rFonts w:hint="eastAsia"/>
        </w:rPr>
        <w:t>应急组织</w:t>
      </w:r>
      <w:r>
        <w:tab/>
      </w:r>
      <w:r>
        <w:fldChar w:fldCharType="begin"/>
      </w:r>
      <w:r>
        <w:instrText xml:space="preserve"> PAGEREF _Toc30024 \h </w:instrText>
      </w:r>
      <w:r>
        <w:fldChar w:fldCharType="separate"/>
      </w:r>
      <w:r>
        <w:t>214</w:t>
      </w:r>
      <w:r>
        <w:fldChar w:fldCharType="end"/>
      </w:r>
      <w:r>
        <w:fldChar w:fldCharType="end"/>
      </w:r>
    </w:p>
    <w:p>
      <w:pPr>
        <w:pStyle w:val="26"/>
        <w:tabs>
          <w:tab w:val="right" w:leader="dot" w:pos="8306"/>
        </w:tabs>
      </w:pPr>
      <w:r>
        <w:fldChar w:fldCharType="begin"/>
      </w:r>
      <w:r>
        <w:instrText xml:space="preserve"> HYPERLINK \l _Toc27158 </w:instrText>
      </w:r>
      <w:r>
        <w:fldChar w:fldCharType="separate"/>
      </w:r>
      <w:r>
        <w:rPr>
          <w:rFonts w:hint="eastAsia"/>
          <w:lang w:eastAsia="zh-CN"/>
        </w:rPr>
        <w:t>（</w:t>
      </w:r>
      <w:r>
        <w:rPr>
          <w:rFonts w:hint="eastAsia"/>
          <w:lang w:val="en-US" w:eastAsia="zh-CN"/>
        </w:rPr>
        <w:t>二</w:t>
      </w:r>
      <w:r>
        <w:rPr>
          <w:rFonts w:hint="eastAsia"/>
          <w:lang w:eastAsia="zh-CN"/>
        </w:rPr>
        <w:t>）</w:t>
      </w:r>
      <w:r>
        <w:rPr>
          <w:rFonts w:hint="eastAsia"/>
        </w:rPr>
        <w:t>应急原则</w:t>
      </w:r>
      <w:r>
        <w:tab/>
      </w:r>
      <w:r>
        <w:fldChar w:fldCharType="begin"/>
      </w:r>
      <w:r>
        <w:instrText xml:space="preserve"> PAGEREF _Toc27158 \h </w:instrText>
      </w:r>
      <w:r>
        <w:fldChar w:fldCharType="separate"/>
      </w:r>
      <w:r>
        <w:t>215</w:t>
      </w:r>
      <w:r>
        <w:fldChar w:fldCharType="end"/>
      </w:r>
      <w:r>
        <w:fldChar w:fldCharType="end"/>
      </w:r>
    </w:p>
    <w:p>
      <w:pPr>
        <w:pStyle w:val="26"/>
        <w:tabs>
          <w:tab w:val="right" w:leader="dot" w:pos="8306"/>
        </w:tabs>
      </w:pPr>
      <w:r>
        <w:fldChar w:fldCharType="begin"/>
      </w:r>
      <w:r>
        <w:instrText xml:space="preserve"> HYPERLINK \l _Toc13675 </w:instrText>
      </w:r>
      <w:r>
        <w:fldChar w:fldCharType="separate"/>
      </w:r>
      <w:r>
        <w:rPr>
          <w:rFonts w:hint="eastAsia"/>
          <w:lang w:eastAsia="zh-CN"/>
        </w:rPr>
        <w:t>（</w:t>
      </w:r>
      <w:r>
        <w:rPr>
          <w:rFonts w:hint="eastAsia"/>
          <w:lang w:val="en-US" w:eastAsia="zh-CN"/>
        </w:rPr>
        <w:t>三</w:t>
      </w:r>
      <w:r>
        <w:rPr>
          <w:rFonts w:hint="eastAsia"/>
          <w:lang w:eastAsia="zh-CN"/>
        </w:rPr>
        <w:t>）</w:t>
      </w:r>
      <w:r>
        <w:rPr>
          <w:rFonts w:hint="eastAsia"/>
        </w:rPr>
        <w:t>应急响应</w:t>
      </w:r>
      <w:r>
        <w:tab/>
      </w:r>
      <w:r>
        <w:fldChar w:fldCharType="begin"/>
      </w:r>
      <w:r>
        <w:instrText xml:space="preserve"> PAGEREF _Toc13675 \h </w:instrText>
      </w:r>
      <w:r>
        <w:fldChar w:fldCharType="separate"/>
      </w:r>
      <w:r>
        <w:t>216</w:t>
      </w:r>
      <w:r>
        <w:fldChar w:fldCharType="end"/>
      </w:r>
      <w:r>
        <w:fldChar w:fldCharType="end"/>
      </w:r>
    </w:p>
    <w:p>
      <w:pPr>
        <w:pStyle w:val="20"/>
        <w:tabs>
          <w:tab w:val="right" w:leader="dot" w:pos="8306"/>
        </w:tabs>
      </w:pPr>
      <w:r>
        <w:fldChar w:fldCharType="begin"/>
      </w:r>
      <w:r>
        <w:instrText xml:space="preserve"> HYPERLINK \l _Toc13986 </w:instrText>
      </w:r>
      <w:r>
        <w:fldChar w:fldCharType="separate"/>
      </w:r>
      <w:r>
        <w:rPr>
          <w:rFonts w:hint="eastAsia"/>
          <w:lang w:val="en-US" w:eastAsia="zh-CN"/>
        </w:rPr>
        <w:t>二、</w:t>
      </w:r>
      <w:r>
        <w:rPr>
          <w:rFonts w:hint="eastAsia"/>
        </w:rPr>
        <w:t>保证供货应急预案</w:t>
      </w:r>
      <w:r>
        <w:tab/>
      </w:r>
      <w:r>
        <w:fldChar w:fldCharType="begin"/>
      </w:r>
      <w:r>
        <w:instrText xml:space="preserve"> PAGEREF _Toc13986 \h </w:instrText>
      </w:r>
      <w:r>
        <w:fldChar w:fldCharType="separate"/>
      </w:r>
      <w:r>
        <w:t>218</w:t>
      </w:r>
      <w:r>
        <w:fldChar w:fldCharType="end"/>
      </w:r>
      <w:r>
        <w:fldChar w:fldCharType="end"/>
      </w:r>
    </w:p>
    <w:p>
      <w:pPr>
        <w:pStyle w:val="26"/>
        <w:tabs>
          <w:tab w:val="right" w:leader="dot" w:pos="8306"/>
        </w:tabs>
      </w:pPr>
      <w:r>
        <w:fldChar w:fldCharType="begin"/>
      </w:r>
      <w:r>
        <w:instrText xml:space="preserve"> HYPERLINK \l _Toc10246 </w:instrText>
      </w:r>
      <w:r>
        <w:fldChar w:fldCharType="separate"/>
      </w:r>
      <w:r>
        <w:rPr>
          <w:rFonts w:hint="eastAsia"/>
          <w:lang w:eastAsia="zh-CN"/>
        </w:rPr>
        <w:t>（</w:t>
      </w:r>
      <w:r>
        <w:rPr>
          <w:rFonts w:hint="eastAsia"/>
          <w:lang w:val="en-US" w:eastAsia="zh-CN"/>
        </w:rPr>
        <w:t>一</w:t>
      </w:r>
      <w:r>
        <w:rPr>
          <w:rFonts w:hint="eastAsia"/>
          <w:lang w:eastAsia="zh-CN"/>
        </w:rPr>
        <w:t>）</w:t>
      </w:r>
      <w:r>
        <w:rPr>
          <w:rFonts w:hint="eastAsia"/>
        </w:rPr>
        <w:t>准备工作</w:t>
      </w:r>
      <w:r>
        <w:tab/>
      </w:r>
      <w:r>
        <w:fldChar w:fldCharType="begin"/>
      </w:r>
      <w:r>
        <w:instrText xml:space="preserve"> PAGEREF _Toc10246 \h </w:instrText>
      </w:r>
      <w:r>
        <w:fldChar w:fldCharType="separate"/>
      </w:r>
      <w:r>
        <w:t>219</w:t>
      </w:r>
      <w:r>
        <w:fldChar w:fldCharType="end"/>
      </w:r>
      <w:r>
        <w:fldChar w:fldCharType="end"/>
      </w:r>
    </w:p>
    <w:p>
      <w:pPr>
        <w:pStyle w:val="26"/>
        <w:tabs>
          <w:tab w:val="right" w:leader="dot" w:pos="8306"/>
        </w:tabs>
      </w:pPr>
      <w:r>
        <w:fldChar w:fldCharType="begin"/>
      </w:r>
      <w:r>
        <w:instrText xml:space="preserve"> HYPERLINK \l _Toc22706 </w:instrText>
      </w:r>
      <w:r>
        <w:fldChar w:fldCharType="separate"/>
      </w:r>
      <w:r>
        <w:rPr>
          <w:rFonts w:hint="eastAsia"/>
          <w:lang w:eastAsia="zh-CN"/>
        </w:rPr>
        <w:t>（</w:t>
      </w:r>
      <w:r>
        <w:rPr>
          <w:rFonts w:hint="eastAsia"/>
          <w:lang w:val="en-US" w:eastAsia="zh-CN"/>
        </w:rPr>
        <w:t>二</w:t>
      </w:r>
      <w:r>
        <w:rPr>
          <w:rFonts w:hint="eastAsia"/>
          <w:lang w:eastAsia="zh-CN"/>
        </w:rPr>
        <w:t>）</w:t>
      </w:r>
      <w:r>
        <w:rPr>
          <w:rFonts w:hint="eastAsia"/>
        </w:rPr>
        <w:t>组织过程</w:t>
      </w:r>
      <w:r>
        <w:tab/>
      </w:r>
      <w:r>
        <w:fldChar w:fldCharType="begin"/>
      </w:r>
      <w:r>
        <w:instrText xml:space="preserve"> PAGEREF _Toc22706 \h </w:instrText>
      </w:r>
      <w:r>
        <w:fldChar w:fldCharType="separate"/>
      </w:r>
      <w:r>
        <w:t>219</w:t>
      </w:r>
      <w:r>
        <w:fldChar w:fldCharType="end"/>
      </w:r>
      <w:r>
        <w:fldChar w:fldCharType="end"/>
      </w:r>
    </w:p>
    <w:p>
      <w:pPr>
        <w:pStyle w:val="26"/>
        <w:tabs>
          <w:tab w:val="right" w:leader="dot" w:pos="8306"/>
        </w:tabs>
      </w:pPr>
      <w:r>
        <w:fldChar w:fldCharType="begin"/>
      </w:r>
      <w:r>
        <w:instrText xml:space="preserve"> HYPERLINK \l _Toc19544 </w:instrText>
      </w:r>
      <w:r>
        <w:fldChar w:fldCharType="separate"/>
      </w:r>
      <w:r>
        <w:rPr>
          <w:rFonts w:hint="eastAsia"/>
          <w:lang w:eastAsia="zh-CN"/>
        </w:rPr>
        <w:t>（</w:t>
      </w:r>
      <w:r>
        <w:rPr>
          <w:rFonts w:hint="eastAsia"/>
          <w:lang w:val="en-US" w:eastAsia="zh-CN"/>
        </w:rPr>
        <w:t>三</w:t>
      </w:r>
      <w:r>
        <w:rPr>
          <w:rFonts w:hint="eastAsia"/>
          <w:lang w:eastAsia="zh-CN"/>
        </w:rPr>
        <w:t>）</w:t>
      </w:r>
      <w:r>
        <w:rPr>
          <w:rFonts w:hint="eastAsia"/>
        </w:rPr>
        <w:t>应急措施</w:t>
      </w:r>
      <w:r>
        <w:tab/>
      </w:r>
      <w:r>
        <w:fldChar w:fldCharType="begin"/>
      </w:r>
      <w:r>
        <w:instrText xml:space="preserve"> PAGEREF _Toc19544 \h </w:instrText>
      </w:r>
      <w:r>
        <w:fldChar w:fldCharType="separate"/>
      </w:r>
      <w:r>
        <w:t>220</w:t>
      </w:r>
      <w:r>
        <w:fldChar w:fldCharType="end"/>
      </w:r>
      <w:r>
        <w:fldChar w:fldCharType="end"/>
      </w:r>
    </w:p>
    <w:p>
      <w:pPr>
        <w:pStyle w:val="20"/>
        <w:tabs>
          <w:tab w:val="right" w:leader="dot" w:pos="8306"/>
        </w:tabs>
      </w:pPr>
      <w:r>
        <w:fldChar w:fldCharType="begin"/>
      </w:r>
      <w:r>
        <w:instrText xml:space="preserve"> HYPERLINK \l _Toc25558 </w:instrText>
      </w:r>
      <w:r>
        <w:fldChar w:fldCharType="separate"/>
      </w:r>
      <w:r>
        <w:rPr>
          <w:rFonts w:hint="eastAsia"/>
          <w:lang w:val="en-US" w:eastAsia="zh-CN"/>
        </w:rPr>
        <w:t>三、</w:t>
      </w:r>
      <w:r>
        <w:rPr>
          <w:rFonts w:hint="eastAsia"/>
        </w:rPr>
        <w:t>货物质量问题的应急预案</w:t>
      </w:r>
      <w:r>
        <w:tab/>
      </w:r>
      <w:r>
        <w:fldChar w:fldCharType="begin"/>
      </w:r>
      <w:r>
        <w:instrText xml:space="preserve"> PAGEREF _Toc25558 \h </w:instrText>
      </w:r>
      <w:r>
        <w:fldChar w:fldCharType="separate"/>
      </w:r>
      <w:r>
        <w:t>222</w:t>
      </w:r>
      <w:r>
        <w:fldChar w:fldCharType="end"/>
      </w:r>
      <w:r>
        <w:fldChar w:fldCharType="end"/>
      </w:r>
    </w:p>
    <w:p>
      <w:pPr>
        <w:pStyle w:val="26"/>
        <w:tabs>
          <w:tab w:val="right" w:leader="dot" w:pos="8306"/>
        </w:tabs>
      </w:pPr>
      <w:r>
        <w:fldChar w:fldCharType="begin"/>
      </w:r>
      <w:r>
        <w:instrText xml:space="preserve"> HYPERLINK \l _Toc31672 </w:instrText>
      </w:r>
      <w:r>
        <w:fldChar w:fldCharType="separate"/>
      </w:r>
      <w:r>
        <w:rPr>
          <w:rFonts w:hint="eastAsia"/>
          <w:lang w:eastAsia="zh-CN"/>
        </w:rPr>
        <w:t>（</w:t>
      </w:r>
      <w:r>
        <w:rPr>
          <w:rFonts w:hint="eastAsia"/>
          <w:lang w:val="en-US" w:eastAsia="zh-CN"/>
        </w:rPr>
        <w:t>一</w:t>
      </w:r>
      <w:r>
        <w:rPr>
          <w:rFonts w:hint="eastAsia"/>
          <w:lang w:eastAsia="zh-CN"/>
        </w:rPr>
        <w:t>）</w:t>
      </w:r>
      <w:r>
        <w:rPr>
          <w:rFonts w:hint="eastAsia"/>
        </w:rPr>
        <w:t>编制目的</w:t>
      </w:r>
      <w:r>
        <w:tab/>
      </w:r>
      <w:r>
        <w:fldChar w:fldCharType="begin"/>
      </w:r>
      <w:r>
        <w:instrText xml:space="preserve"> PAGEREF _Toc31672 \h </w:instrText>
      </w:r>
      <w:r>
        <w:fldChar w:fldCharType="separate"/>
      </w:r>
      <w:r>
        <w:t>222</w:t>
      </w:r>
      <w:r>
        <w:fldChar w:fldCharType="end"/>
      </w:r>
      <w:r>
        <w:fldChar w:fldCharType="end"/>
      </w:r>
    </w:p>
    <w:p>
      <w:pPr>
        <w:pStyle w:val="26"/>
        <w:tabs>
          <w:tab w:val="right" w:leader="dot" w:pos="8306"/>
        </w:tabs>
      </w:pPr>
      <w:r>
        <w:fldChar w:fldCharType="begin"/>
      </w:r>
      <w:r>
        <w:instrText xml:space="preserve"> HYPERLINK \l _Toc14320 </w:instrText>
      </w:r>
      <w:r>
        <w:fldChar w:fldCharType="separate"/>
      </w:r>
      <w:r>
        <w:rPr>
          <w:rFonts w:hint="eastAsia"/>
          <w:lang w:eastAsia="zh-CN"/>
        </w:rPr>
        <w:t>（</w:t>
      </w:r>
      <w:r>
        <w:rPr>
          <w:rFonts w:hint="eastAsia"/>
          <w:lang w:val="en-US" w:eastAsia="zh-CN"/>
        </w:rPr>
        <w:t>二</w:t>
      </w:r>
      <w:r>
        <w:rPr>
          <w:rFonts w:hint="eastAsia"/>
          <w:lang w:eastAsia="zh-CN"/>
        </w:rPr>
        <w:t>）</w:t>
      </w:r>
      <w:r>
        <w:rPr>
          <w:rFonts w:hint="eastAsia"/>
        </w:rPr>
        <w:t>工作原则</w:t>
      </w:r>
      <w:r>
        <w:tab/>
      </w:r>
      <w:r>
        <w:fldChar w:fldCharType="begin"/>
      </w:r>
      <w:r>
        <w:instrText xml:space="preserve"> PAGEREF _Toc14320 \h </w:instrText>
      </w:r>
      <w:r>
        <w:fldChar w:fldCharType="separate"/>
      </w:r>
      <w:r>
        <w:t>222</w:t>
      </w:r>
      <w:r>
        <w:fldChar w:fldCharType="end"/>
      </w:r>
      <w:r>
        <w:fldChar w:fldCharType="end"/>
      </w:r>
    </w:p>
    <w:p>
      <w:pPr>
        <w:pStyle w:val="26"/>
        <w:tabs>
          <w:tab w:val="right" w:leader="dot" w:pos="8306"/>
        </w:tabs>
      </w:pPr>
      <w:r>
        <w:fldChar w:fldCharType="begin"/>
      </w:r>
      <w:r>
        <w:instrText xml:space="preserve"> HYPERLINK \l _Toc23260 </w:instrText>
      </w:r>
      <w:r>
        <w:fldChar w:fldCharType="separate"/>
      </w:r>
      <w:r>
        <w:rPr>
          <w:rFonts w:hint="eastAsia"/>
          <w:lang w:eastAsia="zh-CN"/>
        </w:rPr>
        <w:t>（</w:t>
      </w:r>
      <w:r>
        <w:rPr>
          <w:rFonts w:hint="eastAsia"/>
          <w:lang w:val="en-US" w:eastAsia="zh-CN"/>
        </w:rPr>
        <w:t>三</w:t>
      </w:r>
      <w:r>
        <w:rPr>
          <w:rFonts w:hint="eastAsia"/>
          <w:lang w:eastAsia="zh-CN"/>
        </w:rPr>
        <w:t>）</w:t>
      </w:r>
      <w:r>
        <w:rPr>
          <w:rFonts w:hint="eastAsia"/>
        </w:rPr>
        <w:t>适用范围</w:t>
      </w:r>
      <w:r>
        <w:tab/>
      </w:r>
      <w:r>
        <w:fldChar w:fldCharType="begin"/>
      </w:r>
      <w:r>
        <w:instrText xml:space="preserve"> PAGEREF _Toc23260 \h </w:instrText>
      </w:r>
      <w:r>
        <w:fldChar w:fldCharType="separate"/>
      </w:r>
      <w:r>
        <w:t>222</w:t>
      </w:r>
      <w:r>
        <w:fldChar w:fldCharType="end"/>
      </w:r>
      <w:r>
        <w:fldChar w:fldCharType="end"/>
      </w:r>
    </w:p>
    <w:p>
      <w:pPr>
        <w:pStyle w:val="26"/>
        <w:tabs>
          <w:tab w:val="right" w:leader="dot" w:pos="8306"/>
        </w:tabs>
      </w:pPr>
      <w:r>
        <w:fldChar w:fldCharType="begin"/>
      </w:r>
      <w:r>
        <w:instrText xml:space="preserve"> HYPERLINK \l _Toc464 </w:instrText>
      </w:r>
      <w:r>
        <w:fldChar w:fldCharType="separate"/>
      </w:r>
      <w:r>
        <w:rPr>
          <w:rFonts w:hint="eastAsia"/>
          <w:lang w:eastAsia="zh-CN"/>
        </w:rPr>
        <w:t>（</w:t>
      </w:r>
      <w:r>
        <w:rPr>
          <w:rFonts w:hint="eastAsia"/>
          <w:lang w:val="en-US" w:eastAsia="zh-CN"/>
        </w:rPr>
        <w:t>四</w:t>
      </w:r>
      <w:r>
        <w:rPr>
          <w:rFonts w:hint="eastAsia"/>
          <w:lang w:eastAsia="zh-CN"/>
        </w:rPr>
        <w:t>）</w:t>
      </w:r>
      <w:r>
        <w:rPr>
          <w:rFonts w:hint="eastAsia"/>
        </w:rPr>
        <w:t>应急措施</w:t>
      </w:r>
      <w:r>
        <w:tab/>
      </w:r>
      <w:r>
        <w:fldChar w:fldCharType="begin"/>
      </w:r>
      <w:r>
        <w:instrText xml:space="preserve"> PAGEREF _Toc464 \h </w:instrText>
      </w:r>
      <w:r>
        <w:fldChar w:fldCharType="separate"/>
      </w:r>
      <w:r>
        <w:t>222</w:t>
      </w:r>
      <w:r>
        <w:fldChar w:fldCharType="end"/>
      </w:r>
      <w:r>
        <w:fldChar w:fldCharType="end"/>
      </w:r>
    </w:p>
    <w:p>
      <w:pPr>
        <w:pStyle w:val="20"/>
        <w:tabs>
          <w:tab w:val="right" w:leader="dot" w:pos="8306"/>
        </w:tabs>
      </w:pPr>
      <w:r>
        <w:fldChar w:fldCharType="begin"/>
      </w:r>
      <w:r>
        <w:instrText xml:space="preserve"> HYPERLINK \l _Toc23166 </w:instrText>
      </w:r>
      <w:r>
        <w:fldChar w:fldCharType="separate"/>
      </w:r>
      <w:r>
        <w:rPr>
          <w:rFonts w:hint="eastAsia"/>
          <w:lang w:val="en-US" w:eastAsia="zh-CN"/>
        </w:rPr>
        <w:t>四、</w:t>
      </w:r>
      <w:r>
        <w:rPr>
          <w:rFonts w:hint="eastAsia"/>
        </w:rPr>
        <w:t>生产车间事故的应急预案</w:t>
      </w:r>
      <w:r>
        <w:tab/>
      </w:r>
      <w:r>
        <w:fldChar w:fldCharType="begin"/>
      </w:r>
      <w:r>
        <w:instrText xml:space="preserve"> PAGEREF _Toc23166 \h </w:instrText>
      </w:r>
      <w:r>
        <w:fldChar w:fldCharType="separate"/>
      </w:r>
      <w:r>
        <w:t>225</w:t>
      </w:r>
      <w:r>
        <w:fldChar w:fldCharType="end"/>
      </w:r>
      <w:r>
        <w:fldChar w:fldCharType="end"/>
      </w:r>
    </w:p>
    <w:p>
      <w:pPr>
        <w:pStyle w:val="26"/>
        <w:tabs>
          <w:tab w:val="right" w:leader="dot" w:pos="8306"/>
        </w:tabs>
      </w:pPr>
      <w:r>
        <w:fldChar w:fldCharType="begin"/>
      </w:r>
      <w:r>
        <w:instrText xml:space="preserve"> HYPERLINK \l _Toc12743 </w:instrText>
      </w:r>
      <w:r>
        <w:fldChar w:fldCharType="separate"/>
      </w:r>
      <w:r>
        <w:rPr>
          <w:rFonts w:hint="eastAsia"/>
          <w:lang w:val="en-US" w:eastAsia="zh-CN"/>
        </w:rPr>
        <w:t>（一）</w:t>
      </w:r>
      <w:r>
        <w:rPr>
          <w:rFonts w:hint="eastAsia"/>
        </w:rPr>
        <w:t>机械伤害应急措施</w:t>
      </w:r>
      <w:r>
        <w:tab/>
      </w:r>
      <w:r>
        <w:fldChar w:fldCharType="begin"/>
      </w:r>
      <w:r>
        <w:instrText xml:space="preserve"> PAGEREF _Toc12743 \h </w:instrText>
      </w:r>
      <w:r>
        <w:fldChar w:fldCharType="separate"/>
      </w:r>
      <w:r>
        <w:t>225</w:t>
      </w:r>
      <w:r>
        <w:fldChar w:fldCharType="end"/>
      </w:r>
      <w:r>
        <w:fldChar w:fldCharType="end"/>
      </w:r>
    </w:p>
    <w:p>
      <w:pPr>
        <w:pStyle w:val="26"/>
        <w:tabs>
          <w:tab w:val="right" w:leader="dot" w:pos="8306"/>
        </w:tabs>
      </w:pPr>
      <w:r>
        <w:fldChar w:fldCharType="begin"/>
      </w:r>
      <w:r>
        <w:instrText xml:space="preserve"> HYPERLINK \l _Toc27170 </w:instrText>
      </w:r>
      <w:r>
        <w:fldChar w:fldCharType="separate"/>
      </w:r>
      <w:r>
        <w:rPr>
          <w:rFonts w:hint="eastAsia"/>
          <w:lang w:val="en-US" w:eastAsia="zh-CN"/>
        </w:rPr>
        <w:t>（二）</w:t>
      </w:r>
      <w:r>
        <w:rPr>
          <w:rFonts w:hint="eastAsia"/>
        </w:rPr>
        <w:t>意外触电应急措施</w:t>
      </w:r>
      <w:r>
        <w:tab/>
      </w:r>
      <w:r>
        <w:fldChar w:fldCharType="begin"/>
      </w:r>
      <w:r>
        <w:instrText xml:space="preserve"> PAGEREF _Toc27170 \h </w:instrText>
      </w:r>
      <w:r>
        <w:fldChar w:fldCharType="separate"/>
      </w:r>
      <w:r>
        <w:t>228</w:t>
      </w:r>
      <w:r>
        <w:fldChar w:fldCharType="end"/>
      </w:r>
      <w:r>
        <w:fldChar w:fldCharType="end"/>
      </w:r>
    </w:p>
    <w:p>
      <w:pPr>
        <w:pStyle w:val="26"/>
        <w:tabs>
          <w:tab w:val="right" w:leader="dot" w:pos="8306"/>
        </w:tabs>
      </w:pPr>
      <w:r>
        <w:fldChar w:fldCharType="begin"/>
      </w:r>
      <w:r>
        <w:instrText xml:space="preserve"> HYPERLINK \l _Toc8155 </w:instrText>
      </w:r>
      <w:r>
        <w:fldChar w:fldCharType="separate"/>
      </w:r>
      <w:r>
        <w:rPr>
          <w:rFonts w:hint="eastAsia"/>
          <w:lang w:val="en-US" w:eastAsia="zh-CN"/>
        </w:rPr>
        <w:t>（三）</w:t>
      </w:r>
      <w:r>
        <w:rPr>
          <w:rFonts w:hint="eastAsia"/>
        </w:rPr>
        <w:t>突发火灾应急措施</w:t>
      </w:r>
      <w:r>
        <w:tab/>
      </w:r>
      <w:r>
        <w:fldChar w:fldCharType="begin"/>
      </w:r>
      <w:r>
        <w:instrText xml:space="preserve"> PAGEREF _Toc8155 \h </w:instrText>
      </w:r>
      <w:r>
        <w:fldChar w:fldCharType="separate"/>
      </w:r>
      <w:r>
        <w:t>232</w:t>
      </w:r>
      <w:r>
        <w:fldChar w:fldCharType="end"/>
      </w:r>
      <w:r>
        <w:fldChar w:fldCharType="end"/>
      </w:r>
    </w:p>
    <w:p>
      <w:pPr>
        <w:pStyle w:val="20"/>
        <w:tabs>
          <w:tab w:val="right" w:leader="dot" w:pos="8306"/>
        </w:tabs>
      </w:pPr>
      <w:r>
        <w:fldChar w:fldCharType="begin"/>
      </w:r>
      <w:r>
        <w:instrText xml:space="preserve"> HYPERLINK \l _Toc22022 </w:instrText>
      </w:r>
      <w:r>
        <w:fldChar w:fldCharType="separate"/>
      </w:r>
      <w:r>
        <w:rPr>
          <w:rFonts w:hint="eastAsia"/>
          <w:lang w:val="en-US" w:eastAsia="zh-CN"/>
        </w:rPr>
        <w:t>五、</w:t>
      </w:r>
      <w:r>
        <w:t>供货异常的应对方案</w:t>
      </w:r>
      <w:r>
        <w:tab/>
      </w:r>
      <w:r>
        <w:fldChar w:fldCharType="begin"/>
      </w:r>
      <w:r>
        <w:instrText xml:space="preserve"> PAGEREF _Toc22022 \h </w:instrText>
      </w:r>
      <w:r>
        <w:fldChar w:fldCharType="separate"/>
      </w:r>
      <w:r>
        <w:t>237</w:t>
      </w:r>
      <w:r>
        <w:fldChar w:fldCharType="end"/>
      </w:r>
      <w:r>
        <w:fldChar w:fldCharType="end"/>
      </w:r>
    </w:p>
    <w:p>
      <w:pPr>
        <w:pStyle w:val="20"/>
        <w:tabs>
          <w:tab w:val="right" w:leader="dot" w:pos="8306"/>
        </w:tabs>
      </w:pPr>
      <w:r>
        <w:fldChar w:fldCharType="begin"/>
      </w:r>
      <w:r>
        <w:instrText xml:space="preserve"> HYPERLINK \l _Toc4727 </w:instrText>
      </w:r>
      <w:r>
        <w:fldChar w:fldCharType="separate"/>
      </w:r>
      <w:r>
        <w:rPr>
          <w:rFonts w:hint="eastAsia"/>
          <w:lang w:val="en-US" w:eastAsia="zh-CN"/>
        </w:rPr>
        <w:t>六、</w:t>
      </w:r>
      <w:r>
        <w:rPr>
          <w:rFonts w:hint="eastAsia"/>
        </w:rPr>
        <w:t>项目运输突发意外应急预案</w:t>
      </w:r>
      <w:r>
        <w:tab/>
      </w:r>
      <w:r>
        <w:fldChar w:fldCharType="begin"/>
      </w:r>
      <w:r>
        <w:instrText xml:space="preserve"> PAGEREF _Toc4727 \h </w:instrText>
      </w:r>
      <w:r>
        <w:fldChar w:fldCharType="separate"/>
      </w:r>
      <w:r>
        <w:t>239</w:t>
      </w:r>
      <w:r>
        <w:fldChar w:fldCharType="end"/>
      </w:r>
      <w:r>
        <w:fldChar w:fldCharType="end"/>
      </w:r>
    </w:p>
    <w:p>
      <w:pPr>
        <w:pStyle w:val="26"/>
        <w:tabs>
          <w:tab w:val="right" w:leader="dot" w:pos="8306"/>
        </w:tabs>
      </w:pPr>
      <w:r>
        <w:fldChar w:fldCharType="begin"/>
      </w:r>
      <w:r>
        <w:instrText xml:space="preserve"> HYPERLINK \l _Toc20860 </w:instrText>
      </w:r>
      <w:r>
        <w:fldChar w:fldCharType="separate"/>
      </w:r>
      <w:r>
        <w:rPr>
          <w:rFonts w:hint="eastAsia"/>
          <w:lang w:val="en-US" w:eastAsia="zh-CN"/>
        </w:rPr>
        <w:t>（一）</w:t>
      </w:r>
      <w:r>
        <w:rPr>
          <w:rFonts w:hint="eastAsia"/>
        </w:rPr>
        <w:t>运输过程自然灾害应急预案</w:t>
      </w:r>
      <w:r>
        <w:tab/>
      </w:r>
      <w:r>
        <w:fldChar w:fldCharType="begin"/>
      </w:r>
      <w:r>
        <w:instrText xml:space="preserve"> PAGEREF _Toc20860 \h </w:instrText>
      </w:r>
      <w:r>
        <w:fldChar w:fldCharType="separate"/>
      </w:r>
      <w:r>
        <w:t>239</w:t>
      </w:r>
      <w:r>
        <w:fldChar w:fldCharType="end"/>
      </w:r>
      <w:r>
        <w:fldChar w:fldCharType="end"/>
      </w:r>
    </w:p>
    <w:p>
      <w:pPr>
        <w:pStyle w:val="26"/>
        <w:tabs>
          <w:tab w:val="right" w:leader="dot" w:pos="8306"/>
        </w:tabs>
      </w:pPr>
      <w:r>
        <w:fldChar w:fldCharType="begin"/>
      </w:r>
      <w:r>
        <w:instrText xml:space="preserve"> HYPERLINK \l _Toc17364 </w:instrText>
      </w:r>
      <w:r>
        <w:fldChar w:fldCharType="separate"/>
      </w:r>
      <w:r>
        <w:rPr>
          <w:rFonts w:hint="eastAsia"/>
          <w:lang w:val="en-US" w:eastAsia="zh-CN"/>
        </w:rPr>
        <w:t>（二）</w:t>
      </w:r>
      <w:r>
        <w:rPr>
          <w:rFonts w:hint="eastAsia"/>
        </w:rPr>
        <w:t>运输过程交通事故应急预案</w:t>
      </w:r>
      <w:r>
        <w:tab/>
      </w:r>
      <w:r>
        <w:fldChar w:fldCharType="begin"/>
      </w:r>
      <w:r>
        <w:instrText xml:space="preserve"> PAGEREF _Toc17364 \h </w:instrText>
      </w:r>
      <w:r>
        <w:fldChar w:fldCharType="separate"/>
      </w:r>
      <w:r>
        <w:t>240</w:t>
      </w:r>
      <w:r>
        <w:fldChar w:fldCharType="end"/>
      </w:r>
      <w:r>
        <w:fldChar w:fldCharType="end"/>
      </w:r>
    </w:p>
    <w:p>
      <w:pPr>
        <w:pStyle w:val="26"/>
        <w:tabs>
          <w:tab w:val="right" w:leader="dot" w:pos="8306"/>
        </w:tabs>
      </w:pPr>
      <w:r>
        <w:fldChar w:fldCharType="begin"/>
      </w:r>
      <w:r>
        <w:instrText xml:space="preserve"> HYPERLINK \l _Toc31047 </w:instrText>
      </w:r>
      <w:r>
        <w:fldChar w:fldCharType="separate"/>
      </w:r>
      <w:r>
        <w:rPr>
          <w:rFonts w:hint="eastAsia"/>
          <w:lang w:val="en-US" w:eastAsia="zh-CN"/>
        </w:rPr>
        <w:t>（三）</w:t>
      </w:r>
      <w:r>
        <w:rPr>
          <w:rFonts w:hint="eastAsia"/>
        </w:rPr>
        <w:t>运输车辆突发起火应急预案</w:t>
      </w:r>
      <w:r>
        <w:tab/>
      </w:r>
      <w:r>
        <w:fldChar w:fldCharType="begin"/>
      </w:r>
      <w:r>
        <w:instrText xml:space="preserve"> PAGEREF _Toc31047 \h </w:instrText>
      </w:r>
      <w:r>
        <w:fldChar w:fldCharType="separate"/>
      </w:r>
      <w:r>
        <w:t>243</w:t>
      </w:r>
      <w:r>
        <w:fldChar w:fldCharType="end"/>
      </w:r>
      <w:r>
        <w:fldChar w:fldCharType="end"/>
      </w:r>
    </w:p>
    <w:p>
      <w:pPr>
        <w:pStyle w:val="26"/>
        <w:tabs>
          <w:tab w:val="right" w:leader="dot" w:pos="8306"/>
        </w:tabs>
      </w:pPr>
      <w:r>
        <w:fldChar w:fldCharType="begin"/>
      </w:r>
      <w:r>
        <w:instrText xml:space="preserve"> HYPERLINK \l _Toc9068 </w:instrText>
      </w:r>
      <w:r>
        <w:fldChar w:fldCharType="separate"/>
      </w:r>
      <w:r>
        <w:rPr>
          <w:rFonts w:hint="eastAsia"/>
          <w:lang w:val="en-US" w:eastAsia="zh-CN"/>
        </w:rPr>
        <w:t>（四）</w:t>
      </w:r>
      <w:r>
        <w:rPr>
          <w:rFonts w:hint="eastAsia"/>
        </w:rPr>
        <w:t>运输过程其他事件应急措施</w:t>
      </w:r>
      <w:r>
        <w:tab/>
      </w:r>
      <w:r>
        <w:fldChar w:fldCharType="begin"/>
      </w:r>
      <w:r>
        <w:instrText xml:space="preserve"> PAGEREF _Toc9068 \h </w:instrText>
      </w:r>
      <w:r>
        <w:fldChar w:fldCharType="separate"/>
      </w:r>
      <w:r>
        <w:t>248</w:t>
      </w:r>
      <w:r>
        <w:fldChar w:fldCharType="end"/>
      </w:r>
      <w:r>
        <w:fldChar w:fldCharType="end"/>
      </w:r>
    </w:p>
    <w:p>
      <w:pPr>
        <w:pStyle w:val="28"/>
        <w:tabs>
          <w:tab w:val="right" w:leader="dot" w:pos="8306"/>
        </w:tabs>
      </w:pPr>
      <w:r>
        <w:fldChar w:fldCharType="begin"/>
      </w:r>
      <w:r>
        <w:instrText xml:space="preserve"> HYPERLINK \l _Toc13746 </w:instrText>
      </w:r>
      <w:r>
        <w:fldChar w:fldCharType="separate"/>
      </w:r>
      <w:r>
        <w:rPr>
          <w:rFonts w:hint="eastAsia"/>
          <w:lang w:val="en-US" w:eastAsia="zh-CN"/>
        </w:rPr>
        <w:t xml:space="preserve">第九节  </w:t>
      </w:r>
      <w:r>
        <w:rPr>
          <w:rFonts w:hint="eastAsia"/>
        </w:rPr>
        <w:t>违约处罚措施</w:t>
      </w:r>
      <w:r>
        <w:tab/>
      </w:r>
      <w:r>
        <w:fldChar w:fldCharType="begin"/>
      </w:r>
      <w:r>
        <w:instrText xml:space="preserve"> PAGEREF _Toc13746 \h </w:instrText>
      </w:r>
      <w:r>
        <w:fldChar w:fldCharType="separate"/>
      </w:r>
      <w:r>
        <w:t>250</w:t>
      </w:r>
      <w:r>
        <w:fldChar w:fldCharType="end"/>
      </w:r>
      <w:r>
        <w:fldChar w:fldCharType="end"/>
      </w:r>
    </w:p>
    <w:p>
      <w:pPr>
        <w:pStyle w:val="25"/>
        <w:tabs>
          <w:tab w:val="right" w:leader="dot" w:pos="8306"/>
        </w:tabs>
      </w:pPr>
      <w:r>
        <w:fldChar w:fldCharType="begin"/>
      </w:r>
      <w:r>
        <w:instrText xml:space="preserve"> HYPERLINK \l _Toc15409 </w:instrText>
      </w:r>
      <w:r>
        <w:fldChar w:fldCharType="separate"/>
      </w:r>
      <w:r>
        <w:rPr>
          <w:rFonts w:hint="eastAsia"/>
          <w:lang w:val="en-US" w:eastAsia="zh-CN"/>
        </w:rPr>
        <w:t xml:space="preserve">第二章  </w:t>
      </w:r>
      <w:r>
        <w:rPr>
          <w:rFonts w:hint="eastAsia"/>
        </w:rPr>
        <w:t>质量承诺及保证措施</w:t>
      </w:r>
      <w:r>
        <w:tab/>
      </w:r>
      <w:r>
        <w:fldChar w:fldCharType="begin"/>
      </w:r>
      <w:r>
        <w:instrText xml:space="preserve"> PAGEREF _Toc15409 \h </w:instrText>
      </w:r>
      <w:r>
        <w:fldChar w:fldCharType="separate"/>
      </w:r>
      <w:r>
        <w:t>254</w:t>
      </w:r>
      <w:r>
        <w:fldChar w:fldCharType="end"/>
      </w:r>
      <w:r>
        <w:fldChar w:fldCharType="end"/>
      </w:r>
    </w:p>
    <w:p>
      <w:pPr>
        <w:pStyle w:val="28"/>
        <w:tabs>
          <w:tab w:val="right" w:leader="dot" w:pos="8306"/>
        </w:tabs>
      </w:pPr>
      <w:r>
        <w:fldChar w:fldCharType="begin"/>
      </w:r>
      <w:r>
        <w:instrText xml:space="preserve"> HYPERLINK \l _Toc25202 </w:instrText>
      </w:r>
      <w:r>
        <w:fldChar w:fldCharType="separate"/>
      </w:r>
      <w:r>
        <w:rPr>
          <w:rFonts w:hint="eastAsia"/>
          <w:lang w:val="en-US" w:eastAsia="zh-CN"/>
        </w:rPr>
        <w:t xml:space="preserve">第一节  </w:t>
      </w:r>
      <w:r>
        <w:t>质量</w:t>
      </w:r>
      <w:r>
        <w:rPr>
          <w:rFonts w:hint="eastAsia"/>
        </w:rPr>
        <w:t>承诺</w:t>
      </w:r>
      <w:r>
        <w:tab/>
      </w:r>
      <w:r>
        <w:fldChar w:fldCharType="begin"/>
      </w:r>
      <w:r>
        <w:instrText xml:space="preserve"> PAGEREF _Toc25202 \h </w:instrText>
      </w:r>
      <w:r>
        <w:fldChar w:fldCharType="separate"/>
      </w:r>
      <w:r>
        <w:t>254</w:t>
      </w:r>
      <w:r>
        <w:fldChar w:fldCharType="end"/>
      </w:r>
      <w:r>
        <w:fldChar w:fldCharType="end"/>
      </w:r>
    </w:p>
    <w:p>
      <w:pPr>
        <w:pStyle w:val="28"/>
        <w:tabs>
          <w:tab w:val="right" w:leader="dot" w:pos="8306"/>
        </w:tabs>
      </w:pPr>
      <w:r>
        <w:fldChar w:fldCharType="begin"/>
      </w:r>
      <w:r>
        <w:instrText xml:space="preserve"> HYPERLINK \l _Toc11621 </w:instrText>
      </w:r>
      <w:r>
        <w:fldChar w:fldCharType="separate"/>
      </w:r>
      <w:r>
        <w:rPr>
          <w:rFonts w:hint="eastAsia"/>
          <w:lang w:val="en-US" w:eastAsia="zh-CN"/>
        </w:rPr>
        <w:t xml:space="preserve">第二节  </w:t>
      </w:r>
      <w:r>
        <w:rPr>
          <w:rFonts w:hint="eastAsia"/>
        </w:rPr>
        <w:t>质量保证措施</w:t>
      </w:r>
      <w:r>
        <w:tab/>
      </w:r>
      <w:r>
        <w:fldChar w:fldCharType="begin"/>
      </w:r>
      <w:r>
        <w:instrText xml:space="preserve"> PAGEREF _Toc11621 \h </w:instrText>
      </w:r>
      <w:r>
        <w:fldChar w:fldCharType="separate"/>
      </w:r>
      <w:r>
        <w:t>261</w:t>
      </w:r>
      <w:r>
        <w:fldChar w:fldCharType="end"/>
      </w:r>
      <w:r>
        <w:fldChar w:fldCharType="end"/>
      </w:r>
    </w:p>
    <w:p>
      <w:pPr>
        <w:pStyle w:val="20"/>
        <w:tabs>
          <w:tab w:val="right" w:leader="dot" w:pos="8306"/>
        </w:tabs>
      </w:pPr>
      <w:r>
        <w:fldChar w:fldCharType="begin"/>
      </w:r>
      <w:r>
        <w:instrText xml:space="preserve"> HYPERLINK \l _Toc4762 </w:instrText>
      </w:r>
      <w:r>
        <w:fldChar w:fldCharType="separate"/>
      </w:r>
      <w:r>
        <w:rPr>
          <w:rFonts w:hint="eastAsia"/>
          <w:lang w:val="en-US" w:eastAsia="zh-CN"/>
        </w:rPr>
        <w:t>一、</w:t>
      </w:r>
      <w:r>
        <w:rPr>
          <w:rFonts w:hint="eastAsia"/>
        </w:rPr>
        <w:t>质量管理制度和质量保障目标</w:t>
      </w:r>
      <w:r>
        <w:tab/>
      </w:r>
      <w:r>
        <w:fldChar w:fldCharType="begin"/>
      </w:r>
      <w:r>
        <w:instrText xml:space="preserve"> PAGEREF _Toc4762 \h </w:instrText>
      </w:r>
      <w:r>
        <w:fldChar w:fldCharType="separate"/>
      </w:r>
      <w:r>
        <w:t>261</w:t>
      </w:r>
      <w:r>
        <w:fldChar w:fldCharType="end"/>
      </w:r>
      <w:r>
        <w:fldChar w:fldCharType="end"/>
      </w:r>
    </w:p>
    <w:p>
      <w:pPr>
        <w:pStyle w:val="26"/>
        <w:tabs>
          <w:tab w:val="right" w:leader="dot" w:pos="8306"/>
        </w:tabs>
      </w:pPr>
      <w:r>
        <w:fldChar w:fldCharType="begin"/>
      </w:r>
      <w:r>
        <w:instrText xml:space="preserve"> HYPERLINK \l _Toc21314 </w:instrText>
      </w:r>
      <w:r>
        <w:fldChar w:fldCharType="separate"/>
      </w:r>
      <w:r>
        <w:rPr>
          <w:rFonts w:hint="eastAsia"/>
          <w:lang w:eastAsia="zh-CN"/>
        </w:rPr>
        <w:t>（</w:t>
      </w:r>
      <w:r>
        <w:rPr>
          <w:rFonts w:hint="eastAsia"/>
          <w:lang w:val="en-US" w:eastAsia="zh-CN"/>
        </w:rPr>
        <w:t>一</w:t>
      </w:r>
      <w:r>
        <w:rPr>
          <w:rFonts w:hint="eastAsia"/>
          <w:lang w:eastAsia="zh-CN"/>
        </w:rPr>
        <w:t>）</w:t>
      </w:r>
      <w:r>
        <w:rPr>
          <w:rFonts w:hint="eastAsia"/>
        </w:rPr>
        <w:t>提供合格的产品</w:t>
      </w:r>
      <w:r>
        <w:tab/>
      </w:r>
      <w:r>
        <w:fldChar w:fldCharType="begin"/>
      </w:r>
      <w:r>
        <w:instrText xml:space="preserve"> PAGEREF _Toc21314 \h </w:instrText>
      </w:r>
      <w:r>
        <w:fldChar w:fldCharType="separate"/>
      </w:r>
      <w:r>
        <w:t>261</w:t>
      </w:r>
      <w:r>
        <w:fldChar w:fldCharType="end"/>
      </w:r>
      <w:r>
        <w:fldChar w:fldCharType="end"/>
      </w:r>
    </w:p>
    <w:p>
      <w:pPr>
        <w:pStyle w:val="26"/>
        <w:tabs>
          <w:tab w:val="right" w:leader="dot" w:pos="8306"/>
        </w:tabs>
      </w:pPr>
      <w:r>
        <w:fldChar w:fldCharType="begin"/>
      </w:r>
      <w:r>
        <w:instrText xml:space="preserve"> HYPERLINK \l _Toc14629 </w:instrText>
      </w:r>
      <w:r>
        <w:fldChar w:fldCharType="separate"/>
      </w:r>
      <w:r>
        <w:rPr>
          <w:rFonts w:hint="eastAsia"/>
          <w:lang w:val="en-US" w:eastAsia="zh-CN"/>
        </w:rPr>
        <w:t>（二）</w:t>
      </w:r>
      <w:r>
        <w:rPr>
          <w:rFonts w:hint="eastAsia"/>
        </w:rPr>
        <w:t>不合格产品的处理</w:t>
      </w:r>
      <w:r>
        <w:tab/>
      </w:r>
      <w:r>
        <w:fldChar w:fldCharType="begin"/>
      </w:r>
      <w:r>
        <w:instrText xml:space="preserve"> PAGEREF _Toc14629 \h </w:instrText>
      </w:r>
      <w:r>
        <w:fldChar w:fldCharType="separate"/>
      </w:r>
      <w:r>
        <w:t>261</w:t>
      </w:r>
      <w:r>
        <w:fldChar w:fldCharType="end"/>
      </w:r>
      <w:r>
        <w:fldChar w:fldCharType="end"/>
      </w:r>
    </w:p>
    <w:p>
      <w:pPr>
        <w:pStyle w:val="26"/>
        <w:tabs>
          <w:tab w:val="right" w:leader="dot" w:pos="8306"/>
        </w:tabs>
      </w:pPr>
      <w:r>
        <w:fldChar w:fldCharType="begin"/>
      </w:r>
      <w:r>
        <w:instrText xml:space="preserve"> HYPERLINK \l _Toc26069 </w:instrText>
      </w:r>
      <w:r>
        <w:fldChar w:fldCharType="separate"/>
      </w:r>
      <w:r>
        <w:rPr>
          <w:rFonts w:hint="eastAsia"/>
          <w:lang w:val="en-US" w:eastAsia="zh-CN"/>
        </w:rPr>
        <w:t>（三）</w:t>
      </w:r>
      <w:r>
        <w:rPr>
          <w:rFonts w:hint="eastAsia"/>
        </w:rPr>
        <w:t>包装、运输</w:t>
      </w:r>
      <w:r>
        <w:tab/>
      </w:r>
      <w:r>
        <w:fldChar w:fldCharType="begin"/>
      </w:r>
      <w:r>
        <w:instrText xml:space="preserve"> PAGEREF _Toc26069 \h </w:instrText>
      </w:r>
      <w:r>
        <w:fldChar w:fldCharType="separate"/>
      </w:r>
      <w:r>
        <w:t>262</w:t>
      </w:r>
      <w:r>
        <w:fldChar w:fldCharType="end"/>
      </w:r>
      <w:r>
        <w:fldChar w:fldCharType="end"/>
      </w:r>
    </w:p>
    <w:p>
      <w:pPr>
        <w:pStyle w:val="20"/>
        <w:tabs>
          <w:tab w:val="right" w:leader="dot" w:pos="8306"/>
        </w:tabs>
      </w:pPr>
      <w:r>
        <w:fldChar w:fldCharType="begin"/>
      </w:r>
      <w:r>
        <w:instrText xml:space="preserve"> HYPERLINK \l _Toc744 </w:instrText>
      </w:r>
      <w:r>
        <w:fldChar w:fldCharType="separate"/>
      </w:r>
      <w:r>
        <w:rPr>
          <w:rFonts w:hint="eastAsia"/>
          <w:lang w:val="en-US" w:eastAsia="zh-CN"/>
        </w:rPr>
        <w:t>二、</w:t>
      </w:r>
      <w:r>
        <w:rPr>
          <w:rFonts w:hint="eastAsia"/>
        </w:rPr>
        <w:t>质量保证措施</w:t>
      </w:r>
      <w:r>
        <w:tab/>
      </w:r>
      <w:r>
        <w:fldChar w:fldCharType="begin"/>
      </w:r>
      <w:r>
        <w:instrText xml:space="preserve"> PAGEREF _Toc744 \h </w:instrText>
      </w:r>
      <w:r>
        <w:fldChar w:fldCharType="separate"/>
      </w:r>
      <w:r>
        <w:t>264</w:t>
      </w:r>
      <w:r>
        <w:fldChar w:fldCharType="end"/>
      </w:r>
      <w:r>
        <w:fldChar w:fldCharType="end"/>
      </w:r>
    </w:p>
    <w:p>
      <w:pPr>
        <w:pStyle w:val="20"/>
        <w:tabs>
          <w:tab w:val="right" w:leader="dot" w:pos="8306"/>
        </w:tabs>
      </w:pPr>
      <w:r>
        <w:fldChar w:fldCharType="begin"/>
      </w:r>
      <w:r>
        <w:instrText xml:space="preserve"> HYPERLINK \l _Toc18359 </w:instrText>
      </w:r>
      <w:r>
        <w:fldChar w:fldCharType="separate"/>
      </w:r>
      <w:r>
        <w:rPr>
          <w:rFonts w:hint="eastAsia"/>
          <w:lang w:val="en-US" w:eastAsia="zh-CN"/>
        </w:rPr>
        <w:t>三、</w:t>
      </w:r>
      <w:r>
        <w:rPr>
          <w:rFonts w:hint="eastAsia"/>
        </w:rPr>
        <w:t>产品质量控制技术和措施</w:t>
      </w:r>
      <w:r>
        <w:tab/>
      </w:r>
      <w:r>
        <w:fldChar w:fldCharType="begin"/>
      </w:r>
      <w:r>
        <w:instrText xml:space="preserve"> PAGEREF _Toc18359 \h </w:instrText>
      </w:r>
      <w:r>
        <w:fldChar w:fldCharType="separate"/>
      </w:r>
      <w:r>
        <w:t>266</w:t>
      </w:r>
      <w:r>
        <w:fldChar w:fldCharType="end"/>
      </w:r>
      <w:r>
        <w:fldChar w:fldCharType="end"/>
      </w:r>
    </w:p>
    <w:p>
      <w:pPr>
        <w:pStyle w:val="20"/>
        <w:tabs>
          <w:tab w:val="right" w:leader="dot" w:pos="8306"/>
        </w:tabs>
      </w:pPr>
      <w:r>
        <w:fldChar w:fldCharType="begin"/>
      </w:r>
      <w:r>
        <w:instrText xml:space="preserve"> HYPERLINK \l _Toc21730 </w:instrText>
      </w:r>
      <w:r>
        <w:fldChar w:fldCharType="separate"/>
      </w:r>
      <w:r>
        <w:rPr>
          <w:rFonts w:hint="eastAsia"/>
          <w:lang w:val="en-US" w:eastAsia="zh-CN"/>
        </w:rPr>
        <w:t>四、</w:t>
      </w:r>
      <w:r>
        <w:rPr>
          <w:rFonts w:hint="eastAsia"/>
        </w:rPr>
        <w:t>质量抽查</w:t>
      </w:r>
      <w:r>
        <w:tab/>
      </w:r>
      <w:r>
        <w:fldChar w:fldCharType="begin"/>
      </w:r>
      <w:r>
        <w:instrText xml:space="preserve"> PAGEREF _Toc21730 \h </w:instrText>
      </w:r>
      <w:r>
        <w:fldChar w:fldCharType="separate"/>
      </w:r>
      <w:r>
        <w:t>271</w:t>
      </w:r>
      <w:r>
        <w:fldChar w:fldCharType="end"/>
      </w:r>
      <w:r>
        <w:fldChar w:fldCharType="end"/>
      </w:r>
    </w:p>
    <w:p>
      <w:pPr>
        <w:pStyle w:val="20"/>
        <w:tabs>
          <w:tab w:val="right" w:leader="dot" w:pos="8306"/>
        </w:tabs>
      </w:pPr>
      <w:r>
        <w:fldChar w:fldCharType="begin"/>
      </w:r>
      <w:r>
        <w:instrText xml:space="preserve"> HYPERLINK \l _Toc19337 </w:instrText>
      </w:r>
      <w:r>
        <w:fldChar w:fldCharType="separate"/>
      </w:r>
      <w:r>
        <w:rPr>
          <w:rFonts w:hint="eastAsia"/>
          <w:lang w:val="en-US" w:eastAsia="zh-CN"/>
        </w:rPr>
        <w:t>五、</w:t>
      </w:r>
      <w:r>
        <w:rPr>
          <w:rFonts w:hint="eastAsia"/>
        </w:rPr>
        <w:t>生产车间区域环境管理</w:t>
      </w:r>
      <w:r>
        <w:tab/>
      </w:r>
      <w:r>
        <w:fldChar w:fldCharType="begin"/>
      </w:r>
      <w:r>
        <w:instrText xml:space="preserve"> PAGEREF _Toc19337 \h </w:instrText>
      </w:r>
      <w:r>
        <w:fldChar w:fldCharType="separate"/>
      </w:r>
      <w:r>
        <w:t>272</w:t>
      </w:r>
      <w:r>
        <w:fldChar w:fldCharType="end"/>
      </w:r>
      <w:r>
        <w:fldChar w:fldCharType="end"/>
      </w:r>
    </w:p>
    <w:p>
      <w:pPr>
        <w:pStyle w:val="20"/>
        <w:tabs>
          <w:tab w:val="right" w:leader="dot" w:pos="8306"/>
        </w:tabs>
      </w:pPr>
      <w:r>
        <w:fldChar w:fldCharType="begin"/>
      </w:r>
      <w:r>
        <w:instrText xml:space="preserve"> HYPERLINK \l _Toc14920 </w:instrText>
      </w:r>
      <w:r>
        <w:fldChar w:fldCharType="separate"/>
      </w:r>
      <w:r>
        <w:rPr>
          <w:rFonts w:hint="eastAsia"/>
          <w:lang w:val="en-US" w:eastAsia="zh-CN"/>
        </w:rPr>
        <w:t>六、</w:t>
      </w:r>
      <w:r>
        <w:rPr>
          <w:rFonts w:hint="eastAsia"/>
        </w:rPr>
        <w:t>职业健康安全、环境及质量要求保障</w:t>
      </w:r>
      <w:r>
        <w:tab/>
      </w:r>
      <w:r>
        <w:fldChar w:fldCharType="begin"/>
      </w:r>
      <w:r>
        <w:instrText xml:space="preserve"> PAGEREF _Toc14920 \h </w:instrText>
      </w:r>
      <w:r>
        <w:fldChar w:fldCharType="separate"/>
      </w:r>
      <w:r>
        <w:t>273</w:t>
      </w:r>
      <w:r>
        <w:fldChar w:fldCharType="end"/>
      </w:r>
      <w:r>
        <w:fldChar w:fldCharType="end"/>
      </w:r>
    </w:p>
    <w:p>
      <w:pPr>
        <w:pStyle w:val="20"/>
        <w:tabs>
          <w:tab w:val="right" w:leader="dot" w:pos="8306"/>
        </w:tabs>
      </w:pPr>
      <w:r>
        <w:fldChar w:fldCharType="begin"/>
      </w:r>
      <w:r>
        <w:instrText xml:space="preserve"> HYPERLINK \l _Toc11875 </w:instrText>
      </w:r>
      <w:r>
        <w:fldChar w:fldCharType="separate"/>
      </w:r>
      <w:r>
        <w:rPr>
          <w:rFonts w:hint="eastAsia"/>
          <w:lang w:val="en-US" w:eastAsia="zh-CN"/>
        </w:rPr>
        <w:t>七、</w:t>
      </w:r>
      <w:r>
        <w:rPr>
          <w:rFonts w:hint="eastAsia"/>
        </w:rPr>
        <w:t>完善的实验是检测设备保障</w:t>
      </w:r>
      <w:r>
        <w:tab/>
      </w:r>
      <w:r>
        <w:fldChar w:fldCharType="begin"/>
      </w:r>
      <w:r>
        <w:instrText xml:space="preserve"> PAGEREF _Toc11875 \h </w:instrText>
      </w:r>
      <w:r>
        <w:fldChar w:fldCharType="separate"/>
      </w:r>
      <w:r>
        <w:t>274</w:t>
      </w:r>
      <w:r>
        <w:fldChar w:fldCharType="end"/>
      </w:r>
      <w:r>
        <w:fldChar w:fldCharType="end"/>
      </w:r>
    </w:p>
    <w:p>
      <w:pPr>
        <w:pStyle w:val="26"/>
        <w:tabs>
          <w:tab w:val="right" w:leader="dot" w:pos="8306"/>
        </w:tabs>
      </w:pPr>
      <w:r>
        <w:fldChar w:fldCharType="begin"/>
      </w:r>
      <w:r>
        <w:instrText xml:space="preserve"> HYPERLINK \l _Toc10177 </w:instrText>
      </w:r>
      <w:r>
        <w:fldChar w:fldCharType="separate"/>
      </w:r>
      <w:r>
        <w:rPr>
          <w:rFonts w:hint="eastAsia"/>
          <w:lang w:eastAsia="zh-CN"/>
        </w:rPr>
        <w:t>（</w:t>
      </w:r>
      <w:r>
        <w:rPr>
          <w:rFonts w:hint="eastAsia"/>
          <w:lang w:val="en-US" w:eastAsia="zh-CN"/>
        </w:rPr>
        <w:t>一</w:t>
      </w:r>
      <w:r>
        <w:rPr>
          <w:rFonts w:hint="eastAsia"/>
          <w:lang w:eastAsia="zh-CN"/>
        </w:rPr>
        <w:t>）</w:t>
      </w:r>
      <w:r>
        <w:rPr>
          <w:rFonts w:hint="eastAsia"/>
        </w:rPr>
        <w:t>实验设备清单</w:t>
      </w:r>
      <w:r>
        <w:tab/>
      </w:r>
      <w:r>
        <w:fldChar w:fldCharType="begin"/>
      </w:r>
      <w:r>
        <w:instrText xml:space="preserve"> PAGEREF _Toc10177 \h </w:instrText>
      </w:r>
      <w:r>
        <w:fldChar w:fldCharType="separate"/>
      </w:r>
      <w:r>
        <w:t>274</w:t>
      </w:r>
      <w:r>
        <w:fldChar w:fldCharType="end"/>
      </w:r>
      <w:r>
        <w:fldChar w:fldCharType="end"/>
      </w:r>
    </w:p>
    <w:p>
      <w:pPr>
        <w:pStyle w:val="26"/>
        <w:tabs>
          <w:tab w:val="right" w:leader="dot" w:pos="8306"/>
        </w:tabs>
      </w:pPr>
      <w:r>
        <w:fldChar w:fldCharType="begin"/>
      </w:r>
      <w:r>
        <w:instrText xml:space="preserve"> HYPERLINK \l _Toc13964 </w:instrText>
      </w:r>
      <w:r>
        <w:fldChar w:fldCharType="separate"/>
      </w:r>
      <w:r>
        <w:rPr>
          <w:rFonts w:hint="eastAsia"/>
          <w:lang w:eastAsia="zh-CN"/>
        </w:rPr>
        <w:t>（</w:t>
      </w:r>
      <w:r>
        <w:rPr>
          <w:rFonts w:hint="eastAsia"/>
          <w:lang w:val="en-US" w:eastAsia="zh-CN"/>
        </w:rPr>
        <w:t>二</w:t>
      </w:r>
      <w:r>
        <w:rPr>
          <w:rFonts w:hint="eastAsia"/>
          <w:lang w:eastAsia="zh-CN"/>
        </w:rPr>
        <w:t>）</w:t>
      </w:r>
      <w:r>
        <w:rPr>
          <w:rFonts w:hint="eastAsia"/>
        </w:rPr>
        <w:t>检验氮磷钾有机质所用设备仪器</w:t>
      </w:r>
      <w:r>
        <w:tab/>
      </w:r>
      <w:r>
        <w:fldChar w:fldCharType="begin"/>
      </w:r>
      <w:r>
        <w:instrText xml:space="preserve"> PAGEREF _Toc13964 \h </w:instrText>
      </w:r>
      <w:r>
        <w:fldChar w:fldCharType="separate"/>
      </w:r>
      <w:r>
        <w:t>274</w:t>
      </w:r>
      <w:r>
        <w:fldChar w:fldCharType="end"/>
      </w:r>
      <w:r>
        <w:fldChar w:fldCharType="end"/>
      </w:r>
    </w:p>
    <w:p>
      <w:pPr>
        <w:pStyle w:val="20"/>
        <w:tabs>
          <w:tab w:val="right" w:leader="dot" w:pos="8306"/>
        </w:tabs>
      </w:pPr>
      <w:r>
        <w:fldChar w:fldCharType="begin"/>
      </w:r>
      <w:r>
        <w:instrText xml:space="preserve"> HYPERLINK \l _Toc26026 </w:instrText>
      </w:r>
      <w:r>
        <w:fldChar w:fldCharType="separate"/>
      </w:r>
      <w:r>
        <w:rPr>
          <w:rFonts w:hint="eastAsia"/>
          <w:lang w:val="en-US" w:eastAsia="zh-CN"/>
        </w:rPr>
        <w:t>八、</w:t>
      </w:r>
      <w:r>
        <w:rPr>
          <w:rFonts w:hint="eastAsia"/>
        </w:rPr>
        <w:t>肥料常见质量问题及提高化肥检验方法</w:t>
      </w:r>
      <w:r>
        <w:tab/>
      </w:r>
      <w:r>
        <w:fldChar w:fldCharType="begin"/>
      </w:r>
      <w:r>
        <w:instrText xml:space="preserve"> PAGEREF _Toc26026 \h </w:instrText>
      </w:r>
      <w:r>
        <w:fldChar w:fldCharType="separate"/>
      </w:r>
      <w:r>
        <w:t>276</w:t>
      </w:r>
      <w:r>
        <w:fldChar w:fldCharType="end"/>
      </w:r>
      <w:r>
        <w:fldChar w:fldCharType="end"/>
      </w:r>
    </w:p>
    <w:p>
      <w:pPr>
        <w:pStyle w:val="26"/>
        <w:tabs>
          <w:tab w:val="right" w:leader="dot" w:pos="8306"/>
        </w:tabs>
      </w:pPr>
      <w:r>
        <w:fldChar w:fldCharType="begin"/>
      </w:r>
      <w:r>
        <w:instrText xml:space="preserve"> HYPERLINK \l _Toc8511 </w:instrText>
      </w:r>
      <w:r>
        <w:fldChar w:fldCharType="separate"/>
      </w:r>
      <w:r>
        <w:rPr>
          <w:rFonts w:hint="eastAsia"/>
          <w:lang w:eastAsia="zh-CN"/>
        </w:rPr>
        <w:t>（</w:t>
      </w:r>
      <w:r>
        <w:rPr>
          <w:rFonts w:hint="eastAsia"/>
          <w:lang w:val="en-US" w:eastAsia="zh-CN"/>
        </w:rPr>
        <w:t>一</w:t>
      </w:r>
      <w:r>
        <w:rPr>
          <w:rFonts w:hint="eastAsia"/>
          <w:lang w:eastAsia="zh-CN"/>
        </w:rPr>
        <w:t>）</w:t>
      </w:r>
      <w:r>
        <w:rPr>
          <w:rFonts w:hint="eastAsia"/>
        </w:rPr>
        <w:t>提升化肥分析检验准确度的必要性</w:t>
      </w:r>
      <w:r>
        <w:tab/>
      </w:r>
      <w:r>
        <w:fldChar w:fldCharType="begin"/>
      </w:r>
      <w:r>
        <w:instrText xml:space="preserve"> PAGEREF _Toc8511 \h </w:instrText>
      </w:r>
      <w:r>
        <w:fldChar w:fldCharType="separate"/>
      </w:r>
      <w:r>
        <w:t>276</w:t>
      </w:r>
      <w:r>
        <w:fldChar w:fldCharType="end"/>
      </w:r>
      <w:r>
        <w:fldChar w:fldCharType="end"/>
      </w:r>
    </w:p>
    <w:p>
      <w:pPr>
        <w:pStyle w:val="26"/>
        <w:tabs>
          <w:tab w:val="right" w:leader="dot" w:pos="8306"/>
        </w:tabs>
      </w:pPr>
      <w:r>
        <w:fldChar w:fldCharType="begin"/>
      </w:r>
      <w:r>
        <w:instrText xml:space="preserve"> HYPERLINK \l _Toc16737 </w:instrText>
      </w:r>
      <w:r>
        <w:fldChar w:fldCharType="separate"/>
      </w:r>
      <w:r>
        <w:rPr>
          <w:rFonts w:hint="eastAsia"/>
          <w:lang w:eastAsia="zh-CN"/>
        </w:rPr>
        <w:t>（</w:t>
      </w:r>
      <w:r>
        <w:rPr>
          <w:rFonts w:hint="eastAsia"/>
          <w:lang w:val="en-US" w:eastAsia="zh-CN"/>
        </w:rPr>
        <w:t>二</w:t>
      </w:r>
      <w:r>
        <w:rPr>
          <w:rFonts w:hint="eastAsia"/>
          <w:lang w:eastAsia="zh-CN"/>
        </w:rPr>
        <w:t>）</w:t>
      </w:r>
      <w:r>
        <w:rPr>
          <w:rFonts w:hint="eastAsia"/>
        </w:rPr>
        <w:t>化肥产品常见质量不合格项目分析</w:t>
      </w:r>
      <w:r>
        <w:tab/>
      </w:r>
      <w:r>
        <w:fldChar w:fldCharType="begin"/>
      </w:r>
      <w:r>
        <w:instrText xml:space="preserve"> PAGEREF _Toc16737 \h </w:instrText>
      </w:r>
      <w:r>
        <w:fldChar w:fldCharType="separate"/>
      </w:r>
      <w:r>
        <w:t>277</w:t>
      </w:r>
      <w:r>
        <w:fldChar w:fldCharType="end"/>
      </w:r>
      <w:r>
        <w:fldChar w:fldCharType="end"/>
      </w:r>
    </w:p>
    <w:p>
      <w:pPr>
        <w:pStyle w:val="26"/>
        <w:tabs>
          <w:tab w:val="right" w:leader="dot" w:pos="8306"/>
        </w:tabs>
      </w:pPr>
      <w:r>
        <w:fldChar w:fldCharType="begin"/>
      </w:r>
      <w:r>
        <w:instrText xml:space="preserve"> HYPERLINK \l _Toc8008 </w:instrText>
      </w:r>
      <w:r>
        <w:fldChar w:fldCharType="separate"/>
      </w:r>
      <w:r>
        <w:rPr>
          <w:rFonts w:hint="eastAsia"/>
          <w:lang w:eastAsia="zh-CN"/>
        </w:rPr>
        <w:t>（</w:t>
      </w:r>
      <w:r>
        <w:rPr>
          <w:rFonts w:hint="eastAsia"/>
          <w:lang w:val="en-US" w:eastAsia="zh-CN"/>
        </w:rPr>
        <w:t>三</w:t>
      </w:r>
      <w:r>
        <w:rPr>
          <w:rFonts w:hint="eastAsia"/>
          <w:lang w:eastAsia="zh-CN"/>
        </w:rPr>
        <w:t>）</w:t>
      </w:r>
      <w:r>
        <w:rPr>
          <w:rFonts w:hint="eastAsia"/>
        </w:rPr>
        <w:t>提高化肥检验准确度的方法</w:t>
      </w:r>
      <w:r>
        <w:tab/>
      </w:r>
      <w:r>
        <w:fldChar w:fldCharType="begin"/>
      </w:r>
      <w:r>
        <w:instrText xml:space="preserve"> PAGEREF _Toc8008 \h </w:instrText>
      </w:r>
      <w:r>
        <w:fldChar w:fldCharType="separate"/>
      </w:r>
      <w:r>
        <w:t>280</w:t>
      </w:r>
      <w:r>
        <w:fldChar w:fldCharType="end"/>
      </w:r>
      <w:r>
        <w:fldChar w:fldCharType="end"/>
      </w:r>
    </w:p>
    <w:p>
      <w:pPr>
        <w:pStyle w:val="20"/>
        <w:tabs>
          <w:tab w:val="right" w:leader="dot" w:pos="8306"/>
        </w:tabs>
      </w:pPr>
      <w:r>
        <w:fldChar w:fldCharType="begin"/>
      </w:r>
      <w:r>
        <w:instrText xml:space="preserve"> HYPERLINK \l _Toc26077 </w:instrText>
      </w:r>
      <w:r>
        <w:fldChar w:fldCharType="separate"/>
      </w:r>
      <w:r>
        <w:rPr>
          <w:rFonts w:hint="eastAsia"/>
          <w:lang w:val="en-US" w:eastAsia="zh-CN"/>
        </w:rPr>
        <w:t>九、</w:t>
      </w:r>
      <w:r>
        <w:rPr>
          <w:rFonts w:hint="eastAsia"/>
        </w:rPr>
        <w:t>有机肥主要指标的质量检测方法</w:t>
      </w:r>
      <w:r>
        <w:tab/>
      </w:r>
      <w:r>
        <w:fldChar w:fldCharType="begin"/>
      </w:r>
      <w:r>
        <w:instrText xml:space="preserve"> PAGEREF _Toc26077 \h </w:instrText>
      </w:r>
      <w:r>
        <w:fldChar w:fldCharType="separate"/>
      </w:r>
      <w:r>
        <w:t>282</w:t>
      </w:r>
      <w:r>
        <w:fldChar w:fldCharType="end"/>
      </w:r>
      <w:r>
        <w:fldChar w:fldCharType="end"/>
      </w:r>
    </w:p>
    <w:p>
      <w:pPr>
        <w:pStyle w:val="26"/>
        <w:tabs>
          <w:tab w:val="right" w:leader="dot" w:pos="8306"/>
        </w:tabs>
      </w:pPr>
      <w:r>
        <w:fldChar w:fldCharType="begin"/>
      </w:r>
      <w:r>
        <w:instrText xml:space="preserve"> HYPERLINK \l _Toc24498 </w:instrText>
      </w:r>
      <w:r>
        <w:fldChar w:fldCharType="separate"/>
      </w:r>
      <w:r>
        <w:rPr>
          <w:rFonts w:hint="eastAsia"/>
          <w:lang w:eastAsia="zh-CN"/>
        </w:rPr>
        <w:t>（</w:t>
      </w:r>
      <w:r>
        <w:rPr>
          <w:rFonts w:hint="eastAsia"/>
          <w:lang w:val="en-US" w:eastAsia="zh-CN"/>
        </w:rPr>
        <w:t>一</w:t>
      </w:r>
      <w:r>
        <w:rPr>
          <w:rFonts w:hint="eastAsia"/>
          <w:lang w:eastAsia="zh-CN"/>
        </w:rPr>
        <w:t>）</w:t>
      </w:r>
      <w:r>
        <w:rPr>
          <w:rFonts w:hint="eastAsia"/>
        </w:rPr>
        <w:t>各个指标的标准</w:t>
      </w:r>
      <w:r>
        <w:tab/>
      </w:r>
      <w:r>
        <w:fldChar w:fldCharType="begin"/>
      </w:r>
      <w:r>
        <w:instrText xml:space="preserve"> PAGEREF _Toc24498 \h </w:instrText>
      </w:r>
      <w:r>
        <w:fldChar w:fldCharType="separate"/>
      </w:r>
      <w:r>
        <w:t>282</w:t>
      </w:r>
      <w:r>
        <w:fldChar w:fldCharType="end"/>
      </w:r>
      <w:r>
        <w:fldChar w:fldCharType="end"/>
      </w:r>
    </w:p>
    <w:p>
      <w:pPr>
        <w:pStyle w:val="26"/>
        <w:tabs>
          <w:tab w:val="right" w:leader="dot" w:pos="8306"/>
        </w:tabs>
      </w:pPr>
      <w:r>
        <w:fldChar w:fldCharType="begin"/>
      </w:r>
      <w:r>
        <w:instrText xml:space="preserve"> HYPERLINK \l _Toc32292 </w:instrText>
      </w:r>
      <w:r>
        <w:fldChar w:fldCharType="separate"/>
      </w:r>
      <w:r>
        <w:rPr>
          <w:rFonts w:hint="eastAsia"/>
          <w:lang w:eastAsia="zh-CN"/>
        </w:rPr>
        <w:t>（</w:t>
      </w:r>
      <w:r>
        <w:rPr>
          <w:rFonts w:hint="eastAsia"/>
          <w:lang w:val="en-US" w:eastAsia="zh-CN"/>
        </w:rPr>
        <w:t>二</w:t>
      </w:r>
      <w:r>
        <w:rPr>
          <w:rFonts w:hint="eastAsia"/>
          <w:lang w:eastAsia="zh-CN"/>
        </w:rPr>
        <w:t>）</w:t>
      </w:r>
      <w:r>
        <w:rPr>
          <w:rFonts w:hint="eastAsia"/>
        </w:rPr>
        <w:t>各个指标检测方法</w:t>
      </w:r>
      <w:r>
        <w:tab/>
      </w:r>
      <w:r>
        <w:fldChar w:fldCharType="begin"/>
      </w:r>
      <w:r>
        <w:instrText xml:space="preserve"> PAGEREF _Toc32292 \h </w:instrText>
      </w:r>
      <w:r>
        <w:fldChar w:fldCharType="separate"/>
      </w:r>
      <w:r>
        <w:t>283</w:t>
      </w:r>
      <w:r>
        <w:fldChar w:fldCharType="end"/>
      </w:r>
      <w:r>
        <w:fldChar w:fldCharType="end"/>
      </w:r>
    </w:p>
    <w:p>
      <w:pPr>
        <w:pStyle w:val="28"/>
        <w:tabs>
          <w:tab w:val="right" w:leader="dot" w:pos="8306"/>
        </w:tabs>
      </w:pPr>
      <w:r>
        <w:fldChar w:fldCharType="begin"/>
      </w:r>
      <w:r>
        <w:instrText xml:space="preserve"> HYPERLINK \l _Toc24813 </w:instrText>
      </w:r>
      <w:r>
        <w:fldChar w:fldCharType="separate"/>
      </w:r>
      <w:r>
        <w:rPr>
          <w:rFonts w:hint="eastAsia"/>
          <w:lang w:val="en-US" w:eastAsia="zh-CN"/>
        </w:rPr>
        <w:t xml:space="preserve">第三节  </w:t>
      </w:r>
      <w:r>
        <w:rPr>
          <w:rFonts w:hint="eastAsia"/>
        </w:rPr>
        <w:t>肥料常见质量问题及提高化肥检验方法</w:t>
      </w:r>
      <w:r>
        <w:tab/>
      </w:r>
      <w:r>
        <w:fldChar w:fldCharType="begin"/>
      </w:r>
      <w:r>
        <w:instrText xml:space="preserve"> PAGEREF _Toc24813 \h </w:instrText>
      </w:r>
      <w:r>
        <w:fldChar w:fldCharType="separate"/>
      </w:r>
      <w:r>
        <w:t>304</w:t>
      </w:r>
      <w:r>
        <w:fldChar w:fldCharType="end"/>
      </w:r>
      <w:r>
        <w:fldChar w:fldCharType="end"/>
      </w:r>
    </w:p>
    <w:p>
      <w:pPr>
        <w:pStyle w:val="20"/>
        <w:tabs>
          <w:tab w:val="right" w:leader="dot" w:pos="8306"/>
        </w:tabs>
      </w:pPr>
      <w:r>
        <w:fldChar w:fldCharType="begin"/>
      </w:r>
      <w:r>
        <w:instrText xml:space="preserve"> HYPERLINK \l _Toc6240 </w:instrText>
      </w:r>
      <w:r>
        <w:fldChar w:fldCharType="separate"/>
      </w:r>
      <w:r>
        <w:rPr>
          <w:rFonts w:hint="eastAsia"/>
        </w:rPr>
        <w:t>一、提升化肥分析检验准确度的必要性</w:t>
      </w:r>
      <w:r>
        <w:tab/>
      </w:r>
      <w:r>
        <w:fldChar w:fldCharType="begin"/>
      </w:r>
      <w:r>
        <w:instrText xml:space="preserve"> PAGEREF _Toc6240 \h </w:instrText>
      </w:r>
      <w:r>
        <w:fldChar w:fldCharType="separate"/>
      </w:r>
      <w:r>
        <w:t>304</w:t>
      </w:r>
      <w:r>
        <w:fldChar w:fldCharType="end"/>
      </w:r>
      <w:r>
        <w:fldChar w:fldCharType="end"/>
      </w:r>
    </w:p>
    <w:p>
      <w:pPr>
        <w:pStyle w:val="20"/>
        <w:tabs>
          <w:tab w:val="right" w:leader="dot" w:pos="8306"/>
        </w:tabs>
      </w:pPr>
      <w:r>
        <w:fldChar w:fldCharType="begin"/>
      </w:r>
      <w:r>
        <w:instrText xml:space="preserve"> HYPERLINK \l _Toc17423 </w:instrText>
      </w:r>
      <w:r>
        <w:fldChar w:fldCharType="separate"/>
      </w:r>
      <w:r>
        <w:rPr>
          <w:rFonts w:hint="eastAsia"/>
        </w:rPr>
        <w:t>二、化肥产品常见质量不合格项目分析</w:t>
      </w:r>
      <w:r>
        <w:tab/>
      </w:r>
      <w:r>
        <w:fldChar w:fldCharType="begin"/>
      </w:r>
      <w:r>
        <w:instrText xml:space="preserve"> PAGEREF _Toc17423 \h </w:instrText>
      </w:r>
      <w:r>
        <w:fldChar w:fldCharType="separate"/>
      </w:r>
      <w:r>
        <w:t>305</w:t>
      </w:r>
      <w:r>
        <w:fldChar w:fldCharType="end"/>
      </w:r>
      <w:r>
        <w:fldChar w:fldCharType="end"/>
      </w:r>
    </w:p>
    <w:p>
      <w:pPr>
        <w:pStyle w:val="20"/>
        <w:tabs>
          <w:tab w:val="right" w:leader="dot" w:pos="8306"/>
        </w:tabs>
      </w:pPr>
      <w:r>
        <w:fldChar w:fldCharType="begin"/>
      </w:r>
      <w:r>
        <w:instrText xml:space="preserve"> HYPERLINK \l _Toc13980 </w:instrText>
      </w:r>
      <w:r>
        <w:fldChar w:fldCharType="separate"/>
      </w:r>
      <w:r>
        <w:rPr>
          <w:rFonts w:hint="eastAsia"/>
        </w:rPr>
        <w:t>三、提高化肥检验准确度的方法</w:t>
      </w:r>
      <w:r>
        <w:tab/>
      </w:r>
      <w:r>
        <w:fldChar w:fldCharType="begin"/>
      </w:r>
      <w:r>
        <w:instrText xml:space="preserve"> PAGEREF _Toc13980 \h </w:instrText>
      </w:r>
      <w:r>
        <w:fldChar w:fldCharType="separate"/>
      </w:r>
      <w:r>
        <w:t>308</w:t>
      </w:r>
      <w:r>
        <w:fldChar w:fldCharType="end"/>
      </w:r>
      <w:r>
        <w:fldChar w:fldCharType="end"/>
      </w:r>
    </w:p>
    <w:p>
      <w:pPr>
        <w:pStyle w:val="28"/>
        <w:tabs>
          <w:tab w:val="right" w:leader="dot" w:pos="8306"/>
        </w:tabs>
      </w:pPr>
      <w:r>
        <w:fldChar w:fldCharType="begin"/>
      </w:r>
      <w:r>
        <w:instrText xml:space="preserve"> HYPERLINK \l _Toc31511 </w:instrText>
      </w:r>
      <w:r>
        <w:fldChar w:fldCharType="separate"/>
      </w:r>
      <w:r>
        <w:rPr>
          <w:rFonts w:hint="eastAsia"/>
          <w:lang w:val="en-US" w:eastAsia="zh-CN"/>
        </w:rPr>
        <w:t xml:space="preserve">第四节  </w:t>
      </w:r>
      <w:r>
        <w:rPr>
          <w:rFonts w:hint="eastAsia"/>
        </w:rPr>
        <w:t>公司质量保证制度</w:t>
      </w:r>
      <w:r>
        <w:tab/>
      </w:r>
      <w:r>
        <w:fldChar w:fldCharType="begin"/>
      </w:r>
      <w:r>
        <w:instrText xml:space="preserve"> PAGEREF _Toc31511 \h </w:instrText>
      </w:r>
      <w:r>
        <w:fldChar w:fldCharType="separate"/>
      </w:r>
      <w:r>
        <w:t>310</w:t>
      </w:r>
      <w:r>
        <w:fldChar w:fldCharType="end"/>
      </w:r>
      <w:r>
        <w:fldChar w:fldCharType="end"/>
      </w:r>
    </w:p>
    <w:p>
      <w:pPr>
        <w:pStyle w:val="20"/>
        <w:tabs>
          <w:tab w:val="right" w:leader="dot" w:pos="8306"/>
        </w:tabs>
      </w:pPr>
      <w:r>
        <w:fldChar w:fldCharType="begin"/>
      </w:r>
      <w:r>
        <w:instrText xml:space="preserve"> HYPERLINK \l _Toc8821 </w:instrText>
      </w:r>
      <w:r>
        <w:fldChar w:fldCharType="separate"/>
      </w:r>
      <w:r>
        <w:rPr>
          <w:rFonts w:hint="eastAsia"/>
          <w:lang w:val="en-US" w:eastAsia="zh-CN"/>
        </w:rPr>
        <w:t>一、</w:t>
      </w:r>
      <w:r>
        <w:rPr>
          <w:rFonts w:hint="eastAsia"/>
        </w:rPr>
        <w:t>质量管理</w:t>
      </w:r>
      <w:r>
        <w:tab/>
      </w:r>
      <w:r>
        <w:fldChar w:fldCharType="begin"/>
      </w:r>
      <w:r>
        <w:instrText xml:space="preserve"> PAGEREF _Toc8821 \h </w:instrText>
      </w:r>
      <w:r>
        <w:fldChar w:fldCharType="separate"/>
      </w:r>
      <w:r>
        <w:t>311</w:t>
      </w:r>
      <w:r>
        <w:fldChar w:fldCharType="end"/>
      </w:r>
      <w:r>
        <w:fldChar w:fldCharType="end"/>
      </w:r>
    </w:p>
    <w:p>
      <w:pPr>
        <w:pStyle w:val="20"/>
        <w:tabs>
          <w:tab w:val="right" w:leader="dot" w:pos="8306"/>
        </w:tabs>
      </w:pPr>
      <w:r>
        <w:fldChar w:fldCharType="begin"/>
      </w:r>
      <w:r>
        <w:instrText xml:space="preserve"> HYPERLINK \l _Toc12896 </w:instrText>
      </w:r>
      <w:r>
        <w:fldChar w:fldCharType="separate"/>
      </w:r>
      <w:r>
        <w:rPr>
          <w:rFonts w:hint="eastAsia"/>
          <w:lang w:val="en-US" w:eastAsia="zh-CN"/>
        </w:rPr>
        <w:t>二、</w:t>
      </w:r>
      <w:r>
        <w:rPr>
          <w:rFonts w:hint="eastAsia"/>
        </w:rPr>
        <w:t>采购质量控制制度</w:t>
      </w:r>
      <w:r>
        <w:tab/>
      </w:r>
      <w:r>
        <w:fldChar w:fldCharType="begin"/>
      </w:r>
      <w:r>
        <w:instrText xml:space="preserve"> PAGEREF _Toc12896 \h </w:instrText>
      </w:r>
      <w:r>
        <w:fldChar w:fldCharType="separate"/>
      </w:r>
      <w:r>
        <w:t>312</w:t>
      </w:r>
      <w:r>
        <w:fldChar w:fldCharType="end"/>
      </w:r>
      <w:r>
        <w:fldChar w:fldCharType="end"/>
      </w:r>
    </w:p>
    <w:p>
      <w:pPr>
        <w:pStyle w:val="20"/>
        <w:tabs>
          <w:tab w:val="right" w:leader="dot" w:pos="8306"/>
        </w:tabs>
      </w:pPr>
      <w:r>
        <w:fldChar w:fldCharType="begin"/>
      </w:r>
      <w:r>
        <w:instrText xml:space="preserve"> HYPERLINK \l _Toc832 </w:instrText>
      </w:r>
      <w:r>
        <w:fldChar w:fldCharType="separate"/>
      </w:r>
      <w:r>
        <w:rPr>
          <w:rFonts w:hint="eastAsia"/>
          <w:lang w:val="en-US" w:eastAsia="zh-CN"/>
        </w:rPr>
        <w:t>三、</w:t>
      </w:r>
      <w:r>
        <w:rPr>
          <w:rFonts w:hint="eastAsia"/>
        </w:rPr>
        <w:t>质量检验管理制度</w:t>
      </w:r>
      <w:r>
        <w:tab/>
      </w:r>
      <w:r>
        <w:fldChar w:fldCharType="begin"/>
      </w:r>
      <w:r>
        <w:instrText xml:space="preserve"> PAGEREF _Toc832 \h </w:instrText>
      </w:r>
      <w:r>
        <w:fldChar w:fldCharType="separate"/>
      </w:r>
      <w:r>
        <w:t>314</w:t>
      </w:r>
      <w:r>
        <w:fldChar w:fldCharType="end"/>
      </w:r>
      <w:r>
        <w:fldChar w:fldCharType="end"/>
      </w:r>
    </w:p>
    <w:p>
      <w:pPr>
        <w:pStyle w:val="20"/>
        <w:tabs>
          <w:tab w:val="right" w:leader="dot" w:pos="8306"/>
        </w:tabs>
      </w:pPr>
      <w:r>
        <w:fldChar w:fldCharType="begin"/>
      </w:r>
      <w:r>
        <w:instrText xml:space="preserve"> HYPERLINK \l _Toc5803 </w:instrText>
      </w:r>
      <w:r>
        <w:fldChar w:fldCharType="separate"/>
      </w:r>
      <w:r>
        <w:rPr>
          <w:rFonts w:hint="eastAsia"/>
          <w:lang w:val="en-US" w:eastAsia="zh-CN"/>
        </w:rPr>
        <w:t>四、</w:t>
      </w:r>
      <w:r>
        <w:rPr>
          <w:rFonts w:hint="eastAsia"/>
        </w:rPr>
        <w:t>标准溶液管理制度</w:t>
      </w:r>
      <w:r>
        <w:tab/>
      </w:r>
      <w:r>
        <w:fldChar w:fldCharType="begin"/>
      </w:r>
      <w:r>
        <w:instrText xml:space="preserve"> PAGEREF _Toc5803 \h </w:instrText>
      </w:r>
      <w:r>
        <w:fldChar w:fldCharType="separate"/>
      </w:r>
      <w:r>
        <w:t>317</w:t>
      </w:r>
      <w:r>
        <w:fldChar w:fldCharType="end"/>
      </w:r>
      <w:r>
        <w:fldChar w:fldCharType="end"/>
      </w:r>
    </w:p>
    <w:p>
      <w:pPr>
        <w:pStyle w:val="20"/>
        <w:tabs>
          <w:tab w:val="right" w:leader="dot" w:pos="8306"/>
        </w:tabs>
      </w:pPr>
      <w:r>
        <w:fldChar w:fldCharType="begin"/>
      </w:r>
      <w:r>
        <w:instrText xml:space="preserve"> HYPERLINK \l _Toc29302 </w:instrText>
      </w:r>
      <w:r>
        <w:fldChar w:fldCharType="separate"/>
      </w:r>
      <w:r>
        <w:rPr>
          <w:rFonts w:hint="eastAsia"/>
          <w:lang w:val="en-US" w:eastAsia="zh-CN"/>
        </w:rPr>
        <w:t>五、</w:t>
      </w:r>
      <w:r>
        <w:rPr>
          <w:rFonts w:hint="eastAsia"/>
        </w:rPr>
        <w:t>质量考核奖惩制度</w:t>
      </w:r>
      <w:r>
        <w:tab/>
      </w:r>
      <w:r>
        <w:fldChar w:fldCharType="begin"/>
      </w:r>
      <w:r>
        <w:instrText xml:space="preserve"> PAGEREF _Toc29302 \h </w:instrText>
      </w:r>
      <w:r>
        <w:fldChar w:fldCharType="separate"/>
      </w:r>
      <w:r>
        <w:t>318</w:t>
      </w:r>
      <w:r>
        <w:fldChar w:fldCharType="end"/>
      </w:r>
      <w:r>
        <w:fldChar w:fldCharType="end"/>
      </w:r>
    </w:p>
    <w:p>
      <w:pPr>
        <w:pStyle w:val="20"/>
        <w:tabs>
          <w:tab w:val="right" w:leader="dot" w:pos="8306"/>
        </w:tabs>
      </w:pPr>
      <w:r>
        <w:fldChar w:fldCharType="begin"/>
      </w:r>
      <w:r>
        <w:instrText xml:space="preserve"> HYPERLINK \l _Toc25698 </w:instrText>
      </w:r>
      <w:r>
        <w:fldChar w:fldCharType="separate"/>
      </w:r>
      <w:r>
        <w:rPr>
          <w:rFonts w:hint="eastAsia"/>
          <w:lang w:val="en-US" w:eastAsia="zh-CN"/>
        </w:rPr>
        <w:t>六、</w:t>
      </w:r>
      <w:r>
        <w:rPr>
          <w:rFonts w:hint="eastAsia"/>
        </w:rPr>
        <w:t>各级质量管理人员岗位和质量责任制度</w:t>
      </w:r>
      <w:r>
        <w:tab/>
      </w:r>
      <w:r>
        <w:fldChar w:fldCharType="begin"/>
      </w:r>
      <w:r>
        <w:instrText xml:space="preserve"> PAGEREF _Toc25698 \h </w:instrText>
      </w:r>
      <w:r>
        <w:fldChar w:fldCharType="separate"/>
      </w:r>
      <w:r>
        <w:t>320</w:t>
      </w:r>
      <w:r>
        <w:fldChar w:fldCharType="end"/>
      </w:r>
      <w:r>
        <w:fldChar w:fldCharType="end"/>
      </w:r>
    </w:p>
    <w:p>
      <w:pPr>
        <w:pStyle w:val="26"/>
        <w:tabs>
          <w:tab w:val="right" w:leader="dot" w:pos="8306"/>
        </w:tabs>
      </w:pPr>
      <w:r>
        <w:fldChar w:fldCharType="begin"/>
      </w:r>
      <w:r>
        <w:instrText xml:space="preserve"> HYPERLINK \l _Toc26724 </w:instrText>
      </w:r>
      <w:r>
        <w:fldChar w:fldCharType="separate"/>
      </w:r>
      <w:r>
        <w:rPr>
          <w:rFonts w:hint="eastAsia"/>
          <w:lang w:eastAsia="zh-CN"/>
        </w:rPr>
        <w:t>（</w:t>
      </w:r>
      <w:r>
        <w:rPr>
          <w:rFonts w:hint="eastAsia"/>
          <w:lang w:val="en-US" w:eastAsia="zh-CN"/>
        </w:rPr>
        <w:t>一</w:t>
      </w:r>
      <w:r>
        <w:rPr>
          <w:rFonts w:hint="eastAsia"/>
          <w:lang w:eastAsia="zh-CN"/>
        </w:rPr>
        <w:t>）</w:t>
      </w:r>
      <w:r>
        <w:rPr>
          <w:rFonts w:hint="eastAsia"/>
        </w:rPr>
        <w:t>总则</w:t>
      </w:r>
      <w:r>
        <w:tab/>
      </w:r>
      <w:r>
        <w:fldChar w:fldCharType="begin"/>
      </w:r>
      <w:r>
        <w:instrText xml:space="preserve"> PAGEREF _Toc26724 \h </w:instrText>
      </w:r>
      <w:r>
        <w:fldChar w:fldCharType="separate"/>
      </w:r>
      <w:r>
        <w:t>320</w:t>
      </w:r>
      <w:r>
        <w:fldChar w:fldCharType="end"/>
      </w:r>
      <w:r>
        <w:fldChar w:fldCharType="end"/>
      </w:r>
    </w:p>
    <w:p>
      <w:pPr>
        <w:pStyle w:val="26"/>
        <w:tabs>
          <w:tab w:val="right" w:leader="dot" w:pos="8306"/>
        </w:tabs>
      </w:pPr>
      <w:r>
        <w:fldChar w:fldCharType="begin"/>
      </w:r>
      <w:r>
        <w:instrText xml:space="preserve"> HYPERLINK \l _Toc20993 </w:instrText>
      </w:r>
      <w:r>
        <w:fldChar w:fldCharType="separate"/>
      </w:r>
      <w:r>
        <w:rPr>
          <w:rFonts w:hint="eastAsia"/>
          <w:lang w:eastAsia="zh-CN"/>
        </w:rPr>
        <w:t>（</w:t>
      </w:r>
      <w:r>
        <w:rPr>
          <w:rFonts w:hint="eastAsia"/>
          <w:lang w:val="en-US" w:eastAsia="zh-CN"/>
        </w:rPr>
        <w:t>二</w:t>
      </w:r>
      <w:r>
        <w:rPr>
          <w:rFonts w:hint="eastAsia"/>
          <w:lang w:eastAsia="zh-CN"/>
        </w:rPr>
        <w:t>）</w:t>
      </w:r>
      <w:r>
        <w:rPr>
          <w:rFonts w:hint="eastAsia"/>
        </w:rPr>
        <w:t>总经理岗位质量责任制</w:t>
      </w:r>
      <w:r>
        <w:tab/>
      </w:r>
      <w:r>
        <w:fldChar w:fldCharType="begin"/>
      </w:r>
      <w:r>
        <w:instrText xml:space="preserve"> PAGEREF _Toc20993 \h </w:instrText>
      </w:r>
      <w:r>
        <w:fldChar w:fldCharType="separate"/>
      </w:r>
      <w:r>
        <w:t>320</w:t>
      </w:r>
      <w:r>
        <w:fldChar w:fldCharType="end"/>
      </w:r>
      <w:r>
        <w:fldChar w:fldCharType="end"/>
      </w:r>
    </w:p>
    <w:p>
      <w:pPr>
        <w:pStyle w:val="26"/>
        <w:tabs>
          <w:tab w:val="right" w:leader="dot" w:pos="8306"/>
        </w:tabs>
      </w:pPr>
      <w:r>
        <w:fldChar w:fldCharType="begin"/>
      </w:r>
      <w:r>
        <w:instrText xml:space="preserve"> HYPERLINK \l _Toc27500 </w:instrText>
      </w:r>
      <w:r>
        <w:fldChar w:fldCharType="separate"/>
      </w:r>
      <w:r>
        <w:rPr>
          <w:rFonts w:hint="eastAsia"/>
          <w:lang w:eastAsia="zh-CN"/>
        </w:rPr>
        <w:t>（</w:t>
      </w:r>
      <w:r>
        <w:rPr>
          <w:rFonts w:hint="eastAsia"/>
          <w:lang w:val="en-US" w:eastAsia="zh-CN"/>
        </w:rPr>
        <w:t>三</w:t>
      </w:r>
      <w:r>
        <w:rPr>
          <w:rFonts w:hint="eastAsia"/>
          <w:lang w:eastAsia="zh-CN"/>
        </w:rPr>
        <w:t>）</w:t>
      </w:r>
      <w:r>
        <w:rPr>
          <w:rFonts w:hint="eastAsia"/>
        </w:rPr>
        <w:t>质量科长岗位质量责任制</w:t>
      </w:r>
      <w:r>
        <w:tab/>
      </w:r>
      <w:r>
        <w:fldChar w:fldCharType="begin"/>
      </w:r>
      <w:r>
        <w:instrText xml:space="preserve"> PAGEREF _Toc27500 \h </w:instrText>
      </w:r>
      <w:r>
        <w:fldChar w:fldCharType="separate"/>
      </w:r>
      <w:r>
        <w:t>321</w:t>
      </w:r>
      <w:r>
        <w:fldChar w:fldCharType="end"/>
      </w:r>
      <w:r>
        <w:fldChar w:fldCharType="end"/>
      </w:r>
    </w:p>
    <w:p>
      <w:pPr>
        <w:pStyle w:val="26"/>
        <w:tabs>
          <w:tab w:val="right" w:leader="dot" w:pos="8306"/>
        </w:tabs>
      </w:pPr>
      <w:r>
        <w:fldChar w:fldCharType="begin"/>
      </w:r>
      <w:r>
        <w:instrText xml:space="preserve"> HYPERLINK \l _Toc14032 </w:instrText>
      </w:r>
      <w:r>
        <w:fldChar w:fldCharType="separate"/>
      </w:r>
      <w:r>
        <w:rPr>
          <w:rFonts w:hint="eastAsia"/>
          <w:lang w:eastAsia="zh-CN"/>
        </w:rPr>
        <w:t>（</w:t>
      </w:r>
      <w:r>
        <w:rPr>
          <w:rFonts w:hint="eastAsia"/>
          <w:lang w:val="en-US" w:eastAsia="zh-CN"/>
        </w:rPr>
        <w:t>四</w:t>
      </w:r>
      <w:r>
        <w:rPr>
          <w:rFonts w:hint="eastAsia"/>
          <w:lang w:eastAsia="zh-CN"/>
        </w:rPr>
        <w:t>）</w:t>
      </w:r>
      <w:r>
        <w:rPr>
          <w:rFonts w:hint="eastAsia"/>
        </w:rPr>
        <w:t>化验员质量责任制</w:t>
      </w:r>
      <w:r>
        <w:tab/>
      </w:r>
      <w:r>
        <w:fldChar w:fldCharType="begin"/>
      </w:r>
      <w:r>
        <w:instrText xml:space="preserve"> PAGEREF _Toc14032 \h </w:instrText>
      </w:r>
      <w:r>
        <w:fldChar w:fldCharType="separate"/>
      </w:r>
      <w:r>
        <w:t>322</w:t>
      </w:r>
      <w:r>
        <w:fldChar w:fldCharType="end"/>
      </w:r>
      <w:r>
        <w:fldChar w:fldCharType="end"/>
      </w:r>
    </w:p>
    <w:p>
      <w:pPr>
        <w:pStyle w:val="26"/>
        <w:tabs>
          <w:tab w:val="right" w:leader="dot" w:pos="8306"/>
        </w:tabs>
      </w:pPr>
      <w:r>
        <w:fldChar w:fldCharType="begin"/>
      </w:r>
      <w:r>
        <w:instrText xml:space="preserve"> HYPERLINK \l _Toc32360 </w:instrText>
      </w:r>
      <w:r>
        <w:fldChar w:fldCharType="separate"/>
      </w:r>
      <w:r>
        <w:rPr>
          <w:rFonts w:hint="eastAsia"/>
          <w:lang w:eastAsia="zh-CN"/>
        </w:rPr>
        <w:t>（</w:t>
      </w:r>
      <w:r>
        <w:rPr>
          <w:rFonts w:hint="eastAsia"/>
          <w:lang w:val="en-US" w:eastAsia="zh-CN"/>
        </w:rPr>
        <w:t>五</w:t>
      </w:r>
      <w:r>
        <w:rPr>
          <w:rFonts w:hint="eastAsia"/>
          <w:lang w:eastAsia="zh-CN"/>
        </w:rPr>
        <w:t>）</w:t>
      </w:r>
      <w:r>
        <w:rPr>
          <w:rFonts w:hint="eastAsia"/>
        </w:rPr>
        <w:t>全面质量管理办公室质量责任制</w:t>
      </w:r>
      <w:r>
        <w:tab/>
      </w:r>
      <w:r>
        <w:fldChar w:fldCharType="begin"/>
      </w:r>
      <w:r>
        <w:instrText xml:space="preserve"> PAGEREF _Toc32360 \h </w:instrText>
      </w:r>
      <w:r>
        <w:fldChar w:fldCharType="separate"/>
      </w:r>
      <w:r>
        <w:t>323</w:t>
      </w:r>
      <w:r>
        <w:fldChar w:fldCharType="end"/>
      </w:r>
      <w:r>
        <w:fldChar w:fldCharType="end"/>
      </w:r>
    </w:p>
    <w:p>
      <w:pPr>
        <w:pStyle w:val="26"/>
        <w:tabs>
          <w:tab w:val="right" w:leader="dot" w:pos="8306"/>
        </w:tabs>
      </w:pPr>
      <w:r>
        <w:fldChar w:fldCharType="begin"/>
      </w:r>
      <w:r>
        <w:instrText xml:space="preserve"> HYPERLINK \l _Toc6217 </w:instrText>
      </w:r>
      <w:r>
        <w:fldChar w:fldCharType="separate"/>
      </w:r>
      <w:r>
        <w:rPr>
          <w:rFonts w:hint="eastAsia"/>
          <w:lang w:eastAsia="zh-CN"/>
        </w:rPr>
        <w:t>（</w:t>
      </w:r>
      <w:r>
        <w:rPr>
          <w:rFonts w:hint="eastAsia"/>
          <w:lang w:val="en-US" w:eastAsia="zh-CN"/>
        </w:rPr>
        <w:t>六</w:t>
      </w:r>
      <w:r>
        <w:rPr>
          <w:rFonts w:hint="eastAsia"/>
          <w:lang w:eastAsia="zh-CN"/>
        </w:rPr>
        <w:t>）</w:t>
      </w:r>
      <w:r>
        <w:rPr>
          <w:rFonts w:hint="eastAsia"/>
        </w:rPr>
        <w:t>计量员质量责任制</w:t>
      </w:r>
      <w:r>
        <w:tab/>
      </w:r>
      <w:r>
        <w:fldChar w:fldCharType="begin"/>
      </w:r>
      <w:r>
        <w:instrText xml:space="preserve"> PAGEREF _Toc6217 \h </w:instrText>
      </w:r>
      <w:r>
        <w:fldChar w:fldCharType="separate"/>
      </w:r>
      <w:r>
        <w:t>324</w:t>
      </w:r>
      <w:r>
        <w:fldChar w:fldCharType="end"/>
      </w:r>
      <w:r>
        <w:fldChar w:fldCharType="end"/>
      </w:r>
    </w:p>
    <w:p>
      <w:pPr>
        <w:pStyle w:val="26"/>
        <w:tabs>
          <w:tab w:val="right" w:leader="dot" w:pos="8306"/>
        </w:tabs>
      </w:pPr>
      <w:r>
        <w:fldChar w:fldCharType="begin"/>
      </w:r>
      <w:r>
        <w:instrText xml:space="preserve"> HYPERLINK \l _Toc28382 </w:instrText>
      </w:r>
      <w:r>
        <w:fldChar w:fldCharType="separate"/>
      </w:r>
      <w:r>
        <w:rPr>
          <w:rFonts w:hint="eastAsia"/>
          <w:lang w:eastAsia="zh-CN"/>
        </w:rPr>
        <w:t>（</w:t>
      </w:r>
      <w:r>
        <w:rPr>
          <w:rFonts w:hint="eastAsia"/>
          <w:lang w:val="en-US" w:eastAsia="zh-CN"/>
        </w:rPr>
        <w:t>七</w:t>
      </w:r>
      <w:r>
        <w:rPr>
          <w:rFonts w:hint="eastAsia"/>
          <w:lang w:eastAsia="zh-CN"/>
        </w:rPr>
        <w:t>）</w:t>
      </w:r>
      <w:r>
        <w:rPr>
          <w:rFonts w:hint="eastAsia"/>
        </w:rPr>
        <w:t>供销科长岗位质量责任制</w:t>
      </w:r>
      <w:r>
        <w:tab/>
      </w:r>
      <w:r>
        <w:fldChar w:fldCharType="begin"/>
      </w:r>
      <w:r>
        <w:instrText xml:space="preserve"> PAGEREF _Toc28382 \h </w:instrText>
      </w:r>
      <w:r>
        <w:fldChar w:fldCharType="separate"/>
      </w:r>
      <w:r>
        <w:t>325</w:t>
      </w:r>
      <w:r>
        <w:fldChar w:fldCharType="end"/>
      </w:r>
      <w:r>
        <w:fldChar w:fldCharType="end"/>
      </w:r>
    </w:p>
    <w:p>
      <w:pPr>
        <w:pStyle w:val="26"/>
        <w:tabs>
          <w:tab w:val="right" w:leader="dot" w:pos="8306"/>
        </w:tabs>
      </w:pPr>
      <w:r>
        <w:fldChar w:fldCharType="begin"/>
      </w:r>
      <w:r>
        <w:instrText xml:space="preserve"> HYPERLINK \l _Toc23524 </w:instrText>
      </w:r>
      <w:r>
        <w:fldChar w:fldCharType="separate"/>
      </w:r>
      <w:r>
        <w:rPr>
          <w:rFonts w:hint="eastAsia"/>
          <w:lang w:eastAsia="zh-CN"/>
        </w:rPr>
        <w:t>（</w:t>
      </w:r>
      <w:r>
        <w:rPr>
          <w:rFonts w:hint="eastAsia"/>
          <w:lang w:val="en-US" w:eastAsia="zh-CN"/>
        </w:rPr>
        <w:t>八</w:t>
      </w:r>
      <w:r>
        <w:rPr>
          <w:rFonts w:hint="eastAsia"/>
          <w:lang w:eastAsia="zh-CN"/>
        </w:rPr>
        <w:t>）</w:t>
      </w:r>
      <w:r>
        <w:rPr>
          <w:rFonts w:hint="eastAsia"/>
        </w:rPr>
        <w:t>生产工人岗位质量责任制</w:t>
      </w:r>
      <w:r>
        <w:tab/>
      </w:r>
      <w:r>
        <w:fldChar w:fldCharType="begin"/>
      </w:r>
      <w:r>
        <w:instrText xml:space="preserve"> PAGEREF _Toc23524 \h </w:instrText>
      </w:r>
      <w:r>
        <w:fldChar w:fldCharType="separate"/>
      </w:r>
      <w:r>
        <w:t>326</w:t>
      </w:r>
      <w:r>
        <w:fldChar w:fldCharType="end"/>
      </w:r>
      <w:r>
        <w:fldChar w:fldCharType="end"/>
      </w:r>
    </w:p>
    <w:p>
      <w:pPr>
        <w:pStyle w:val="28"/>
        <w:tabs>
          <w:tab w:val="right" w:leader="dot" w:pos="8306"/>
        </w:tabs>
      </w:pPr>
      <w:r>
        <w:fldChar w:fldCharType="begin"/>
      </w:r>
      <w:r>
        <w:instrText xml:space="preserve"> HYPERLINK \l _Toc27183 </w:instrText>
      </w:r>
      <w:r>
        <w:fldChar w:fldCharType="separate"/>
      </w:r>
      <w:r>
        <w:rPr>
          <w:rFonts w:hint="eastAsia"/>
          <w:lang w:val="en-US" w:eastAsia="zh-CN"/>
        </w:rPr>
        <w:t xml:space="preserve">第五节  </w:t>
      </w:r>
      <w:r>
        <w:t>对问题产品有具体的应急解决方案</w:t>
      </w:r>
      <w:r>
        <w:tab/>
      </w:r>
      <w:r>
        <w:fldChar w:fldCharType="begin"/>
      </w:r>
      <w:r>
        <w:instrText xml:space="preserve"> PAGEREF _Toc27183 \h </w:instrText>
      </w:r>
      <w:r>
        <w:fldChar w:fldCharType="separate"/>
      </w:r>
      <w:r>
        <w:t>328</w:t>
      </w:r>
      <w:r>
        <w:fldChar w:fldCharType="end"/>
      </w:r>
      <w:r>
        <w:fldChar w:fldCharType="end"/>
      </w:r>
    </w:p>
    <w:p>
      <w:pPr>
        <w:pStyle w:val="20"/>
        <w:tabs>
          <w:tab w:val="right" w:leader="dot" w:pos="8306"/>
        </w:tabs>
      </w:pPr>
      <w:r>
        <w:fldChar w:fldCharType="begin"/>
      </w:r>
      <w:r>
        <w:instrText xml:space="preserve"> HYPERLINK \l _Toc2087 </w:instrText>
      </w:r>
      <w:r>
        <w:fldChar w:fldCharType="separate"/>
      </w:r>
      <w:r>
        <w:rPr>
          <w:rFonts w:hint="eastAsia"/>
          <w:lang w:val="en-US" w:eastAsia="zh-CN"/>
        </w:rPr>
        <w:t>一、</w:t>
      </w:r>
      <w:r>
        <w:rPr>
          <w:rFonts w:hint="eastAsia"/>
        </w:rPr>
        <w:t>产品问题的处理</w:t>
      </w:r>
      <w:r>
        <w:tab/>
      </w:r>
      <w:r>
        <w:fldChar w:fldCharType="begin"/>
      </w:r>
      <w:r>
        <w:instrText xml:space="preserve"> PAGEREF _Toc2087 \h </w:instrText>
      </w:r>
      <w:r>
        <w:fldChar w:fldCharType="separate"/>
      </w:r>
      <w:r>
        <w:t>328</w:t>
      </w:r>
      <w:r>
        <w:fldChar w:fldCharType="end"/>
      </w:r>
      <w:r>
        <w:fldChar w:fldCharType="end"/>
      </w:r>
    </w:p>
    <w:p>
      <w:pPr>
        <w:pStyle w:val="20"/>
        <w:tabs>
          <w:tab w:val="right" w:leader="dot" w:pos="8306"/>
        </w:tabs>
      </w:pPr>
      <w:r>
        <w:fldChar w:fldCharType="begin"/>
      </w:r>
      <w:r>
        <w:instrText xml:space="preserve"> HYPERLINK \l _Toc14567 </w:instrText>
      </w:r>
      <w:r>
        <w:fldChar w:fldCharType="separate"/>
      </w:r>
      <w:r>
        <w:rPr>
          <w:rFonts w:hint="eastAsia"/>
          <w:lang w:val="en-US" w:eastAsia="zh-CN"/>
        </w:rPr>
        <w:t>二、</w:t>
      </w:r>
      <w:r>
        <w:rPr>
          <w:rFonts w:hint="eastAsia"/>
        </w:rPr>
        <w:t>产品问题的应急预案</w:t>
      </w:r>
      <w:r>
        <w:tab/>
      </w:r>
      <w:r>
        <w:fldChar w:fldCharType="begin"/>
      </w:r>
      <w:r>
        <w:instrText xml:space="preserve"> PAGEREF _Toc14567 \h </w:instrText>
      </w:r>
      <w:r>
        <w:fldChar w:fldCharType="separate"/>
      </w:r>
      <w:r>
        <w:t>328</w:t>
      </w:r>
      <w:r>
        <w:fldChar w:fldCharType="end"/>
      </w:r>
      <w:r>
        <w:fldChar w:fldCharType="end"/>
      </w:r>
    </w:p>
    <w:p>
      <w:pPr>
        <w:pStyle w:val="26"/>
        <w:tabs>
          <w:tab w:val="right" w:leader="dot" w:pos="8306"/>
        </w:tabs>
      </w:pPr>
      <w:r>
        <w:fldChar w:fldCharType="begin"/>
      </w:r>
      <w:r>
        <w:instrText xml:space="preserve"> HYPERLINK \l _Toc5916 </w:instrText>
      </w:r>
      <w:r>
        <w:fldChar w:fldCharType="separate"/>
      </w:r>
      <w:r>
        <w:rPr>
          <w:rFonts w:hint="eastAsia"/>
        </w:rPr>
        <w:t>（</w:t>
      </w:r>
      <w:r>
        <w:rPr>
          <w:rFonts w:hint="eastAsia"/>
          <w:lang w:val="en-US" w:eastAsia="zh-CN"/>
        </w:rPr>
        <w:t>一</w:t>
      </w:r>
      <w:r>
        <w:rPr>
          <w:rFonts w:hint="eastAsia"/>
        </w:rPr>
        <w:t>）对生产的有机肥库存的管控</w:t>
      </w:r>
      <w:r>
        <w:tab/>
      </w:r>
      <w:r>
        <w:fldChar w:fldCharType="begin"/>
      </w:r>
      <w:r>
        <w:instrText xml:space="preserve"> PAGEREF _Toc5916 \h </w:instrText>
      </w:r>
      <w:r>
        <w:fldChar w:fldCharType="separate"/>
      </w:r>
      <w:r>
        <w:t>328</w:t>
      </w:r>
      <w:r>
        <w:fldChar w:fldCharType="end"/>
      </w:r>
      <w:r>
        <w:fldChar w:fldCharType="end"/>
      </w:r>
    </w:p>
    <w:p>
      <w:pPr>
        <w:pStyle w:val="26"/>
        <w:tabs>
          <w:tab w:val="right" w:leader="dot" w:pos="8306"/>
        </w:tabs>
      </w:pPr>
      <w:r>
        <w:fldChar w:fldCharType="begin"/>
      </w:r>
      <w:r>
        <w:instrText xml:space="preserve"> HYPERLINK \l _Toc14802 </w:instrText>
      </w:r>
      <w:r>
        <w:fldChar w:fldCharType="separate"/>
      </w:r>
      <w:r>
        <w:rPr>
          <w:rFonts w:hint="eastAsia"/>
        </w:rPr>
        <w:t>（</w:t>
      </w:r>
      <w:r>
        <w:rPr>
          <w:rFonts w:hint="eastAsia"/>
          <w:lang w:val="en-US" w:eastAsia="zh-CN"/>
        </w:rPr>
        <w:t>二</w:t>
      </w:r>
      <w:r>
        <w:rPr>
          <w:rFonts w:hint="eastAsia"/>
        </w:rPr>
        <w:t>）对物流出货的管控</w:t>
      </w:r>
      <w:r>
        <w:tab/>
      </w:r>
      <w:r>
        <w:fldChar w:fldCharType="begin"/>
      </w:r>
      <w:r>
        <w:instrText xml:space="preserve"> PAGEREF _Toc14802 \h </w:instrText>
      </w:r>
      <w:r>
        <w:fldChar w:fldCharType="separate"/>
      </w:r>
      <w:r>
        <w:t>329</w:t>
      </w:r>
      <w:r>
        <w:fldChar w:fldCharType="end"/>
      </w:r>
      <w:r>
        <w:fldChar w:fldCharType="end"/>
      </w:r>
    </w:p>
    <w:p>
      <w:pPr>
        <w:pStyle w:val="26"/>
        <w:tabs>
          <w:tab w:val="right" w:leader="dot" w:pos="8306"/>
        </w:tabs>
      </w:pPr>
      <w:r>
        <w:fldChar w:fldCharType="begin"/>
      </w:r>
      <w:r>
        <w:instrText xml:space="preserve"> HYPERLINK \l _Toc11681 </w:instrText>
      </w:r>
      <w:r>
        <w:fldChar w:fldCharType="separate"/>
      </w:r>
      <w:r>
        <w:rPr>
          <w:rFonts w:hint="eastAsia"/>
        </w:rPr>
        <w:t>（</w:t>
      </w:r>
      <w:r>
        <w:rPr>
          <w:rFonts w:hint="eastAsia"/>
          <w:lang w:val="en-US" w:eastAsia="zh-CN"/>
        </w:rPr>
        <w:t>三</w:t>
      </w:r>
      <w:r>
        <w:rPr>
          <w:rFonts w:hint="eastAsia"/>
        </w:rPr>
        <w:t>）事后管理</w:t>
      </w:r>
      <w:r>
        <w:tab/>
      </w:r>
      <w:r>
        <w:fldChar w:fldCharType="begin"/>
      </w:r>
      <w:r>
        <w:instrText xml:space="preserve"> PAGEREF _Toc11681 \h </w:instrText>
      </w:r>
      <w:r>
        <w:fldChar w:fldCharType="separate"/>
      </w:r>
      <w:r>
        <w:t>329</w:t>
      </w:r>
      <w:r>
        <w:fldChar w:fldCharType="end"/>
      </w:r>
      <w:r>
        <w:fldChar w:fldCharType="end"/>
      </w:r>
    </w:p>
    <w:p>
      <w:pPr>
        <w:pStyle w:val="26"/>
        <w:tabs>
          <w:tab w:val="right" w:leader="dot" w:pos="8306"/>
        </w:tabs>
      </w:pPr>
      <w:r>
        <w:fldChar w:fldCharType="begin"/>
      </w:r>
      <w:r>
        <w:instrText xml:space="preserve"> HYPERLINK \l _Toc17035 </w:instrText>
      </w:r>
      <w:r>
        <w:fldChar w:fldCharType="separate"/>
      </w:r>
      <w:r>
        <w:rPr>
          <w:rFonts w:hint="eastAsia"/>
        </w:rPr>
        <w:t>（</w:t>
      </w:r>
      <w:r>
        <w:rPr>
          <w:rFonts w:hint="eastAsia"/>
          <w:lang w:val="en-US" w:eastAsia="zh-CN"/>
        </w:rPr>
        <w:t>四</w:t>
      </w:r>
      <w:r>
        <w:rPr>
          <w:rFonts w:hint="eastAsia"/>
        </w:rPr>
        <w:t>）建立预警系统</w:t>
      </w:r>
      <w:r>
        <w:tab/>
      </w:r>
      <w:r>
        <w:fldChar w:fldCharType="begin"/>
      </w:r>
      <w:r>
        <w:instrText xml:space="preserve"> PAGEREF _Toc17035 \h </w:instrText>
      </w:r>
      <w:r>
        <w:fldChar w:fldCharType="separate"/>
      </w:r>
      <w:r>
        <w:t>329</w:t>
      </w:r>
      <w:r>
        <w:fldChar w:fldCharType="end"/>
      </w:r>
      <w:r>
        <w:fldChar w:fldCharType="end"/>
      </w:r>
    </w:p>
    <w:p>
      <w:pPr>
        <w:pStyle w:val="26"/>
        <w:tabs>
          <w:tab w:val="right" w:leader="dot" w:pos="8306"/>
        </w:tabs>
      </w:pPr>
      <w:r>
        <w:fldChar w:fldCharType="begin"/>
      </w:r>
      <w:r>
        <w:instrText xml:space="preserve"> HYPERLINK \l _Toc26170 </w:instrText>
      </w:r>
      <w:r>
        <w:fldChar w:fldCharType="separate"/>
      </w:r>
      <w:r>
        <w:rPr>
          <w:rFonts w:hint="eastAsia"/>
        </w:rPr>
        <w:t>（</w:t>
      </w:r>
      <w:r>
        <w:rPr>
          <w:rFonts w:hint="eastAsia"/>
          <w:lang w:val="en-US" w:eastAsia="zh-CN"/>
        </w:rPr>
        <w:t>五</w:t>
      </w:r>
      <w:r>
        <w:rPr>
          <w:rFonts w:hint="eastAsia"/>
        </w:rPr>
        <w:t>）一般质量事件的应急响应</w:t>
      </w:r>
      <w:r>
        <w:tab/>
      </w:r>
      <w:r>
        <w:fldChar w:fldCharType="begin"/>
      </w:r>
      <w:r>
        <w:instrText xml:space="preserve"> PAGEREF _Toc26170 \h </w:instrText>
      </w:r>
      <w:r>
        <w:fldChar w:fldCharType="separate"/>
      </w:r>
      <w:r>
        <w:t>329</w:t>
      </w:r>
      <w:r>
        <w:fldChar w:fldCharType="end"/>
      </w:r>
      <w:r>
        <w:fldChar w:fldCharType="end"/>
      </w:r>
    </w:p>
    <w:p>
      <w:pPr>
        <w:pStyle w:val="26"/>
        <w:tabs>
          <w:tab w:val="right" w:leader="dot" w:pos="8306"/>
        </w:tabs>
      </w:pPr>
      <w:r>
        <w:fldChar w:fldCharType="begin"/>
      </w:r>
      <w:r>
        <w:instrText xml:space="preserve"> HYPERLINK \l _Toc31126 </w:instrText>
      </w:r>
      <w:r>
        <w:fldChar w:fldCharType="separate"/>
      </w:r>
      <w:r>
        <w:rPr>
          <w:rFonts w:hint="eastAsia"/>
        </w:rPr>
        <w:t>（</w:t>
      </w:r>
      <w:r>
        <w:rPr>
          <w:rFonts w:hint="eastAsia"/>
          <w:lang w:val="en-US" w:eastAsia="zh-CN"/>
        </w:rPr>
        <w:t>六</w:t>
      </w:r>
      <w:r>
        <w:rPr>
          <w:rFonts w:hint="eastAsia"/>
        </w:rPr>
        <w:t>）较大质量事件的应急响应</w:t>
      </w:r>
      <w:r>
        <w:tab/>
      </w:r>
      <w:r>
        <w:fldChar w:fldCharType="begin"/>
      </w:r>
      <w:r>
        <w:instrText xml:space="preserve"> PAGEREF _Toc31126 \h </w:instrText>
      </w:r>
      <w:r>
        <w:fldChar w:fldCharType="separate"/>
      </w:r>
      <w:r>
        <w:t>330</w:t>
      </w:r>
      <w:r>
        <w:fldChar w:fldCharType="end"/>
      </w:r>
      <w:r>
        <w:fldChar w:fldCharType="end"/>
      </w:r>
    </w:p>
    <w:p>
      <w:pPr>
        <w:pStyle w:val="26"/>
        <w:tabs>
          <w:tab w:val="right" w:leader="dot" w:pos="8306"/>
        </w:tabs>
      </w:pPr>
      <w:r>
        <w:fldChar w:fldCharType="begin"/>
      </w:r>
      <w:r>
        <w:instrText xml:space="preserve"> HYPERLINK \l _Toc4923 </w:instrText>
      </w:r>
      <w:r>
        <w:fldChar w:fldCharType="separate"/>
      </w:r>
      <w:r>
        <w:rPr>
          <w:rFonts w:hint="eastAsia"/>
        </w:rPr>
        <w:t>（</w:t>
      </w:r>
      <w:r>
        <w:rPr>
          <w:rFonts w:hint="eastAsia"/>
          <w:lang w:val="en-US" w:eastAsia="zh-CN"/>
        </w:rPr>
        <w:t>七</w:t>
      </w:r>
      <w:r>
        <w:rPr>
          <w:rFonts w:hint="eastAsia"/>
        </w:rPr>
        <w:t>）潜在质量事件的应急响应</w:t>
      </w:r>
      <w:r>
        <w:tab/>
      </w:r>
      <w:r>
        <w:fldChar w:fldCharType="begin"/>
      </w:r>
      <w:r>
        <w:instrText xml:space="preserve"> PAGEREF _Toc4923 \h </w:instrText>
      </w:r>
      <w:r>
        <w:fldChar w:fldCharType="separate"/>
      </w:r>
      <w:r>
        <w:t>330</w:t>
      </w:r>
      <w:r>
        <w:fldChar w:fldCharType="end"/>
      </w:r>
      <w:r>
        <w:fldChar w:fldCharType="end"/>
      </w:r>
    </w:p>
    <w:p>
      <w:pPr>
        <w:pStyle w:val="26"/>
        <w:tabs>
          <w:tab w:val="right" w:leader="dot" w:pos="8306"/>
        </w:tabs>
      </w:pPr>
      <w:r>
        <w:fldChar w:fldCharType="begin"/>
      </w:r>
      <w:r>
        <w:instrText xml:space="preserve"> HYPERLINK \l _Toc7755 </w:instrText>
      </w:r>
      <w:r>
        <w:fldChar w:fldCharType="separate"/>
      </w:r>
      <w:r>
        <w:rPr>
          <w:rFonts w:hint="eastAsia"/>
        </w:rPr>
        <w:t>（</w:t>
      </w:r>
      <w:r>
        <w:rPr>
          <w:rFonts w:hint="eastAsia"/>
          <w:lang w:val="en-US" w:eastAsia="zh-CN"/>
        </w:rPr>
        <w:t>八</w:t>
      </w:r>
      <w:r>
        <w:rPr>
          <w:rFonts w:hint="eastAsia"/>
        </w:rPr>
        <w:t>）紧急处置</w:t>
      </w:r>
      <w:r>
        <w:tab/>
      </w:r>
      <w:r>
        <w:fldChar w:fldCharType="begin"/>
      </w:r>
      <w:r>
        <w:instrText xml:space="preserve"> PAGEREF _Toc7755 \h </w:instrText>
      </w:r>
      <w:r>
        <w:fldChar w:fldCharType="separate"/>
      </w:r>
      <w:r>
        <w:t>330</w:t>
      </w:r>
      <w:r>
        <w:fldChar w:fldCharType="end"/>
      </w:r>
      <w:r>
        <w:fldChar w:fldCharType="end"/>
      </w:r>
    </w:p>
    <w:p>
      <w:pPr>
        <w:pStyle w:val="20"/>
        <w:tabs>
          <w:tab w:val="right" w:leader="dot" w:pos="8306"/>
        </w:tabs>
      </w:pPr>
      <w:r>
        <w:fldChar w:fldCharType="begin"/>
      </w:r>
      <w:r>
        <w:instrText xml:space="preserve"> HYPERLINK \l _Toc15246 </w:instrText>
      </w:r>
      <w:r>
        <w:fldChar w:fldCharType="separate"/>
      </w:r>
      <w:r>
        <w:rPr>
          <w:rFonts w:hint="eastAsia"/>
          <w:lang w:val="en-US" w:eastAsia="zh-CN"/>
        </w:rPr>
        <w:t>三、</w:t>
      </w:r>
      <w:r>
        <w:rPr>
          <w:rFonts w:hint="eastAsia"/>
        </w:rPr>
        <w:t>产品安全事故救助体系和运行机制</w:t>
      </w:r>
      <w:r>
        <w:tab/>
      </w:r>
      <w:r>
        <w:fldChar w:fldCharType="begin"/>
      </w:r>
      <w:r>
        <w:instrText xml:space="preserve"> PAGEREF _Toc15246 \h </w:instrText>
      </w:r>
      <w:r>
        <w:fldChar w:fldCharType="separate"/>
      </w:r>
      <w:r>
        <w:t>331</w:t>
      </w:r>
      <w:r>
        <w:fldChar w:fldCharType="end"/>
      </w:r>
      <w:r>
        <w:fldChar w:fldCharType="end"/>
      </w:r>
    </w:p>
    <w:p>
      <w:pPr>
        <w:pStyle w:val="26"/>
        <w:tabs>
          <w:tab w:val="right" w:leader="dot" w:pos="8306"/>
        </w:tabs>
      </w:pPr>
      <w:r>
        <w:fldChar w:fldCharType="begin"/>
      </w:r>
      <w:r>
        <w:instrText xml:space="preserve"> HYPERLINK \l _Toc5404 </w:instrText>
      </w:r>
      <w:r>
        <w:fldChar w:fldCharType="separate"/>
      </w:r>
      <w:r>
        <w:rPr>
          <w:rFonts w:hint="eastAsia"/>
          <w:lang w:eastAsia="zh-CN"/>
        </w:rPr>
        <w:t>（</w:t>
      </w:r>
      <w:r>
        <w:rPr>
          <w:rFonts w:hint="eastAsia"/>
          <w:lang w:val="en-US" w:eastAsia="zh-CN"/>
        </w:rPr>
        <w:t>一</w:t>
      </w:r>
      <w:r>
        <w:rPr>
          <w:rFonts w:hint="eastAsia"/>
          <w:lang w:eastAsia="zh-CN"/>
        </w:rPr>
        <w:t>）</w:t>
      </w:r>
      <w:r>
        <w:rPr>
          <w:rFonts w:hint="eastAsia"/>
        </w:rPr>
        <w:t>目的</w:t>
      </w:r>
      <w:r>
        <w:tab/>
      </w:r>
      <w:r>
        <w:fldChar w:fldCharType="begin"/>
      </w:r>
      <w:r>
        <w:instrText xml:space="preserve"> PAGEREF _Toc5404 \h </w:instrText>
      </w:r>
      <w:r>
        <w:fldChar w:fldCharType="separate"/>
      </w:r>
      <w:r>
        <w:t>331</w:t>
      </w:r>
      <w:r>
        <w:fldChar w:fldCharType="end"/>
      </w:r>
      <w:r>
        <w:fldChar w:fldCharType="end"/>
      </w:r>
    </w:p>
    <w:p>
      <w:pPr>
        <w:pStyle w:val="26"/>
        <w:tabs>
          <w:tab w:val="right" w:leader="dot" w:pos="8306"/>
        </w:tabs>
      </w:pPr>
      <w:r>
        <w:fldChar w:fldCharType="begin"/>
      </w:r>
      <w:r>
        <w:instrText xml:space="preserve"> HYPERLINK \l _Toc28256 </w:instrText>
      </w:r>
      <w:r>
        <w:fldChar w:fldCharType="separate"/>
      </w:r>
      <w:r>
        <w:rPr>
          <w:rFonts w:hint="eastAsia"/>
          <w:lang w:eastAsia="zh-CN"/>
        </w:rPr>
        <w:t>（</w:t>
      </w:r>
      <w:r>
        <w:rPr>
          <w:rFonts w:hint="eastAsia"/>
          <w:lang w:val="en-US" w:eastAsia="zh-CN"/>
        </w:rPr>
        <w:t>二</w:t>
      </w:r>
      <w:r>
        <w:rPr>
          <w:rFonts w:hint="eastAsia"/>
          <w:lang w:eastAsia="zh-CN"/>
        </w:rPr>
        <w:t>）</w:t>
      </w:r>
      <w:r>
        <w:rPr>
          <w:rFonts w:hint="eastAsia"/>
        </w:rPr>
        <w:t>适用范围</w:t>
      </w:r>
      <w:r>
        <w:tab/>
      </w:r>
      <w:r>
        <w:fldChar w:fldCharType="begin"/>
      </w:r>
      <w:r>
        <w:instrText xml:space="preserve"> PAGEREF _Toc28256 \h </w:instrText>
      </w:r>
      <w:r>
        <w:fldChar w:fldCharType="separate"/>
      </w:r>
      <w:r>
        <w:t>331</w:t>
      </w:r>
      <w:r>
        <w:fldChar w:fldCharType="end"/>
      </w:r>
      <w:r>
        <w:fldChar w:fldCharType="end"/>
      </w:r>
    </w:p>
    <w:p>
      <w:pPr>
        <w:pStyle w:val="26"/>
        <w:tabs>
          <w:tab w:val="right" w:leader="dot" w:pos="8306"/>
        </w:tabs>
      </w:pPr>
      <w:r>
        <w:fldChar w:fldCharType="begin"/>
      </w:r>
      <w:r>
        <w:instrText xml:space="preserve"> HYPERLINK \l _Toc759 </w:instrText>
      </w:r>
      <w:r>
        <w:fldChar w:fldCharType="separate"/>
      </w:r>
      <w:r>
        <w:rPr>
          <w:rFonts w:hint="eastAsia"/>
          <w:lang w:eastAsia="zh-CN"/>
        </w:rPr>
        <w:t>（</w:t>
      </w:r>
      <w:r>
        <w:rPr>
          <w:rFonts w:hint="eastAsia"/>
          <w:lang w:val="en-US" w:eastAsia="zh-CN"/>
        </w:rPr>
        <w:t>三</w:t>
      </w:r>
      <w:r>
        <w:rPr>
          <w:rFonts w:hint="eastAsia"/>
          <w:lang w:eastAsia="zh-CN"/>
        </w:rPr>
        <w:t>）</w:t>
      </w:r>
      <w:r>
        <w:rPr>
          <w:rFonts w:hint="eastAsia"/>
        </w:rPr>
        <w:t>职责</w:t>
      </w:r>
      <w:r>
        <w:tab/>
      </w:r>
      <w:r>
        <w:fldChar w:fldCharType="begin"/>
      </w:r>
      <w:r>
        <w:instrText xml:space="preserve"> PAGEREF _Toc759 \h </w:instrText>
      </w:r>
      <w:r>
        <w:fldChar w:fldCharType="separate"/>
      </w:r>
      <w:r>
        <w:t>331</w:t>
      </w:r>
      <w:r>
        <w:fldChar w:fldCharType="end"/>
      </w:r>
      <w:r>
        <w:fldChar w:fldCharType="end"/>
      </w:r>
    </w:p>
    <w:p>
      <w:pPr>
        <w:pStyle w:val="25"/>
        <w:tabs>
          <w:tab w:val="right" w:leader="dot" w:pos="8306"/>
        </w:tabs>
      </w:pPr>
      <w:r>
        <w:fldChar w:fldCharType="begin"/>
      </w:r>
      <w:r>
        <w:instrText xml:space="preserve"> HYPERLINK \l _Toc11639 </w:instrText>
      </w:r>
      <w:r>
        <w:fldChar w:fldCharType="separate"/>
      </w:r>
      <w:r>
        <w:rPr>
          <w:rFonts w:hint="eastAsia"/>
          <w:lang w:val="en-US" w:eastAsia="zh-CN"/>
        </w:rPr>
        <w:t xml:space="preserve">第三章  </w:t>
      </w:r>
      <w:r>
        <w:rPr>
          <w:rFonts w:hint="eastAsia"/>
        </w:rPr>
        <w:t>售后服务承诺及保证措施</w:t>
      </w:r>
      <w:r>
        <w:tab/>
      </w:r>
      <w:r>
        <w:fldChar w:fldCharType="begin"/>
      </w:r>
      <w:r>
        <w:instrText xml:space="preserve"> PAGEREF _Toc11639 \h </w:instrText>
      </w:r>
      <w:r>
        <w:fldChar w:fldCharType="separate"/>
      </w:r>
      <w:r>
        <w:t>341</w:t>
      </w:r>
      <w:r>
        <w:fldChar w:fldCharType="end"/>
      </w:r>
      <w:r>
        <w:fldChar w:fldCharType="end"/>
      </w:r>
    </w:p>
    <w:p>
      <w:pPr>
        <w:pStyle w:val="28"/>
        <w:tabs>
          <w:tab w:val="right" w:leader="dot" w:pos="8306"/>
        </w:tabs>
      </w:pPr>
      <w:r>
        <w:fldChar w:fldCharType="begin"/>
      </w:r>
      <w:r>
        <w:instrText xml:space="preserve"> HYPERLINK \l _Toc22744 </w:instrText>
      </w:r>
      <w:r>
        <w:fldChar w:fldCharType="separate"/>
      </w:r>
      <w:r>
        <w:rPr>
          <w:rFonts w:hint="eastAsia"/>
          <w:lang w:val="en-US" w:eastAsia="zh-CN"/>
        </w:rPr>
        <w:t xml:space="preserve">第一节  </w:t>
      </w:r>
      <w:r>
        <w:t>售后服务承诺</w:t>
      </w:r>
      <w:r>
        <w:tab/>
      </w:r>
      <w:r>
        <w:fldChar w:fldCharType="begin"/>
      </w:r>
      <w:r>
        <w:instrText xml:space="preserve"> PAGEREF _Toc22744 \h </w:instrText>
      </w:r>
      <w:r>
        <w:fldChar w:fldCharType="separate"/>
      </w:r>
      <w:r>
        <w:t>341</w:t>
      </w:r>
      <w:r>
        <w:fldChar w:fldCharType="end"/>
      </w:r>
      <w:r>
        <w:fldChar w:fldCharType="end"/>
      </w:r>
    </w:p>
    <w:p>
      <w:pPr>
        <w:pStyle w:val="28"/>
        <w:tabs>
          <w:tab w:val="right" w:leader="dot" w:pos="8306"/>
        </w:tabs>
      </w:pPr>
      <w:r>
        <w:fldChar w:fldCharType="begin"/>
      </w:r>
      <w:r>
        <w:instrText xml:space="preserve"> HYPERLINK \l _Toc27396 </w:instrText>
      </w:r>
      <w:r>
        <w:fldChar w:fldCharType="separate"/>
      </w:r>
      <w:r>
        <w:rPr>
          <w:rFonts w:hint="eastAsia"/>
          <w:lang w:val="en-US" w:eastAsia="zh-CN"/>
        </w:rPr>
        <w:t xml:space="preserve">第二节  </w:t>
      </w:r>
      <w:r>
        <w:t>售后服务</w:t>
      </w:r>
      <w:r>
        <w:rPr>
          <w:rFonts w:hint="eastAsia"/>
        </w:rPr>
        <w:t>保证措施</w:t>
      </w:r>
      <w:r>
        <w:tab/>
      </w:r>
      <w:r>
        <w:fldChar w:fldCharType="begin"/>
      </w:r>
      <w:r>
        <w:instrText xml:space="preserve"> PAGEREF _Toc27396 \h </w:instrText>
      </w:r>
      <w:r>
        <w:fldChar w:fldCharType="separate"/>
      </w:r>
      <w:r>
        <w:t>346</w:t>
      </w:r>
      <w:r>
        <w:fldChar w:fldCharType="end"/>
      </w:r>
      <w:r>
        <w:fldChar w:fldCharType="end"/>
      </w:r>
    </w:p>
    <w:p>
      <w:pPr>
        <w:pStyle w:val="20"/>
        <w:tabs>
          <w:tab w:val="right" w:leader="dot" w:pos="8306"/>
        </w:tabs>
      </w:pPr>
      <w:r>
        <w:fldChar w:fldCharType="begin"/>
      </w:r>
      <w:r>
        <w:instrText xml:space="preserve"> HYPERLINK \l _Toc30916 </w:instrText>
      </w:r>
      <w:r>
        <w:fldChar w:fldCharType="separate"/>
      </w:r>
      <w:r>
        <w:rPr>
          <w:rFonts w:hint="eastAsia"/>
          <w:lang w:val="en-US" w:eastAsia="zh-CN"/>
        </w:rPr>
        <w:t>一、</w:t>
      </w:r>
      <w:r>
        <w:rPr>
          <w:rFonts w:hint="eastAsia"/>
        </w:rPr>
        <w:t>售后服务宗旨</w:t>
      </w:r>
      <w:r>
        <w:tab/>
      </w:r>
      <w:r>
        <w:fldChar w:fldCharType="begin"/>
      </w:r>
      <w:r>
        <w:instrText xml:space="preserve"> PAGEREF _Toc30916 \h </w:instrText>
      </w:r>
      <w:r>
        <w:fldChar w:fldCharType="separate"/>
      </w:r>
      <w:r>
        <w:t>346</w:t>
      </w:r>
      <w:r>
        <w:fldChar w:fldCharType="end"/>
      </w:r>
      <w:r>
        <w:fldChar w:fldCharType="end"/>
      </w:r>
    </w:p>
    <w:p>
      <w:pPr>
        <w:pStyle w:val="20"/>
        <w:tabs>
          <w:tab w:val="right" w:leader="dot" w:pos="8306"/>
        </w:tabs>
      </w:pPr>
      <w:r>
        <w:fldChar w:fldCharType="begin"/>
      </w:r>
      <w:r>
        <w:instrText xml:space="preserve"> HYPERLINK \l _Toc16168 </w:instrText>
      </w:r>
      <w:r>
        <w:fldChar w:fldCharType="separate"/>
      </w:r>
      <w:r>
        <w:rPr>
          <w:rFonts w:hint="eastAsia"/>
          <w:lang w:val="en-US" w:eastAsia="zh-CN"/>
        </w:rPr>
        <w:t>二</w:t>
      </w:r>
      <w:r>
        <w:rPr>
          <w:rFonts w:hint="default"/>
          <w:lang w:val="en-US" w:eastAsia="zh-CN"/>
        </w:rPr>
        <w:t>、</w:t>
      </w:r>
      <w:r>
        <w:rPr>
          <w:rFonts w:hint="eastAsia"/>
        </w:rPr>
        <w:t>售后服务体系</w:t>
      </w:r>
      <w:r>
        <w:tab/>
      </w:r>
      <w:r>
        <w:fldChar w:fldCharType="begin"/>
      </w:r>
      <w:r>
        <w:instrText xml:space="preserve"> PAGEREF _Toc16168 \h </w:instrText>
      </w:r>
      <w:r>
        <w:fldChar w:fldCharType="separate"/>
      </w:r>
      <w:r>
        <w:t>348</w:t>
      </w:r>
      <w:r>
        <w:fldChar w:fldCharType="end"/>
      </w:r>
      <w:r>
        <w:fldChar w:fldCharType="end"/>
      </w:r>
    </w:p>
    <w:p>
      <w:pPr>
        <w:pStyle w:val="26"/>
        <w:tabs>
          <w:tab w:val="right" w:leader="dot" w:pos="8306"/>
        </w:tabs>
      </w:pPr>
      <w:r>
        <w:fldChar w:fldCharType="begin"/>
      </w:r>
      <w:r>
        <w:instrText xml:space="preserve"> HYPERLINK \l _Toc10180 </w:instrText>
      </w:r>
      <w:r>
        <w:fldChar w:fldCharType="separate"/>
      </w:r>
      <w:r>
        <w:rPr>
          <w:rFonts w:hint="eastAsia"/>
          <w:lang w:eastAsia="zh-CN"/>
        </w:rPr>
        <w:t>（</w:t>
      </w:r>
      <w:r>
        <w:rPr>
          <w:rFonts w:hint="eastAsia"/>
          <w:lang w:val="en-US" w:eastAsia="zh-CN"/>
        </w:rPr>
        <w:t>一</w:t>
      </w:r>
      <w:r>
        <w:rPr>
          <w:rFonts w:hint="eastAsia"/>
          <w:lang w:eastAsia="zh-CN"/>
        </w:rPr>
        <w:t>）</w:t>
      </w:r>
      <w:r>
        <w:rPr>
          <w:rFonts w:hint="eastAsia"/>
        </w:rPr>
        <w:t>健全的售后管控制度</w:t>
      </w:r>
      <w:r>
        <w:tab/>
      </w:r>
      <w:r>
        <w:fldChar w:fldCharType="begin"/>
      </w:r>
      <w:r>
        <w:instrText xml:space="preserve"> PAGEREF _Toc10180 \h </w:instrText>
      </w:r>
      <w:r>
        <w:fldChar w:fldCharType="separate"/>
      </w:r>
      <w:r>
        <w:t>348</w:t>
      </w:r>
      <w:r>
        <w:fldChar w:fldCharType="end"/>
      </w:r>
      <w:r>
        <w:fldChar w:fldCharType="end"/>
      </w:r>
    </w:p>
    <w:p>
      <w:pPr>
        <w:pStyle w:val="26"/>
        <w:tabs>
          <w:tab w:val="right" w:leader="dot" w:pos="8306"/>
        </w:tabs>
      </w:pPr>
      <w:r>
        <w:fldChar w:fldCharType="begin"/>
      </w:r>
      <w:r>
        <w:instrText xml:space="preserve"> HYPERLINK \l _Toc23176 </w:instrText>
      </w:r>
      <w:r>
        <w:fldChar w:fldCharType="separate"/>
      </w:r>
      <w:r>
        <w:rPr>
          <w:rFonts w:hint="eastAsia"/>
          <w:lang w:eastAsia="zh-CN"/>
        </w:rPr>
        <w:t>（</w:t>
      </w:r>
      <w:r>
        <w:rPr>
          <w:rFonts w:hint="eastAsia"/>
          <w:lang w:val="en-US" w:eastAsia="zh-CN"/>
        </w:rPr>
        <w:t>二</w:t>
      </w:r>
      <w:r>
        <w:rPr>
          <w:rFonts w:hint="eastAsia"/>
          <w:lang w:eastAsia="zh-CN"/>
        </w:rPr>
        <w:t>）</w:t>
      </w:r>
      <w:r>
        <w:rPr>
          <w:rFonts w:hint="eastAsia"/>
        </w:rPr>
        <w:t>完善的退换货流程</w:t>
      </w:r>
      <w:r>
        <w:tab/>
      </w:r>
      <w:r>
        <w:fldChar w:fldCharType="begin"/>
      </w:r>
      <w:r>
        <w:instrText xml:space="preserve"> PAGEREF _Toc23176 \h </w:instrText>
      </w:r>
      <w:r>
        <w:fldChar w:fldCharType="separate"/>
      </w:r>
      <w:r>
        <w:t>351</w:t>
      </w:r>
      <w:r>
        <w:fldChar w:fldCharType="end"/>
      </w:r>
      <w:r>
        <w:fldChar w:fldCharType="end"/>
      </w:r>
    </w:p>
    <w:p>
      <w:pPr>
        <w:pStyle w:val="20"/>
        <w:tabs>
          <w:tab w:val="right" w:leader="dot" w:pos="8306"/>
        </w:tabs>
      </w:pPr>
      <w:r>
        <w:fldChar w:fldCharType="begin"/>
      </w:r>
      <w:r>
        <w:instrText xml:space="preserve"> HYPERLINK \l _Toc23711 </w:instrText>
      </w:r>
      <w:r>
        <w:fldChar w:fldCharType="separate"/>
      </w:r>
      <w:r>
        <w:rPr>
          <w:rFonts w:hint="eastAsia"/>
          <w:lang w:val="en-US" w:eastAsia="zh-CN"/>
        </w:rPr>
        <w:t>三</w:t>
      </w:r>
      <w:r>
        <w:rPr>
          <w:rFonts w:hint="default"/>
          <w:lang w:val="en-US" w:eastAsia="zh-CN"/>
        </w:rPr>
        <w:t>、</w:t>
      </w:r>
      <w:r>
        <w:rPr>
          <w:rFonts w:hint="eastAsia"/>
        </w:rPr>
        <w:t>售后服务流程</w:t>
      </w:r>
      <w:r>
        <w:tab/>
      </w:r>
      <w:r>
        <w:fldChar w:fldCharType="begin"/>
      </w:r>
      <w:r>
        <w:instrText xml:space="preserve"> PAGEREF _Toc23711 \h </w:instrText>
      </w:r>
      <w:r>
        <w:fldChar w:fldCharType="separate"/>
      </w:r>
      <w:r>
        <w:t>353</w:t>
      </w:r>
      <w:r>
        <w:fldChar w:fldCharType="end"/>
      </w:r>
      <w:r>
        <w:fldChar w:fldCharType="end"/>
      </w:r>
    </w:p>
    <w:p>
      <w:pPr>
        <w:pStyle w:val="20"/>
        <w:tabs>
          <w:tab w:val="right" w:leader="dot" w:pos="8306"/>
        </w:tabs>
      </w:pPr>
      <w:r>
        <w:fldChar w:fldCharType="begin"/>
      </w:r>
      <w:r>
        <w:instrText xml:space="preserve"> HYPERLINK \l _Toc9896 </w:instrText>
      </w:r>
      <w:r>
        <w:fldChar w:fldCharType="separate"/>
      </w:r>
      <w:r>
        <w:rPr>
          <w:rFonts w:hint="eastAsia"/>
          <w:lang w:val="en-US" w:eastAsia="zh-CN"/>
        </w:rPr>
        <w:t>四</w:t>
      </w:r>
      <w:r>
        <w:rPr>
          <w:rFonts w:hint="default"/>
          <w:lang w:val="en-US" w:eastAsia="zh-CN"/>
        </w:rPr>
        <w:t>、</w:t>
      </w:r>
      <w:r>
        <w:rPr>
          <w:rFonts w:hint="eastAsia"/>
        </w:rPr>
        <w:t>服务机构及售后服务方式</w:t>
      </w:r>
      <w:r>
        <w:tab/>
      </w:r>
      <w:r>
        <w:fldChar w:fldCharType="begin"/>
      </w:r>
      <w:r>
        <w:instrText xml:space="preserve"> PAGEREF _Toc9896 \h </w:instrText>
      </w:r>
      <w:r>
        <w:fldChar w:fldCharType="separate"/>
      </w:r>
      <w:r>
        <w:t>354</w:t>
      </w:r>
      <w:r>
        <w:fldChar w:fldCharType="end"/>
      </w:r>
      <w:r>
        <w:fldChar w:fldCharType="end"/>
      </w:r>
    </w:p>
    <w:p>
      <w:pPr>
        <w:pStyle w:val="20"/>
        <w:tabs>
          <w:tab w:val="right" w:leader="dot" w:pos="8306"/>
        </w:tabs>
      </w:pPr>
      <w:r>
        <w:fldChar w:fldCharType="begin"/>
      </w:r>
      <w:r>
        <w:instrText xml:space="preserve"> HYPERLINK \l _Toc14678 </w:instrText>
      </w:r>
      <w:r>
        <w:fldChar w:fldCharType="separate"/>
      </w:r>
      <w:r>
        <w:rPr>
          <w:rFonts w:hint="eastAsia"/>
          <w:lang w:val="en-US" w:eastAsia="zh-CN"/>
        </w:rPr>
        <w:t>五</w:t>
      </w:r>
      <w:r>
        <w:rPr>
          <w:rFonts w:hint="default"/>
          <w:lang w:val="en-US" w:eastAsia="zh-CN"/>
        </w:rPr>
        <w:t>、</w:t>
      </w:r>
      <w:r>
        <w:rPr>
          <w:rFonts w:hint="eastAsia"/>
        </w:rPr>
        <w:t>售后服务及保障措施</w:t>
      </w:r>
      <w:r>
        <w:tab/>
      </w:r>
      <w:r>
        <w:fldChar w:fldCharType="begin"/>
      </w:r>
      <w:r>
        <w:instrText xml:space="preserve"> PAGEREF _Toc14678 \h </w:instrText>
      </w:r>
      <w:r>
        <w:fldChar w:fldCharType="separate"/>
      </w:r>
      <w:r>
        <w:t>356</w:t>
      </w:r>
      <w:r>
        <w:fldChar w:fldCharType="end"/>
      </w:r>
      <w:r>
        <w:fldChar w:fldCharType="end"/>
      </w:r>
    </w:p>
    <w:p>
      <w:pPr>
        <w:pStyle w:val="26"/>
        <w:tabs>
          <w:tab w:val="right" w:leader="dot" w:pos="8306"/>
        </w:tabs>
      </w:pPr>
      <w:r>
        <w:fldChar w:fldCharType="begin"/>
      </w:r>
      <w:r>
        <w:instrText xml:space="preserve"> HYPERLINK \l _Toc18910 </w:instrText>
      </w:r>
      <w:r>
        <w:fldChar w:fldCharType="separate"/>
      </w:r>
      <w:r>
        <w:rPr>
          <w:rFonts w:hint="eastAsia"/>
          <w:lang w:eastAsia="zh-CN"/>
        </w:rPr>
        <w:t>（</w:t>
      </w:r>
      <w:r>
        <w:rPr>
          <w:rFonts w:hint="eastAsia"/>
          <w:lang w:val="en-US" w:eastAsia="zh-CN"/>
        </w:rPr>
        <w:t>一</w:t>
      </w:r>
      <w:r>
        <w:rPr>
          <w:rFonts w:hint="eastAsia"/>
          <w:lang w:eastAsia="zh-CN"/>
        </w:rPr>
        <w:t>）</w:t>
      </w:r>
      <w:r>
        <w:rPr>
          <w:rFonts w:hint="eastAsia"/>
        </w:rPr>
        <w:t>产品质量保证</w:t>
      </w:r>
      <w:r>
        <w:tab/>
      </w:r>
      <w:r>
        <w:fldChar w:fldCharType="begin"/>
      </w:r>
      <w:r>
        <w:instrText xml:space="preserve"> PAGEREF _Toc18910 \h </w:instrText>
      </w:r>
      <w:r>
        <w:fldChar w:fldCharType="separate"/>
      </w:r>
      <w:r>
        <w:t>356</w:t>
      </w:r>
      <w:r>
        <w:fldChar w:fldCharType="end"/>
      </w:r>
      <w:r>
        <w:fldChar w:fldCharType="end"/>
      </w:r>
    </w:p>
    <w:p>
      <w:pPr>
        <w:pStyle w:val="26"/>
        <w:tabs>
          <w:tab w:val="right" w:leader="dot" w:pos="8306"/>
        </w:tabs>
      </w:pPr>
      <w:r>
        <w:fldChar w:fldCharType="begin"/>
      </w:r>
      <w:r>
        <w:instrText xml:space="preserve"> HYPERLINK \l _Toc11712 </w:instrText>
      </w:r>
      <w:r>
        <w:fldChar w:fldCharType="separate"/>
      </w:r>
      <w:r>
        <w:rPr>
          <w:rFonts w:hint="eastAsia"/>
          <w:lang w:eastAsia="zh-CN"/>
        </w:rPr>
        <w:t>（</w:t>
      </w:r>
      <w:r>
        <w:rPr>
          <w:rFonts w:hint="eastAsia"/>
          <w:lang w:val="en-US" w:eastAsia="zh-CN"/>
        </w:rPr>
        <w:t>二</w:t>
      </w:r>
      <w:r>
        <w:rPr>
          <w:rFonts w:hint="eastAsia"/>
          <w:lang w:eastAsia="zh-CN"/>
        </w:rPr>
        <w:t>）</w:t>
      </w:r>
      <w:r>
        <w:rPr>
          <w:rFonts w:hint="eastAsia"/>
        </w:rPr>
        <w:t>产品运输</w:t>
      </w:r>
      <w:r>
        <w:tab/>
      </w:r>
      <w:r>
        <w:fldChar w:fldCharType="begin"/>
      </w:r>
      <w:r>
        <w:instrText xml:space="preserve"> PAGEREF _Toc11712 \h </w:instrText>
      </w:r>
      <w:r>
        <w:fldChar w:fldCharType="separate"/>
      </w:r>
      <w:r>
        <w:t>356</w:t>
      </w:r>
      <w:r>
        <w:fldChar w:fldCharType="end"/>
      </w:r>
      <w:r>
        <w:fldChar w:fldCharType="end"/>
      </w:r>
    </w:p>
    <w:p>
      <w:pPr>
        <w:pStyle w:val="26"/>
        <w:tabs>
          <w:tab w:val="right" w:leader="dot" w:pos="8306"/>
        </w:tabs>
      </w:pPr>
      <w:r>
        <w:fldChar w:fldCharType="begin"/>
      </w:r>
      <w:r>
        <w:instrText xml:space="preserve"> HYPERLINK \l _Toc13340 </w:instrText>
      </w:r>
      <w:r>
        <w:fldChar w:fldCharType="separate"/>
      </w:r>
      <w:r>
        <w:rPr>
          <w:rFonts w:hint="eastAsia"/>
          <w:lang w:eastAsia="zh-CN"/>
        </w:rPr>
        <w:t>（</w:t>
      </w:r>
      <w:r>
        <w:rPr>
          <w:rFonts w:hint="eastAsia"/>
          <w:lang w:val="en-US" w:eastAsia="zh-CN"/>
        </w:rPr>
        <w:t>三</w:t>
      </w:r>
      <w:r>
        <w:rPr>
          <w:rFonts w:hint="eastAsia"/>
          <w:lang w:eastAsia="zh-CN"/>
        </w:rPr>
        <w:t>）</w:t>
      </w:r>
      <w:r>
        <w:rPr>
          <w:rFonts w:hint="eastAsia"/>
        </w:rPr>
        <w:t>技术支持</w:t>
      </w:r>
      <w:r>
        <w:tab/>
      </w:r>
      <w:r>
        <w:fldChar w:fldCharType="begin"/>
      </w:r>
      <w:r>
        <w:instrText xml:space="preserve"> PAGEREF _Toc13340 \h </w:instrText>
      </w:r>
      <w:r>
        <w:fldChar w:fldCharType="separate"/>
      </w:r>
      <w:r>
        <w:t>357</w:t>
      </w:r>
      <w:r>
        <w:fldChar w:fldCharType="end"/>
      </w:r>
      <w:r>
        <w:fldChar w:fldCharType="end"/>
      </w:r>
    </w:p>
    <w:p>
      <w:pPr>
        <w:pStyle w:val="26"/>
        <w:tabs>
          <w:tab w:val="right" w:leader="dot" w:pos="8306"/>
        </w:tabs>
      </w:pPr>
      <w:r>
        <w:fldChar w:fldCharType="begin"/>
      </w:r>
      <w:r>
        <w:instrText xml:space="preserve"> HYPERLINK \l _Toc29615 </w:instrText>
      </w:r>
      <w:r>
        <w:fldChar w:fldCharType="separate"/>
      </w:r>
      <w:r>
        <w:rPr>
          <w:rFonts w:hint="eastAsia"/>
          <w:lang w:eastAsia="zh-CN"/>
        </w:rPr>
        <w:t>（</w:t>
      </w:r>
      <w:r>
        <w:rPr>
          <w:rFonts w:hint="eastAsia"/>
          <w:lang w:val="en-US" w:eastAsia="zh-CN"/>
        </w:rPr>
        <w:t>四</w:t>
      </w:r>
      <w:r>
        <w:rPr>
          <w:rFonts w:hint="eastAsia"/>
          <w:lang w:eastAsia="zh-CN"/>
        </w:rPr>
        <w:t>）</w:t>
      </w:r>
      <w:r>
        <w:rPr>
          <w:rFonts w:hint="eastAsia"/>
        </w:rPr>
        <w:t>服务保障</w:t>
      </w:r>
      <w:r>
        <w:tab/>
      </w:r>
      <w:r>
        <w:fldChar w:fldCharType="begin"/>
      </w:r>
      <w:r>
        <w:instrText xml:space="preserve"> PAGEREF _Toc29615 \h </w:instrText>
      </w:r>
      <w:r>
        <w:fldChar w:fldCharType="separate"/>
      </w:r>
      <w:r>
        <w:t>358</w:t>
      </w:r>
      <w:r>
        <w:fldChar w:fldCharType="end"/>
      </w:r>
      <w:r>
        <w:fldChar w:fldCharType="end"/>
      </w:r>
    </w:p>
    <w:p>
      <w:pPr>
        <w:pStyle w:val="20"/>
        <w:tabs>
          <w:tab w:val="right" w:leader="dot" w:pos="8306"/>
        </w:tabs>
      </w:pPr>
      <w:r>
        <w:fldChar w:fldCharType="begin"/>
      </w:r>
      <w:r>
        <w:instrText xml:space="preserve"> HYPERLINK \l _Toc17133 </w:instrText>
      </w:r>
      <w:r>
        <w:fldChar w:fldCharType="separate"/>
      </w:r>
      <w:r>
        <w:rPr>
          <w:rFonts w:hint="eastAsia"/>
          <w:lang w:val="en-US" w:eastAsia="zh-CN"/>
        </w:rPr>
        <w:t>六</w:t>
      </w:r>
      <w:r>
        <w:rPr>
          <w:rFonts w:hint="default"/>
          <w:lang w:val="en-US" w:eastAsia="zh-CN"/>
        </w:rPr>
        <w:t>、</w:t>
      </w:r>
      <w:r>
        <w:rPr>
          <w:rFonts w:hint="eastAsia"/>
        </w:rPr>
        <w:t>售后服务标准及要求</w:t>
      </w:r>
      <w:r>
        <w:tab/>
      </w:r>
      <w:r>
        <w:fldChar w:fldCharType="begin"/>
      </w:r>
      <w:r>
        <w:instrText xml:space="preserve"> PAGEREF _Toc17133 \h </w:instrText>
      </w:r>
      <w:r>
        <w:fldChar w:fldCharType="separate"/>
      </w:r>
      <w:r>
        <w:t>360</w:t>
      </w:r>
      <w:r>
        <w:fldChar w:fldCharType="end"/>
      </w:r>
      <w:r>
        <w:fldChar w:fldCharType="end"/>
      </w:r>
    </w:p>
    <w:p>
      <w:pPr>
        <w:pStyle w:val="20"/>
        <w:tabs>
          <w:tab w:val="right" w:leader="dot" w:pos="8306"/>
        </w:tabs>
      </w:pPr>
      <w:r>
        <w:fldChar w:fldCharType="begin"/>
      </w:r>
      <w:r>
        <w:instrText xml:space="preserve"> HYPERLINK \l _Toc22913 </w:instrText>
      </w:r>
      <w:r>
        <w:fldChar w:fldCharType="separate"/>
      </w:r>
      <w:r>
        <w:rPr>
          <w:rFonts w:hint="eastAsia"/>
          <w:lang w:val="en-US" w:eastAsia="zh-CN"/>
        </w:rPr>
        <w:t>七</w:t>
      </w:r>
      <w:r>
        <w:rPr>
          <w:rFonts w:hint="default"/>
          <w:lang w:val="en-US" w:eastAsia="zh-CN"/>
        </w:rPr>
        <w:t>、</w:t>
      </w:r>
      <w:r>
        <w:rPr>
          <w:rFonts w:hint="eastAsia"/>
        </w:rPr>
        <w:t>售后服务内容</w:t>
      </w:r>
      <w:r>
        <w:tab/>
      </w:r>
      <w:r>
        <w:fldChar w:fldCharType="begin"/>
      </w:r>
      <w:r>
        <w:instrText xml:space="preserve"> PAGEREF _Toc22913 \h </w:instrText>
      </w:r>
      <w:r>
        <w:fldChar w:fldCharType="separate"/>
      </w:r>
      <w:r>
        <w:t>361</w:t>
      </w:r>
      <w:r>
        <w:fldChar w:fldCharType="end"/>
      </w:r>
      <w:r>
        <w:fldChar w:fldCharType="end"/>
      </w:r>
    </w:p>
    <w:p>
      <w:pPr>
        <w:pStyle w:val="26"/>
        <w:tabs>
          <w:tab w:val="right" w:leader="dot" w:pos="8306"/>
        </w:tabs>
      </w:pPr>
      <w:r>
        <w:fldChar w:fldCharType="begin"/>
      </w:r>
      <w:r>
        <w:instrText xml:space="preserve"> HYPERLINK \l _Toc15945 </w:instrText>
      </w:r>
      <w:r>
        <w:fldChar w:fldCharType="separate"/>
      </w:r>
      <w:r>
        <w:rPr>
          <w:rFonts w:hint="eastAsia"/>
          <w:lang w:val="zh-CN"/>
        </w:rPr>
        <w:t>（</w:t>
      </w:r>
      <w:r>
        <w:rPr>
          <w:rFonts w:hint="eastAsia"/>
          <w:lang w:val="en-US" w:eastAsia="zh-CN"/>
        </w:rPr>
        <w:t>一</w:t>
      </w:r>
      <w:r>
        <w:rPr>
          <w:rFonts w:hint="eastAsia"/>
          <w:lang w:val="zh-CN"/>
        </w:rPr>
        <w:t>）供货服务</w:t>
      </w:r>
      <w:r>
        <w:tab/>
      </w:r>
      <w:r>
        <w:fldChar w:fldCharType="begin"/>
      </w:r>
      <w:r>
        <w:instrText xml:space="preserve"> PAGEREF _Toc15945 \h </w:instrText>
      </w:r>
      <w:r>
        <w:fldChar w:fldCharType="separate"/>
      </w:r>
      <w:r>
        <w:t>361</w:t>
      </w:r>
      <w:r>
        <w:fldChar w:fldCharType="end"/>
      </w:r>
      <w:r>
        <w:fldChar w:fldCharType="end"/>
      </w:r>
    </w:p>
    <w:p>
      <w:pPr>
        <w:pStyle w:val="26"/>
        <w:tabs>
          <w:tab w:val="right" w:leader="dot" w:pos="8306"/>
        </w:tabs>
      </w:pPr>
      <w:r>
        <w:fldChar w:fldCharType="begin"/>
      </w:r>
      <w:r>
        <w:instrText xml:space="preserve"> HYPERLINK \l _Toc13845 </w:instrText>
      </w:r>
      <w:r>
        <w:fldChar w:fldCharType="separate"/>
      </w:r>
      <w:r>
        <w:rPr>
          <w:rFonts w:hint="eastAsia"/>
          <w:lang w:val="zh-CN"/>
        </w:rPr>
        <w:t>（</w:t>
      </w:r>
      <w:r>
        <w:rPr>
          <w:rFonts w:hint="eastAsia"/>
          <w:lang w:val="en-US" w:eastAsia="zh-CN"/>
        </w:rPr>
        <w:t>二</w:t>
      </w:r>
      <w:r>
        <w:rPr>
          <w:rFonts w:hint="eastAsia"/>
          <w:lang w:val="zh-CN"/>
        </w:rPr>
        <w:t>）技术服务</w:t>
      </w:r>
      <w:r>
        <w:tab/>
      </w:r>
      <w:r>
        <w:fldChar w:fldCharType="begin"/>
      </w:r>
      <w:r>
        <w:instrText xml:space="preserve"> PAGEREF _Toc13845 \h </w:instrText>
      </w:r>
      <w:r>
        <w:fldChar w:fldCharType="separate"/>
      </w:r>
      <w:r>
        <w:t>361</w:t>
      </w:r>
      <w:r>
        <w:fldChar w:fldCharType="end"/>
      </w:r>
      <w:r>
        <w:fldChar w:fldCharType="end"/>
      </w:r>
    </w:p>
    <w:p>
      <w:pPr>
        <w:pStyle w:val="26"/>
        <w:tabs>
          <w:tab w:val="right" w:leader="dot" w:pos="8306"/>
        </w:tabs>
      </w:pPr>
      <w:r>
        <w:fldChar w:fldCharType="begin"/>
      </w:r>
      <w:r>
        <w:instrText xml:space="preserve"> HYPERLINK \l _Toc15671 </w:instrText>
      </w:r>
      <w:r>
        <w:fldChar w:fldCharType="separate"/>
      </w:r>
      <w:r>
        <w:rPr>
          <w:rFonts w:hint="eastAsia"/>
          <w:lang w:val="zh-CN"/>
        </w:rPr>
        <w:t>（</w:t>
      </w:r>
      <w:r>
        <w:rPr>
          <w:rFonts w:hint="eastAsia"/>
          <w:lang w:val="en-US" w:eastAsia="zh-CN"/>
        </w:rPr>
        <w:t>三</w:t>
      </w:r>
      <w:r>
        <w:rPr>
          <w:rFonts w:hint="eastAsia"/>
          <w:lang w:val="zh-CN"/>
        </w:rPr>
        <w:t>）农化服务</w:t>
      </w:r>
      <w:r>
        <w:tab/>
      </w:r>
      <w:r>
        <w:fldChar w:fldCharType="begin"/>
      </w:r>
      <w:r>
        <w:instrText xml:space="preserve"> PAGEREF _Toc15671 \h </w:instrText>
      </w:r>
      <w:r>
        <w:fldChar w:fldCharType="separate"/>
      </w:r>
      <w:r>
        <w:t>362</w:t>
      </w:r>
      <w:r>
        <w:fldChar w:fldCharType="end"/>
      </w:r>
      <w:r>
        <w:fldChar w:fldCharType="end"/>
      </w:r>
    </w:p>
    <w:p>
      <w:pPr>
        <w:pStyle w:val="20"/>
        <w:tabs>
          <w:tab w:val="right" w:leader="dot" w:pos="8306"/>
        </w:tabs>
      </w:pPr>
      <w:r>
        <w:fldChar w:fldCharType="begin"/>
      </w:r>
      <w:r>
        <w:instrText xml:space="preserve"> HYPERLINK \l _Toc31089 </w:instrText>
      </w:r>
      <w:r>
        <w:fldChar w:fldCharType="separate"/>
      </w:r>
      <w:r>
        <w:rPr>
          <w:rFonts w:hint="eastAsia"/>
          <w:lang w:val="en-US" w:eastAsia="zh-CN"/>
        </w:rPr>
        <w:t>八</w:t>
      </w:r>
      <w:r>
        <w:rPr>
          <w:rFonts w:hint="default"/>
          <w:lang w:val="en-US" w:eastAsia="zh-CN"/>
        </w:rPr>
        <w:t>、</w:t>
      </w:r>
      <w:r>
        <w:rPr>
          <w:rFonts w:hint="eastAsia"/>
        </w:rPr>
        <w:t>服务措施</w:t>
      </w:r>
      <w:r>
        <w:tab/>
      </w:r>
      <w:r>
        <w:fldChar w:fldCharType="begin"/>
      </w:r>
      <w:r>
        <w:instrText xml:space="preserve"> PAGEREF _Toc31089 \h </w:instrText>
      </w:r>
      <w:r>
        <w:fldChar w:fldCharType="separate"/>
      </w:r>
      <w:r>
        <w:t>364</w:t>
      </w:r>
      <w:r>
        <w:fldChar w:fldCharType="end"/>
      </w:r>
      <w:r>
        <w:fldChar w:fldCharType="end"/>
      </w:r>
    </w:p>
    <w:p>
      <w:pPr>
        <w:pStyle w:val="26"/>
        <w:tabs>
          <w:tab w:val="right" w:leader="dot" w:pos="8306"/>
        </w:tabs>
      </w:pPr>
      <w:r>
        <w:fldChar w:fldCharType="begin"/>
      </w:r>
      <w:r>
        <w:instrText xml:space="preserve"> HYPERLINK \l _Toc14421 </w:instrText>
      </w:r>
      <w:r>
        <w:fldChar w:fldCharType="separate"/>
      </w:r>
      <w:r>
        <w:rPr>
          <w:rFonts w:hint="eastAsia"/>
          <w:lang w:eastAsia="zh-CN"/>
        </w:rPr>
        <w:t>（</w:t>
      </w:r>
      <w:r>
        <w:rPr>
          <w:rFonts w:hint="eastAsia"/>
          <w:lang w:val="en-US" w:eastAsia="zh-CN"/>
        </w:rPr>
        <w:t>一</w:t>
      </w:r>
      <w:r>
        <w:rPr>
          <w:rFonts w:hint="eastAsia"/>
          <w:lang w:eastAsia="zh-CN"/>
        </w:rPr>
        <w:t>）</w:t>
      </w:r>
      <w:r>
        <w:rPr>
          <w:rFonts w:hint="eastAsia"/>
        </w:rPr>
        <w:t>跟踪服务</w:t>
      </w:r>
      <w:r>
        <w:tab/>
      </w:r>
      <w:r>
        <w:fldChar w:fldCharType="begin"/>
      </w:r>
      <w:r>
        <w:instrText xml:space="preserve"> PAGEREF _Toc14421 \h </w:instrText>
      </w:r>
      <w:r>
        <w:fldChar w:fldCharType="separate"/>
      </w:r>
      <w:r>
        <w:t>364</w:t>
      </w:r>
      <w:r>
        <w:fldChar w:fldCharType="end"/>
      </w:r>
      <w:r>
        <w:fldChar w:fldCharType="end"/>
      </w:r>
    </w:p>
    <w:p>
      <w:pPr>
        <w:pStyle w:val="26"/>
        <w:tabs>
          <w:tab w:val="right" w:leader="dot" w:pos="8306"/>
        </w:tabs>
      </w:pPr>
      <w:r>
        <w:fldChar w:fldCharType="begin"/>
      </w:r>
      <w:r>
        <w:instrText xml:space="preserve"> HYPERLINK \l _Toc10147 </w:instrText>
      </w:r>
      <w:r>
        <w:fldChar w:fldCharType="separate"/>
      </w:r>
      <w:r>
        <w:rPr>
          <w:rFonts w:hint="eastAsia"/>
          <w:lang w:eastAsia="zh-CN"/>
        </w:rPr>
        <w:t>（</w:t>
      </w:r>
      <w:r>
        <w:rPr>
          <w:rFonts w:hint="eastAsia"/>
          <w:lang w:val="en-US" w:eastAsia="zh-CN"/>
        </w:rPr>
        <w:t>二</w:t>
      </w:r>
      <w:r>
        <w:rPr>
          <w:rFonts w:hint="eastAsia"/>
          <w:lang w:eastAsia="zh-CN"/>
        </w:rPr>
        <w:t>）</w:t>
      </w:r>
      <w:r>
        <w:rPr>
          <w:rFonts w:hint="eastAsia"/>
        </w:rPr>
        <w:t>组织培训</w:t>
      </w:r>
      <w:r>
        <w:tab/>
      </w:r>
      <w:r>
        <w:fldChar w:fldCharType="begin"/>
      </w:r>
      <w:r>
        <w:instrText xml:space="preserve"> PAGEREF _Toc10147 \h </w:instrText>
      </w:r>
      <w:r>
        <w:fldChar w:fldCharType="separate"/>
      </w:r>
      <w:r>
        <w:t>364</w:t>
      </w:r>
      <w:r>
        <w:fldChar w:fldCharType="end"/>
      </w:r>
      <w:r>
        <w:fldChar w:fldCharType="end"/>
      </w:r>
    </w:p>
    <w:p>
      <w:pPr>
        <w:pStyle w:val="20"/>
        <w:tabs>
          <w:tab w:val="right" w:leader="dot" w:pos="8306"/>
        </w:tabs>
      </w:pPr>
      <w:r>
        <w:fldChar w:fldCharType="begin"/>
      </w:r>
      <w:r>
        <w:instrText xml:space="preserve"> HYPERLINK \l _Toc441 </w:instrText>
      </w:r>
      <w:r>
        <w:fldChar w:fldCharType="separate"/>
      </w:r>
      <w:r>
        <w:rPr>
          <w:rFonts w:hint="eastAsia"/>
          <w:lang w:val="en-US" w:eastAsia="zh-CN"/>
        </w:rPr>
        <w:t>九</w:t>
      </w:r>
      <w:r>
        <w:rPr>
          <w:rFonts w:hint="default"/>
          <w:lang w:val="en-US" w:eastAsia="zh-CN"/>
        </w:rPr>
        <w:t>、</w:t>
      </w:r>
      <w:r>
        <w:rPr>
          <w:rFonts w:hint="eastAsia"/>
        </w:rPr>
        <w:t>售后服务响应</w:t>
      </w:r>
      <w:r>
        <w:tab/>
      </w:r>
      <w:r>
        <w:fldChar w:fldCharType="begin"/>
      </w:r>
      <w:r>
        <w:instrText xml:space="preserve"> PAGEREF _Toc441 \h </w:instrText>
      </w:r>
      <w:r>
        <w:fldChar w:fldCharType="separate"/>
      </w:r>
      <w:r>
        <w:t>365</w:t>
      </w:r>
      <w:r>
        <w:fldChar w:fldCharType="end"/>
      </w:r>
      <w:r>
        <w:fldChar w:fldCharType="end"/>
      </w:r>
    </w:p>
    <w:p>
      <w:pPr>
        <w:pStyle w:val="20"/>
        <w:tabs>
          <w:tab w:val="right" w:leader="dot" w:pos="8306"/>
        </w:tabs>
      </w:pPr>
      <w:r>
        <w:fldChar w:fldCharType="begin"/>
      </w:r>
      <w:r>
        <w:instrText xml:space="preserve"> HYPERLINK \l _Toc14244 </w:instrText>
      </w:r>
      <w:r>
        <w:fldChar w:fldCharType="separate"/>
      </w:r>
      <w:r>
        <w:rPr>
          <w:rFonts w:hint="eastAsia"/>
          <w:lang w:val="en-US" w:eastAsia="zh-CN"/>
        </w:rPr>
        <w:t>十</w:t>
      </w:r>
      <w:r>
        <w:rPr>
          <w:rFonts w:hint="default"/>
          <w:lang w:val="en-US" w:eastAsia="zh-CN"/>
        </w:rPr>
        <w:t>、</w:t>
      </w:r>
      <w:r>
        <w:rPr>
          <w:rFonts w:hint="eastAsia"/>
        </w:rPr>
        <w:t>售后服务人员培训计划</w:t>
      </w:r>
      <w:r>
        <w:tab/>
      </w:r>
      <w:r>
        <w:fldChar w:fldCharType="begin"/>
      </w:r>
      <w:r>
        <w:instrText xml:space="preserve"> PAGEREF _Toc14244 \h </w:instrText>
      </w:r>
      <w:r>
        <w:fldChar w:fldCharType="separate"/>
      </w:r>
      <w:r>
        <w:t>366</w:t>
      </w:r>
      <w:r>
        <w:fldChar w:fldCharType="end"/>
      </w:r>
      <w:r>
        <w:fldChar w:fldCharType="end"/>
      </w:r>
    </w:p>
    <w:p>
      <w:pPr>
        <w:pStyle w:val="20"/>
        <w:tabs>
          <w:tab w:val="right" w:leader="dot" w:pos="8306"/>
        </w:tabs>
      </w:pPr>
      <w:r>
        <w:fldChar w:fldCharType="begin"/>
      </w:r>
      <w:r>
        <w:instrText xml:space="preserve"> HYPERLINK \l _Toc21709 </w:instrText>
      </w:r>
      <w:r>
        <w:fldChar w:fldCharType="separate"/>
      </w:r>
      <w:r>
        <w:rPr>
          <w:rFonts w:hint="eastAsia"/>
          <w:lang w:val="en-US" w:eastAsia="zh-CN"/>
        </w:rPr>
        <w:t>十一</w:t>
      </w:r>
      <w:r>
        <w:rPr>
          <w:rFonts w:hint="default"/>
          <w:lang w:val="en-US" w:eastAsia="zh-CN"/>
        </w:rPr>
        <w:t>、</w:t>
      </w:r>
      <w:r>
        <w:rPr>
          <w:rFonts w:hint="eastAsia"/>
        </w:rPr>
        <w:t>售后回访计划</w:t>
      </w:r>
      <w:r>
        <w:tab/>
      </w:r>
      <w:r>
        <w:fldChar w:fldCharType="begin"/>
      </w:r>
      <w:r>
        <w:instrText xml:space="preserve"> PAGEREF _Toc21709 \h </w:instrText>
      </w:r>
      <w:r>
        <w:fldChar w:fldCharType="separate"/>
      </w:r>
      <w:r>
        <w:t>371</w:t>
      </w:r>
      <w:r>
        <w:fldChar w:fldCharType="end"/>
      </w:r>
      <w:r>
        <w:fldChar w:fldCharType="end"/>
      </w:r>
    </w:p>
    <w:p>
      <w:pPr>
        <w:pStyle w:val="20"/>
        <w:tabs>
          <w:tab w:val="right" w:leader="dot" w:pos="8306"/>
        </w:tabs>
      </w:pPr>
      <w:r>
        <w:fldChar w:fldCharType="begin"/>
      </w:r>
      <w:r>
        <w:instrText xml:space="preserve"> HYPERLINK \l _Toc24127 </w:instrText>
      </w:r>
      <w:r>
        <w:fldChar w:fldCharType="separate"/>
      </w:r>
      <w:r>
        <w:rPr>
          <w:rFonts w:hint="eastAsia"/>
          <w:lang w:val="en-US" w:eastAsia="zh-CN"/>
        </w:rPr>
        <w:t>十二</w:t>
      </w:r>
      <w:r>
        <w:rPr>
          <w:rFonts w:hint="default"/>
          <w:lang w:val="en-US" w:eastAsia="zh-CN"/>
        </w:rPr>
        <w:t>、</w:t>
      </w:r>
      <w:r>
        <w:rPr>
          <w:rFonts w:hint="eastAsia"/>
        </w:rPr>
        <w:t>售后应急预案</w:t>
      </w:r>
      <w:r>
        <w:tab/>
      </w:r>
      <w:r>
        <w:fldChar w:fldCharType="begin"/>
      </w:r>
      <w:r>
        <w:instrText xml:space="preserve"> PAGEREF _Toc24127 \h </w:instrText>
      </w:r>
      <w:r>
        <w:fldChar w:fldCharType="separate"/>
      </w:r>
      <w:r>
        <w:t>372</w:t>
      </w:r>
      <w:r>
        <w:fldChar w:fldCharType="end"/>
      </w:r>
      <w:r>
        <w:fldChar w:fldCharType="end"/>
      </w:r>
    </w:p>
    <w:p>
      <w:pPr>
        <w:pStyle w:val="26"/>
        <w:tabs>
          <w:tab w:val="right" w:leader="dot" w:pos="8306"/>
        </w:tabs>
      </w:pPr>
      <w:r>
        <w:fldChar w:fldCharType="begin"/>
      </w:r>
      <w:r>
        <w:instrText xml:space="preserve"> HYPERLINK \l _Toc1554 </w:instrText>
      </w:r>
      <w:r>
        <w:fldChar w:fldCharType="separate"/>
      </w:r>
      <w:r>
        <w:rPr>
          <w:rFonts w:hint="eastAsia"/>
        </w:rPr>
        <w:t>（</w:t>
      </w:r>
      <w:r>
        <w:rPr>
          <w:rFonts w:hint="eastAsia"/>
          <w:lang w:val="en-US" w:eastAsia="zh-CN"/>
        </w:rPr>
        <w:t>一</w:t>
      </w:r>
      <w:r>
        <w:rPr>
          <w:rFonts w:hint="eastAsia"/>
        </w:rPr>
        <w:t>）售后供货数量发生变化的应急预案</w:t>
      </w:r>
      <w:r>
        <w:tab/>
      </w:r>
      <w:r>
        <w:fldChar w:fldCharType="begin"/>
      </w:r>
      <w:r>
        <w:instrText xml:space="preserve"> PAGEREF _Toc1554 \h </w:instrText>
      </w:r>
      <w:r>
        <w:fldChar w:fldCharType="separate"/>
      </w:r>
      <w:r>
        <w:t>372</w:t>
      </w:r>
      <w:r>
        <w:fldChar w:fldCharType="end"/>
      </w:r>
      <w:r>
        <w:fldChar w:fldCharType="end"/>
      </w:r>
    </w:p>
    <w:p>
      <w:pPr>
        <w:pStyle w:val="26"/>
        <w:tabs>
          <w:tab w:val="right" w:leader="dot" w:pos="8306"/>
        </w:tabs>
      </w:pPr>
      <w:r>
        <w:fldChar w:fldCharType="begin"/>
      </w:r>
      <w:r>
        <w:instrText xml:space="preserve"> HYPERLINK \l _Toc19790 </w:instrText>
      </w:r>
      <w:r>
        <w:fldChar w:fldCharType="separate"/>
      </w:r>
      <w:r>
        <w:rPr>
          <w:rFonts w:hint="eastAsia"/>
        </w:rPr>
        <w:t>（</w:t>
      </w:r>
      <w:r>
        <w:rPr>
          <w:rFonts w:hint="eastAsia"/>
          <w:lang w:val="en-US" w:eastAsia="zh-CN"/>
        </w:rPr>
        <w:t>二</w:t>
      </w:r>
      <w:r>
        <w:rPr>
          <w:rFonts w:hint="eastAsia"/>
        </w:rPr>
        <w:t>）售后遇有紧急情况的应急预案</w:t>
      </w:r>
      <w:r>
        <w:tab/>
      </w:r>
      <w:r>
        <w:fldChar w:fldCharType="begin"/>
      </w:r>
      <w:r>
        <w:instrText xml:space="preserve"> PAGEREF _Toc19790 \h </w:instrText>
      </w:r>
      <w:r>
        <w:fldChar w:fldCharType="separate"/>
      </w:r>
      <w:r>
        <w:t>372</w:t>
      </w:r>
      <w:r>
        <w:fldChar w:fldCharType="end"/>
      </w:r>
      <w:r>
        <w:fldChar w:fldCharType="end"/>
      </w:r>
    </w:p>
    <w:p>
      <w:pPr>
        <w:pStyle w:val="20"/>
        <w:tabs>
          <w:tab w:val="right" w:leader="dot" w:pos="8306"/>
        </w:tabs>
      </w:pPr>
      <w:r>
        <w:fldChar w:fldCharType="begin"/>
      </w:r>
      <w:r>
        <w:instrText xml:space="preserve"> HYPERLINK \l _Toc23021 </w:instrText>
      </w:r>
      <w:r>
        <w:fldChar w:fldCharType="separate"/>
      </w:r>
      <w:r>
        <w:rPr>
          <w:rFonts w:hint="eastAsia"/>
          <w:lang w:val="en-US" w:eastAsia="zh-CN"/>
        </w:rPr>
        <w:t>十三</w:t>
      </w:r>
      <w:r>
        <w:rPr>
          <w:rFonts w:hint="default"/>
          <w:lang w:val="en-US" w:eastAsia="zh-CN"/>
        </w:rPr>
        <w:t>、</w:t>
      </w:r>
      <w:r>
        <w:rPr>
          <w:rFonts w:hint="eastAsia"/>
        </w:rPr>
        <w:t>售后服务跟踪制度</w:t>
      </w:r>
      <w:r>
        <w:tab/>
      </w:r>
      <w:r>
        <w:fldChar w:fldCharType="begin"/>
      </w:r>
      <w:r>
        <w:instrText xml:space="preserve"> PAGEREF _Toc23021 \h </w:instrText>
      </w:r>
      <w:r>
        <w:fldChar w:fldCharType="separate"/>
      </w:r>
      <w:r>
        <w:t>373</w:t>
      </w:r>
      <w:r>
        <w:fldChar w:fldCharType="end"/>
      </w:r>
      <w:r>
        <w:fldChar w:fldCharType="end"/>
      </w:r>
    </w:p>
    <w:p>
      <w:pPr>
        <w:pStyle w:val="28"/>
        <w:tabs>
          <w:tab w:val="right" w:leader="dot" w:pos="8306"/>
        </w:tabs>
      </w:pPr>
      <w:r>
        <w:fldChar w:fldCharType="begin"/>
      </w:r>
      <w:r>
        <w:instrText xml:space="preserve"> HYPERLINK \l _Toc29133 </w:instrText>
      </w:r>
      <w:r>
        <w:fldChar w:fldCharType="separate"/>
      </w:r>
      <w:r>
        <w:rPr>
          <w:rFonts w:hint="eastAsia"/>
          <w:lang w:val="en-US" w:eastAsia="zh-CN"/>
        </w:rPr>
        <w:t xml:space="preserve">第三节  </w:t>
      </w:r>
      <w:r>
        <w:t>产品使用周期的质量负责的承诺</w:t>
      </w:r>
      <w:r>
        <w:tab/>
      </w:r>
      <w:r>
        <w:fldChar w:fldCharType="begin"/>
      </w:r>
      <w:r>
        <w:instrText xml:space="preserve"> PAGEREF _Toc29133 \h </w:instrText>
      </w:r>
      <w:r>
        <w:fldChar w:fldCharType="separate"/>
      </w:r>
      <w:r>
        <w:t>375</w:t>
      </w:r>
      <w:r>
        <w:fldChar w:fldCharType="end"/>
      </w:r>
      <w:r>
        <w:fldChar w:fldCharType="end"/>
      </w:r>
    </w:p>
    <w:p>
      <w:pPr>
        <w:pStyle w:val="20"/>
        <w:tabs>
          <w:tab w:val="right" w:leader="dot" w:pos="8306"/>
        </w:tabs>
      </w:pPr>
      <w:r>
        <w:fldChar w:fldCharType="begin"/>
      </w:r>
      <w:r>
        <w:instrText xml:space="preserve"> HYPERLINK \l _Toc20368 </w:instrText>
      </w:r>
      <w:r>
        <w:fldChar w:fldCharType="separate"/>
      </w:r>
      <w:r>
        <w:rPr>
          <w:rFonts w:hint="eastAsia"/>
          <w:lang w:val="en-US" w:eastAsia="zh-CN"/>
        </w:rPr>
        <w:t>一、</w:t>
      </w:r>
      <w:r>
        <w:rPr>
          <w:rFonts w:hint="eastAsia"/>
        </w:rPr>
        <w:t>售前服务</w:t>
      </w:r>
      <w:r>
        <w:tab/>
      </w:r>
      <w:r>
        <w:fldChar w:fldCharType="begin"/>
      </w:r>
      <w:r>
        <w:instrText xml:space="preserve"> PAGEREF _Toc20368 \h </w:instrText>
      </w:r>
      <w:r>
        <w:fldChar w:fldCharType="separate"/>
      </w:r>
      <w:r>
        <w:t>375</w:t>
      </w:r>
      <w:r>
        <w:fldChar w:fldCharType="end"/>
      </w:r>
      <w:r>
        <w:fldChar w:fldCharType="end"/>
      </w:r>
    </w:p>
    <w:p>
      <w:pPr>
        <w:pStyle w:val="20"/>
        <w:tabs>
          <w:tab w:val="right" w:leader="dot" w:pos="8306"/>
        </w:tabs>
      </w:pPr>
      <w:r>
        <w:fldChar w:fldCharType="begin"/>
      </w:r>
      <w:r>
        <w:instrText xml:space="preserve"> HYPERLINK \l _Toc2843 </w:instrText>
      </w:r>
      <w:r>
        <w:fldChar w:fldCharType="separate"/>
      </w:r>
      <w:r>
        <w:rPr>
          <w:rFonts w:hint="eastAsia"/>
          <w:lang w:val="en-US" w:eastAsia="zh-CN"/>
        </w:rPr>
        <w:t>二、</w:t>
      </w:r>
      <w:r>
        <w:rPr>
          <w:rFonts w:hint="eastAsia"/>
        </w:rPr>
        <w:t>售中服务</w:t>
      </w:r>
      <w:r>
        <w:tab/>
      </w:r>
      <w:r>
        <w:fldChar w:fldCharType="begin"/>
      </w:r>
      <w:r>
        <w:instrText xml:space="preserve"> PAGEREF _Toc2843 \h </w:instrText>
      </w:r>
      <w:r>
        <w:fldChar w:fldCharType="separate"/>
      </w:r>
      <w:r>
        <w:t>376</w:t>
      </w:r>
      <w:r>
        <w:fldChar w:fldCharType="end"/>
      </w:r>
      <w:r>
        <w:fldChar w:fldCharType="end"/>
      </w:r>
    </w:p>
    <w:p>
      <w:pPr>
        <w:pStyle w:val="20"/>
        <w:tabs>
          <w:tab w:val="right" w:leader="dot" w:pos="8306"/>
        </w:tabs>
      </w:pPr>
      <w:r>
        <w:fldChar w:fldCharType="begin"/>
      </w:r>
      <w:r>
        <w:instrText xml:space="preserve"> HYPERLINK \l _Toc20386 </w:instrText>
      </w:r>
      <w:r>
        <w:fldChar w:fldCharType="separate"/>
      </w:r>
      <w:r>
        <w:rPr>
          <w:rFonts w:hint="eastAsia"/>
          <w:lang w:val="en-US" w:eastAsia="zh-CN"/>
        </w:rPr>
        <w:t>三、</w:t>
      </w:r>
      <w:r>
        <w:rPr>
          <w:rFonts w:hint="eastAsia"/>
        </w:rPr>
        <w:t>售后服务跟踪</w:t>
      </w:r>
      <w:r>
        <w:tab/>
      </w:r>
      <w:r>
        <w:fldChar w:fldCharType="begin"/>
      </w:r>
      <w:r>
        <w:instrText xml:space="preserve"> PAGEREF _Toc20386 \h </w:instrText>
      </w:r>
      <w:r>
        <w:fldChar w:fldCharType="separate"/>
      </w:r>
      <w:r>
        <w:t>380</w:t>
      </w:r>
      <w:r>
        <w:fldChar w:fldCharType="end"/>
      </w:r>
      <w:r>
        <w:fldChar w:fldCharType="end"/>
      </w:r>
    </w:p>
    <w:p>
      <w:pPr>
        <w:pStyle w:val="28"/>
        <w:tabs>
          <w:tab w:val="right" w:leader="dot" w:pos="8306"/>
        </w:tabs>
      </w:pPr>
      <w:r>
        <w:fldChar w:fldCharType="begin"/>
      </w:r>
      <w:r>
        <w:instrText xml:space="preserve"> HYPERLINK \l _Toc18824 </w:instrText>
      </w:r>
      <w:r>
        <w:fldChar w:fldCharType="separate"/>
      </w:r>
      <w:r>
        <w:rPr>
          <w:rFonts w:hint="eastAsia"/>
          <w:lang w:val="en-US" w:eastAsia="zh-CN"/>
        </w:rPr>
        <w:t xml:space="preserve">第四节  </w:t>
      </w:r>
      <w:r>
        <w:t>投诉处理制度</w:t>
      </w:r>
      <w:r>
        <w:tab/>
      </w:r>
      <w:r>
        <w:fldChar w:fldCharType="begin"/>
      </w:r>
      <w:r>
        <w:instrText xml:space="preserve"> PAGEREF _Toc18824 \h </w:instrText>
      </w:r>
      <w:r>
        <w:fldChar w:fldCharType="separate"/>
      </w:r>
      <w:r>
        <w:t>382</w:t>
      </w:r>
      <w:r>
        <w:fldChar w:fldCharType="end"/>
      </w:r>
      <w:r>
        <w:fldChar w:fldCharType="end"/>
      </w:r>
    </w:p>
    <w:p>
      <w:pPr>
        <w:pStyle w:val="20"/>
        <w:tabs>
          <w:tab w:val="right" w:leader="dot" w:pos="8306"/>
        </w:tabs>
      </w:pPr>
      <w:r>
        <w:fldChar w:fldCharType="begin"/>
      </w:r>
      <w:r>
        <w:instrText xml:space="preserve"> HYPERLINK \l _Toc16018 </w:instrText>
      </w:r>
      <w:r>
        <w:fldChar w:fldCharType="separate"/>
      </w:r>
      <w:r>
        <w:rPr>
          <w:rFonts w:hint="eastAsia"/>
        </w:rPr>
        <w:t>一、明确投诉处理的目的</w:t>
      </w:r>
      <w:r>
        <w:tab/>
      </w:r>
      <w:r>
        <w:fldChar w:fldCharType="begin"/>
      </w:r>
      <w:r>
        <w:instrText xml:space="preserve"> PAGEREF _Toc16018 \h </w:instrText>
      </w:r>
      <w:r>
        <w:fldChar w:fldCharType="separate"/>
      </w:r>
      <w:r>
        <w:t>382</w:t>
      </w:r>
      <w:r>
        <w:fldChar w:fldCharType="end"/>
      </w:r>
      <w:r>
        <w:fldChar w:fldCharType="end"/>
      </w:r>
    </w:p>
    <w:p>
      <w:pPr>
        <w:pStyle w:val="20"/>
        <w:tabs>
          <w:tab w:val="right" w:leader="dot" w:pos="8306"/>
        </w:tabs>
      </w:pPr>
      <w:r>
        <w:fldChar w:fldCharType="begin"/>
      </w:r>
      <w:r>
        <w:instrText xml:space="preserve"> HYPERLINK \l _Toc19380 </w:instrText>
      </w:r>
      <w:r>
        <w:fldChar w:fldCharType="separate"/>
      </w:r>
      <w:r>
        <w:rPr>
          <w:rFonts w:hint="eastAsia"/>
        </w:rPr>
        <w:t>二、把握投诉处理的原则</w:t>
      </w:r>
      <w:r>
        <w:tab/>
      </w:r>
      <w:r>
        <w:fldChar w:fldCharType="begin"/>
      </w:r>
      <w:r>
        <w:instrText xml:space="preserve"> PAGEREF _Toc19380 \h </w:instrText>
      </w:r>
      <w:r>
        <w:fldChar w:fldCharType="separate"/>
      </w:r>
      <w:r>
        <w:t>382</w:t>
      </w:r>
      <w:r>
        <w:fldChar w:fldCharType="end"/>
      </w:r>
      <w:r>
        <w:fldChar w:fldCharType="end"/>
      </w:r>
    </w:p>
    <w:p>
      <w:pPr>
        <w:pStyle w:val="20"/>
        <w:tabs>
          <w:tab w:val="right" w:leader="dot" w:pos="8306"/>
        </w:tabs>
      </w:pPr>
      <w:r>
        <w:fldChar w:fldCharType="begin"/>
      </w:r>
      <w:r>
        <w:instrText xml:space="preserve"> HYPERLINK \l _Toc25148 </w:instrText>
      </w:r>
      <w:r>
        <w:fldChar w:fldCharType="separate"/>
      </w:r>
      <w:r>
        <w:rPr>
          <w:rFonts w:hint="eastAsia"/>
        </w:rPr>
        <w:t>三、建立投诉处理小组</w:t>
      </w:r>
      <w:r>
        <w:t></w:t>
      </w:r>
      <w:r>
        <w:tab/>
      </w:r>
      <w:r>
        <w:fldChar w:fldCharType="begin"/>
      </w:r>
      <w:r>
        <w:instrText xml:space="preserve"> PAGEREF _Toc25148 \h </w:instrText>
      </w:r>
      <w:r>
        <w:fldChar w:fldCharType="separate"/>
      </w:r>
      <w:r>
        <w:t>382</w:t>
      </w:r>
      <w:r>
        <w:fldChar w:fldCharType="end"/>
      </w:r>
      <w:r>
        <w:fldChar w:fldCharType="end"/>
      </w:r>
    </w:p>
    <w:p>
      <w:pPr>
        <w:pStyle w:val="20"/>
        <w:tabs>
          <w:tab w:val="right" w:leader="dot" w:pos="8306"/>
        </w:tabs>
      </w:pPr>
      <w:r>
        <w:fldChar w:fldCharType="begin"/>
      </w:r>
      <w:r>
        <w:instrText xml:space="preserve"> HYPERLINK \l _Toc7372 </w:instrText>
      </w:r>
      <w:r>
        <w:fldChar w:fldCharType="separate"/>
      </w:r>
      <w:r>
        <w:rPr>
          <w:rFonts w:hint="eastAsia"/>
        </w:rPr>
        <w:t>四</w:t>
      </w:r>
      <w:r>
        <w:rPr>
          <w:rFonts w:hint="eastAsia"/>
          <w:lang w:eastAsia="zh-CN"/>
        </w:rPr>
        <w:t>、</w:t>
      </w:r>
      <w:r>
        <w:rPr>
          <w:rFonts w:hint="eastAsia"/>
        </w:rPr>
        <w:t>做好投诉记录</w:t>
      </w:r>
      <w:r>
        <w:tab/>
      </w:r>
      <w:r>
        <w:fldChar w:fldCharType="begin"/>
      </w:r>
      <w:r>
        <w:instrText xml:space="preserve"> PAGEREF _Toc7372 \h </w:instrText>
      </w:r>
      <w:r>
        <w:fldChar w:fldCharType="separate"/>
      </w:r>
      <w:r>
        <w:t>383</w:t>
      </w:r>
      <w:r>
        <w:fldChar w:fldCharType="end"/>
      </w:r>
      <w:r>
        <w:fldChar w:fldCharType="end"/>
      </w:r>
    </w:p>
    <w:p>
      <w:pPr>
        <w:pStyle w:val="20"/>
        <w:tabs>
          <w:tab w:val="right" w:leader="dot" w:pos="8306"/>
        </w:tabs>
      </w:pPr>
      <w:r>
        <w:fldChar w:fldCharType="begin"/>
      </w:r>
      <w:r>
        <w:instrText xml:space="preserve"> HYPERLINK \l _Toc2770 </w:instrText>
      </w:r>
      <w:r>
        <w:fldChar w:fldCharType="separate"/>
      </w:r>
      <w:r>
        <w:rPr>
          <w:rFonts w:hint="eastAsia"/>
        </w:rPr>
        <w:t>五</w:t>
      </w:r>
      <w:r>
        <w:rPr>
          <w:rFonts w:hint="eastAsia"/>
          <w:lang w:eastAsia="zh-CN"/>
        </w:rPr>
        <w:t>、</w:t>
      </w:r>
      <w:r>
        <w:rPr>
          <w:rFonts w:hint="eastAsia"/>
        </w:rPr>
        <w:t>提供投诉处理书面文件</w:t>
      </w:r>
      <w:r>
        <w:tab/>
      </w:r>
      <w:r>
        <w:fldChar w:fldCharType="begin"/>
      </w:r>
      <w:r>
        <w:instrText xml:space="preserve"> PAGEREF _Toc2770 \h </w:instrText>
      </w:r>
      <w:r>
        <w:fldChar w:fldCharType="separate"/>
      </w:r>
      <w:r>
        <w:t>384</w:t>
      </w:r>
      <w:r>
        <w:fldChar w:fldCharType="end"/>
      </w:r>
      <w:r>
        <w:fldChar w:fldCharType="end"/>
      </w:r>
    </w:p>
    <w:p>
      <w:pPr>
        <w:pStyle w:val="20"/>
        <w:tabs>
          <w:tab w:val="right" w:leader="dot" w:pos="8306"/>
        </w:tabs>
      </w:pPr>
      <w:r>
        <w:fldChar w:fldCharType="begin"/>
      </w:r>
      <w:r>
        <w:instrText xml:space="preserve"> HYPERLINK \l _Toc24331 </w:instrText>
      </w:r>
      <w:r>
        <w:fldChar w:fldCharType="separate"/>
      </w:r>
      <w:r>
        <w:rPr>
          <w:rFonts w:hint="eastAsia"/>
        </w:rPr>
        <w:t>六</w:t>
      </w:r>
      <w:r>
        <w:rPr>
          <w:rFonts w:hint="eastAsia"/>
          <w:lang w:eastAsia="zh-CN"/>
        </w:rPr>
        <w:t>、</w:t>
      </w:r>
      <w:r>
        <w:rPr>
          <w:rFonts w:hint="eastAsia"/>
        </w:rPr>
        <w:t>处理的最佳步骤</w:t>
      </w:r>
      <w:r>
        <w:tab/>
      </w:r>
      <w:r>
        <w:fldChar w:fldCharType="begin"/>
      </w:r>
      <w:r>
        <w:instrText xml:space="preserve"> PAGEREF _Toc24331 \h </w:instrText>
      </w:r>
      <w:r>
        <w:fldChar w:fldCharType="separate"/>
      </w:r>
      <w:r>
        <w:t>384</w:t>
      </w:r>
      <w:r>
        <w:fldChar w:fldCharType="end"/>
      </w:r>
      <w:r>
        <w:fldChar w:fldCharType="end"/>
      </w:r>
    </w:p>
    <w:p>
      <w:pPr>
        <w:pStyle w:val="20"/>
        <w:tabs>
          <w:tab w:val="right" w:leader="dot" w:pos="8306"/>
        </w:tabs>
      </w:pPr>
      <w:r>
        <w:fldChar w:fldCharType="begin"/>
      </w:r>
      <w:r>
        <w:instrText xml:space="preserve"> HYPERLINK \l _Toc24880 </w:instrText>
      </w:r>
      <w:r>
        <w:fldChar w:fldCharType="separate"/>
      </w:r>
      <w:r>
        <w:rPr>
          <w:rFonts w:hint="eastAsia"/>
        </w:rPr>
        <w:t>七</w:t>
      </w:r>
      <w:r>
        <w:rPr>
          <w:rFonts w:hint="eastAsia"/>
          <w:lang w:eastAsia="zh-CN"/>
        </w:rPr>
        <w:t>、</w:t>
      </w:r>
      <w:r>
        <w:rPr>
          <w:rFonts w:hint="eastAsia"/>
        </w:rPr>
        <w:t>处理的方法</w:t>
      </w:r>
      <w:r>
        <w:tab/>
      </w:r>
      <w:r>
        <w:fldChar w:fldCharType="begin"/>
      </w:r>
      <w:r>
        <w:instrText xml:space="preserve"> PAGEREF _Toc24880 \h </w:instrText>
      </w:r>
      <w:r>
        <w:fldChar w:fldCharType="separate"/>
      </w:r>
      <w:r>
        <w:t>385</w:t>
      </w:r>
      <w:r>
        <w:fldChar w:fldCharType="end"/>
      </w:r>
      <w:r>
        <w:fldChar w:fldCharType="end"/>
      </w:r>
    </w:p>
    <w:p>
      <w:pPr>
        <w:pStyle w:val="20"/>
        <w:tabs>
          <w:tab w:val="right" w:leader="dot" w:pos="8306"/>
        </w:tabs>
      </w:pPr>
      <w:r>
        <w:fldChar w:fldCharType="begin"/>
      </w:r>
      <w:r>
        <w:instrText xml:space="preserve"> HYPERLINK \l _Toc4418 </w:instrText>
      </w:r>
      <w:r>
        <w:fldChar w:fldCharType="separate"/>
      </w:r>
      <w:r>
        <w:rPr>
          <w:rFonts w:hint="eastAsia"/>
        </w:rPr>
        <w:t>八</w:t>
      </w:r>
      <w:r>
        <w:rPr>
          <w:rFonts w:hint="eastAsia"/>
          <w:lang w:eastAsia="zh-CN"/>
        </w:rPr>
        <w:t>、</w:t>
      </w:r>
      <w:r>
        <w:rPr>
          <w:rFonts w:hint="eastAsia"/>
        </w:rPr>
        <w:t>投诉调查</w:t>
      </w:r>
      <w:r>
        <w:tab/>
      </w:r>
      <w:r>
        <w:fldChar w:fldCharType="begin"/>
      </w:r>
      <w:r>
        <w:instrText xml:space="preserve"> PAGEREF _Toc4418 \h </w:instrText>
      </w:r>
      <w:r>
        <w:fldChar w:fldCharType="separate"/>
      </w:r>
      <w:r>
        <w:t>385</w:t>
      </w:r>
      <w:r>
        <w:fldChar w:fldCharType="end"/>
      </w:r>
      <w:r>
        <w:fldChar w:fldCharType="end"/>
      </w:r>
    </w:p>
    <w:p>
      <w:pPr>
        <w:pStyle w:val="28"/>
        <w:tabs>
          <w:tab w:val="right" w:leader="dot" w:pos="8306"/>
        </w:tabs>
      </w:pPr>
      <w:r>
        <w:fldChar w:fldCharType="begin"/>
      </w:r>
      <w:r>
        <w:instrText xml:space="preserve"> HYPERLINK \l _Toc1212 </w:instrText>
      </w:r>
      <w:r>
        <w:fldChar w:fldCharType="separate"/>
      </w:r>
      <w:r>
        <w:rPr>
          <w:rFonts w:hint="eastAsia"/>
          <w:lang w:val="en-US" w:eastAsia="zh-CN"/>
        </w:rPr>
        <w:t xml:space="preserve">第五节  </w:t>
      </w:r>
      <w:r>
        <w:t>售后服务团队的配置</w:t>
      </w:r>
      <w:r>
        <w:tab/>
      </w:r>
      <w:r>
        <w:fldChar w:fldCharType="begin"/>
      </w:r>
      <w:r>
        <w:instrText xml:space="preserve"> PAGEREF _Toc1212 \h </w:instrText>
      </w:r>
      <w:r>
        <w:fldChar w:fldCharType="separate"/>
      </w:r>
      <w:r>
        <w:t>388</w:t>
      </w:r>
      <w:r>
        <w:fldChar w:fldCharType="end"/>
      </w:r>
      <w:r>
        <w:fldChar w:fldCharType="end"/>
      </w:r>
    </w:p>
    <w:p>
      <w:pPr>
        <w:pStyle w:val="20"/>
        <w:tabs>
          <w:tab w:val="right" w:leader="dot" w:pos="8306"/>
        </w:tabs>
      </w:pPr>
      <w:r>
        <w:fldChar w:fldCharType="begin"/>
      </w:r>
      <w:r>
        <w:instrText xml:space="preserve"> HYPERLINK \l _Toc27055 </w:instrText>
      </w:r>
      <w:r>
        <w:fldChar w:fldCharType="separate"/>
      </w:r>
      <w:r>
        <w:rPr>
          <w:rFonts w:hint="eastAsia"/>
          <w:lang w:val="en-US" w:eastAsia="zh-CN"/>
        </w:rPr>
        <w:t>一、</w:t>
      </w:r>
      <w:r>
        <w:rPr>
          <w:rFonts w:hint="eastAsia"/>
        </w:rPr>
        <w:t>售后人员和售后团队</w:t>
      </w:r>
      <w:r>
        <w:tab/>
      </w:r>
      <w:r>
        <w:fldChar w:fldCharType="begin"/>
      </w:r>
      <w:r>
        <w:instrText xml:space="preserve"> PAGEREF _Toc27055 \h </w:instrText>
      </w:r>
      <w:r>
        <w:fldChar w:fldCharType="separate"/>
      </w:r>
      <w:r>
        <w:t>388</w:t>
      </w:r>
      <w:r>
        <w:fldChar w:fldCharType="end"/>
      </w:r>
      <w:r>
        <w:fldChar w:fldCharType="end"/>
      </w:r>
    </w:p>
    <w:p>
      <w:pPr>
        <w:pStyle w:val="20"/>
        <w:tabs>
          <w:tab w:val="right" w:leader="dot" w:pos="8306"/>
        </w:tabs>
      </w:pPr>
      <w:r>
        <w:fldChar w:fldCharType="begin"/>
      </w:r>
      <w:r>
        <w:instrText xml:space="preserve"> HYPERLINK \l _Toc23907 </w:instrText>
      </w:r>
      <w:r>
        <w:fldChar w:fldCharType="separate"/>
      </w:r>
      <w:r>
        <w:rPr>
          <w:rFonts w:hint="eastAsia"/>
          <w:lang w:val="en-US" w:eastAsia="zh-CN"/>
        </w:rPr>
        <w:t>二、</w:t>
      </w:r>
      <w:r>
        <w:rPr>
          <w:rFonts w:hint="eastAsia"/>
        </w:rPr>
        <w:t>售后人员职责分工明确</w:t>
      </w:r>
      <w:r>
        <w:tab/>
      </w:r>
      <w:r>
        <w:fldChar w:fldCharType="begin"/>
      </w:r>
      <w:r>
        <w:instrText xml:space="preserve"> PAGEREF _Toc23907 \h </w:instrText>
      </w:r>
      <w:r>
        <w:fldChar w:fldCharType="separate"/>
      </w:r>
      <w:r>
        <w:t>390</w:t>
      </w:r>
      <w:r>
        <w:fldChar w:fldCharType="end"/>
      </w:r>
      <w:r>
        <w:fldChar w:fldCharType="end"/>
      </w:r>
    </w:p>
    <w:p>
      <w:pPr>
        <w:pStyle w:val="28"/>
        <w:tabs>
          <w:tab w:val="right" w:leader="dot" w:pos="8306"/>
        </w:tabs>
      </w:pPr>
      <w:r>
        <w:fldChar w:fldCharType="begin"/>
      </w:r>
      <w:r>
        <w:instrText xml:space="preserve"> HYPERLINK \l _Toc14474 </w:instrText>
      </w:r>
      <w:r>
        <w:fldChar w:fldCharType="separate"/>
      </w:r>
      <w:r>
        <w:rPr>
          <w:rFonts w:hint="eastAsia"/>
          <w:lang w:val="en-US" w:eastAsia="zh-CN"/>
        </w:rPr>
        <w:t xml:space="preserve">第六节  </w:t>
      </w:r>
      <w:r>
        <w:t>违约责任的承诺</w:t>
      </w:r>
      <w:r>
        <w:tab/>
      </w:r>
      <w:r>
        <w:fldChar w:fldCharType="begin"/>
      </w:r>
      <w:r>
        <w:instrText xml:space="preserve"> PAGEREF _Toc14474 \h </w:instrText>
      </w:r>
      <w:r>
        <w:fldChar w:fldCharType="separate"/>
      </w:r>
      <w:r>
        <w:t>393</w:t>
      </w:r>
      <w:r>
        <w:fldChar w:fldCharType="end"/>
      </w:r>
      <w:r>
        <w:fldChar w:fldCharType="end"/>
      </w:r>
    </w:p>
    <w:p>
      <w:pPr>
        <w:pStyle w:val="28"/>
        <w:tabs>
          <w:tab w:val="right" w:leader="dot" w:pos="8306"/>
        </w:tabs>
      </w:pPr>
      <w:r>
        <w:fldChar w:fldCharType="begin"/>
      </w:r>
      <w:r>
        <w:instrText xml:space="preserve"> HYPERLINK \l _Toc27258 </w:instrText>
      </w:r>
      <w:r>
        <w:fldChar w:fldCharType="separate"/>
      </w:r>
      <w:r>
        <w:rPr>
          <w:rFonts w:hint="eastAsia"/>
          <w:lang w:val="en-US" w:eastAsia="zh-CN"/>
        </w:rPr>
        <w:t xml:space="preserve">第七节  </w:t>
      </w:r>
      <w:r>
        <w:rPr>
          <w:rFonts w:hint="eastAsia"/>
        </w:rPr>
        <w:t>技术培训</w:t>
      </w:r>
      <w:r>
        <w:tab/>
      </w:r>
      <w:r>
        <w:fldChar w:fldCharType="begin"/>
      </w:r>
      <w:r>
        <w:instrText xml:space="preserve"> PAGEREF _Toc27258 \h </w:instrText>
      </w:r>
      <w:r>
        <w:fldChar w:fldCharType="separate"/>
      </w:r>
      <w:r>
        <w:t>398</w:t>
      </w:r>
      <w:r>
        <w:fldChar w:fldCharType="end"/>
      </w:r>
      <w:r>
        <w:fldChar w:fldCharType="end"/>
      </w:r>
    </w:p>
    <w:p>
      <w:pPr>
        <w:pStyle w:val="26"/>
        <w:tabs>
          <w:tab w:val="right" w:leader="dot" w:pos="8306"/>
        </w:tabs>
      </w:pPr>
      <w:r>
        <w:fldChar w:fldCharType="begin"/>
      </w:r>
      <w:r>
        <w:instrText xml:space="preserve"> HYPERLINK \l _Toc6125 </w:instrText>
      </w:r>
      <w:r>
        <w:fldChar w:fldCharType="separate"/>
      </w:r>
      <w:r>
        <w:rPr>
          <w:rFonts w:hint="eastAsia" w:cs="Times New Roman"/>
          <w:bCs/>
          <w:kern w:val="2"/>
          <w:szCs w:val="28"/>
          <w:lang w:val="en-US" w:eastAsia="zh-CN" w:bidi="ar-SA"/>
        </w:rPr>
        <w:t>一</w:t>
      </w:r>
      <w:r>
        <w:rPr>
          <w:rFonts w:hint="default" w:ascii="Cambria" w:hAnsi="Cambria" w:eastAsia="微软雅黑" w:cs="Times New Roman"/>
          <w:bCs/>
          <w:kern w:val="2"/>
          <w:szCs w:val="28"/>
          <w:lang w:val="en-US" w:eastAsia="zh-CN" w:bidi="ar-SA"/>
        </w:rPr>
        <w:t>、</w:t>
      </w:r>
      <w:r>
        <w:rPr>
          <w:rFonts w:hint="eastAsia"/>
        </w:rPr>
        <w:t>技术培训指导</w:t>
      </w:r>
      <w:r>
        <w:tab/>
      </w:r>
      <w:r>
        <w:fldChar w:fldCharType="begin"/>
      </w:r>
      <w:r>
        <w:instrText xml:space="preserve"> PAGEREF _Toc6125 \h </w:instrText>
      </w:r>
      <w:r>
        <w:fldChar w:fldCharType="separate"/>
      </w:r>
      <w:r>
        <w:t>398</w:t>
      </w:r>
      <w:r>
        <w:fldChar w:fldCharType="end"/>
      </w:r>
      <w:r>
        <w:fldChar w:fldCharType="end"/>
      </w:r>
    </w:p>
    <w:p>
      <w:pPr>
        <w:pStyle w:val="26"/>
        <w:tabs>
          <w:tab w:val="right" w:leader="dot" w:pos="8306"/>
        </w:tabs>
      </w:pPr>
      <w:r>
        <w:fldChar w:fldCharType="begin"/>
      </w:r>
      <w:r>
        <w:instrText xml:space="preserve"> HYPERLINK \l _Toc23933 </w:instrText>
      </w:r>
      <w:r>
        <w:fldChar w:fldCharType="separate"/>
      </w:r>
      <w:r>
        <w:rPr>
          <w:rFonts w:hint="eastAsia" w:cs="Times New Roman"/>
          <w:bCs/>
          <w:kern w:val="2"/>
          <w:szCs w:val="28"/>
          <w:lang w:val="en-US" w:eastAsia="zh-CN" w:bidi="ar-SA"/>
        </w:rPr>
        <w:t>二</w:t>
      </w:r>
      <w:r>
        <w:rPr>
          <w:rFonts w:hint="default" w:ascii="Cambria" w:hAnsi="Cambria" w:eastAsia="微软雅黑" w:cs="Times New Roman"/>
          <w:bCs/>
          <w:kern w:val="2"/>
          <w:szCs w:val="28"/>
          <w:lang w:val="en-US" w:eastAsia="zh-CN" w:bidi="ar-SA"/>
        </w:rPr>
        <w:t>、</w:t>
      </w:r>
      <w:r>
        <w:rPr>
          <w:rFonts w:hint="eastAsia"/>
        </w:rPr>
        <w:t>培训计划</w:t>
      </w:r>
      <w:r>
        <w:tab/>
      </w:r>
      <w:r>
        <w:fldChar w:fldCharType="begin"/>
      </w:r>
      <w:r>
        <w:instrText xml:space="preserve"> PAGEREF _Toc23933 \h </w:instrText>
      </w:r>
      <w:r>
        <w:fldChar w:fldCharType="separate"/>
      </w:r>
      <w:r>
        <w:t>399</w:t>
      </w:r>
      <w:r>
        <w:fldChar w:fldCharType="end"/>
      </w:r>
      <w:r>
        <w:fldChar w:fldCharType="end"/>
      </w:r>
    </w:p>
    <w:p>
      <w:pPr>
        <w:pStyle w:val="26"/>
        <w:tabs>
          <w:tab w:val="right" w:leader="dot" w:pos="8306"/>
        </w:tabs>
      </w:pPr>
      <w:r>
        <w:fldChar w:fldCharType="begin"/>
      </w:r>
      <w:r>
        <w:instrText xml:space="preserve"> HYPERLINK \l _Toc7168 </w:instrText>
      </w:r>
      <w:r>
        <w:fldChar w:fldCharType="separate"/>
      </w:r>
      <w:r>
        <w:rPr>
          <w:rFonts w:hint="eastAsia" w:cs="Times New Roman"/>
          <w:bCs/>
          <w:kern w:val="2"/>
          <w:szCs w:val="28"/>
          <w:lang w:val="en-US" w:eastAsia="zh-CN" w:bidi="ar-SA"/>
        </w:rPr>
        <w:t>三</w:t>
      </w:r>
      <w:r>
        <w:rPr>
          <w:rFonts w:hint="default" w:ascii="Cambria" w:hAnsi="Cambria" w:eastAsia="微软雅黑" w:cs="Times New Roman"/>
          <w:bCs/>
          <w:kern w:val="2"/>
          <w:szCs w:val="28"/>
          <w:lang w:val="en-US" w:eastAsia="zh-CN" w:bidi="ar-SA"/>
        </w:rPr>
        <w:t>、</w:t>
      </w:r>
      <w:r>
        <w:rPr>
          <w:rFonts w:hint="eastAsia"/>
        </w:rPr>
        <w:t>建立健全培训台账</w:t>
      </w:r>
      <w:r>
        <w:tab/>
      </w:r>
      <w:r>
        <w:fldChar w:fldCharType="begin"/>
      </w:r>
      <w:r>
        <w:instrText xml:space="preserve"> PAGEREF _Toc7168 \h </w:instrText>
      </w:r>
      <w:r>
        <w:fldChar w:fldCharType="separate"/>
      </w:r>
      <w:r>
        <w:t>399</w:t>
      </w:r>
      <w:r>
        <w:fldChar w:fldCharType="end"/>
      </w:r>
      <w:r>
        <w:fldChar w:fldCharType="end"/>
      </w:r>
    </w:p>
    <w:p>
      <w:pPr>
        <w:pStyle w:val="26"/>
        <w:tabs>
          <w:tab w:val="right" w:leader="dot" w:pos="8306"/>
        </w:tabs>
      </w:pPr>
      <w:r>
        <w:fldChar w:fldCharType="begin"/>
      </w:r>
      <w:r>
        <w:instrText xml:space="preserve"> HYPERLINK \l _Toc2061 </w:instrText>
      </w:r>
      <w:r>
        <w:fldChar w:fldCharType="separate"/>
      </w:r>
      <w:r>
        <w:rPr>
          <w:rFonts w:hint="eastAsia" w:cs="Times New Roman"/>
          <w:bCs/>
          <w:kern w:val="2"/>
          <w:szCs w:val="28"/>
          <w:lang w:val="en-US" w:eastAsia="zh-CN" w:bidi="ar-SA"/>
        </w:rPr>
        <w:t>四</w:t>
      </w:r>
      <w:r>
        <w:rPr>
          <w:rFonts w:hint="default" w:ascii="Cambria" w:hAnsi="Cambria" w:eastAsia="微软雅黑" w:cs="Times New Roman"/>
          <w:bCs/>
          <w:kern w:val="2"/>
          <w:szCs w:val="28"/>
          <w:lang w:val="en-US" w:eastAsia="zh-CN" w:bidi="ar-SA"/>
        </w:rPr>
        <w:t>、</w:t>
      </w:r>
      <w:r>
        <w:rPr>
          <w:rFonts w:hint="eastAsia"/>
        </w:rPr>
        <w:t>培训地点及方式</w:t>
      </w:r>
      <w:r>
        <w:tab/>
      </w:r>
      <w:r>
        <w:fldChar w:fldCharType="begin"/>
      </w:r>
      <w:r>
        <w:instrText xml:space="preserve"> PAGEREF _Toc2061 \h </w:instrText>
      </w:r>
      <w:r>
        <w:fldChar w:fldCharType="separate"/>
      </w:r>
      <w:r>
        <w:t>400</w:t>
      </w:r>
      <w:r>
        <w:fldChar w:fldCharType="end"/>
      </w:r>
      <w:r>
        <w:fldChar w:fldCharType="end"/>
      </w:r>
    </w:p>
    <w:p>
      <w:pPr>
        <w:pStyle w:val="26"/>
        <w:tabs>
          <w:tab w:val="right" w:leader="dot" w:pos="8306"/>
        </w:tabs>
      </w:pPr>
      <w:r>
        <w:fldChar w:fldCharType="begin"/>
      </w:r>
      <w:r>
        <w:instrText xml:space="preserve"> HYPERLINK \l _Toc3478 </w:instrText>
      </w:r>
      <w:r>
        <w:fldChar w:fldCharType="separate"/>
      </w:r>
      <w:r>
        <w:rPr>
          <w:rFonts w:hint="eastAsia" w:cs="Times New Roman"/>
          <w:bCs/>
          <w:kern w:val="2"/>
          <w:szCs w:val="28"/>
          <w:lang w:val="en-US" w:eastAsia="zh-CN" w:bidi="ar-SA"/>
        </w:rPr>
        <w:t>五</w:t>
      </w:r>
      <w:r>
        <w:rPr>
          <w:rFonts w:hint="default" w:ascii="Cambria" w:hAnsi="Cambria" w:eastAsia="微软雅黑" w:cs="Times New Roman"/>
          <w:bCs/>
          <w:kern w:val="2"/>
          <w:szCs w:val="28"/>
          <w:lang w:val="en-US" w:eastAsia="zh-CN" w:bidi="ar-SA"/>
        </w:rPr>
        <w:t>、</w:t>
      </w:r>
      <w:r>
        <w:rPr>
          <w:rFonts w:hint="eastAsia"/>
        </w:rPr>
        <w:t>培训内容</w:t>
      </w:r>
      <w:r>
        <w:tab/>
      </w:r>
      <w:r>
        <w:fldChar w:fldCharType="begin"/>
      </w:r>
      <w:r>
        <w:instrText xml:space="preserve"> PAGEREF _Toc3478 \h </w:instrText>
      </w:r>
      <w:r>
        <w:fldChar w:fldCharType="separate"/>
      </w:r>
      <w:r>
        <w:t>400</w:t>
      </w:r>
      <w:r>
        <w:fldChar w:fldCharType="end"/>
      </w:r>
      <w:r>
        <w:fldChar w:fldCharType="end"/>
      </w:r>
    </w:p>
    <w:p>
      <w:pPr>
        <w:pStyle w:val="19"/>
        <w:tabs>
          <w:tab w:val="right" w:leader="dot" w:pos="8306"/>
        </w:tabs>
      </w:pPr>
      <w:r>
        <w:fldChar w:fldCharType="begin"/>
      </w:r>
      <w:r>
        <w:instrText xml:space="preserve"> HYPERLINK \l _Toc7835 </w:instrText>
      </w:r>
      <w:r>
        <w:fldChar w:fldCharType="separate"/>
      </w:r>
      <w:r>
        <w:rPr>
          <w:rFonts w:hint="eastAsia"/>
          <w:lang w:eastAsia="zh-CN"/>
        </w:rPr>
        <w:t>（</w:t>
      </w:r>
      <w:r>
        <w:rPr>
          <w:rFonts w:hint="eastAsia"/>
          <w:lang w:val="en-US" w:eastAsia="zh-CN"/>
        </w:rPr>
        <w:t>一</w:t>
      </w:r>
      <w:r>
        <w:rPr>
          <w:rFonts w:hint="eastAsia"/>
          <w:lang w:eastAsia="zh-CN"/>
        </w:rPr>
        <w:t>）</w:t>
      </w:r>
      <w:r>
        <w:rPr>
          <w:rFonts w:hint="eastAsia"/>
        </w:rPr>
        <w:t>有机肥的作用</w:t>
      </w:r>
      <w:r>
        <w:tab/>
      </w:r>
      <w:r>
        <w:fldChar w:fldCharType="begin"/>
      </w:r>
      <w:r>
        <w:instrText xml:space="preserve"> PAGEREF _Toc7835 \h </w:instrText>
      </w:r>
      <w:r>
        <w:fldChar w:fldCharType="separate"/>
      </w:r>
      <w:r>
        <w:t>400</w:t>
      </w:r>
      <w:r>
        <w:fldChar w:fldCharType="end"/>
      </w:r>
      <w:r>
        <w:fldChar w:fldCharType="end"/>
      </w:r>
    </w:p>
    <w:p>
      <w:pPr>
        <w:pStyle w:val="19"/>
        <w:tabs>
          <w:tab w:val="right" w:leader="dot" w:pos="8306"/>
        </w:tabs>
      </w:pPr>
      <w:r>
        <w:fldChar w:fldCharType="begin"/>
      </w:r>
      <w:r>
        <w:instrText xml:space="preserve"> HYPERLINK \l _Toc19100 </w:instrText>
      </w:r>
      <w:r>
        <w:fldChar w:fldCharType="separate"/>
      </w:r>
      <w:r>
        <w:rPr>
          <w:rFonts w:hint="eastAsia"/>
          <w:lang w:eastAsia="zh-CN"/>
        </w:rPr>
        <w:t>（</w:t>
      </w:r>
      <w:r>
        <w:rPr>
          <w:rFonts w:hint="eastAsia"/>
          <w:lang w:val="en-US" w:eastAsia="zh-CN"/>
        </w:rPr>
        <w:t>二</w:t>
      </w:r>
      <w:r>
        <w:rPr>
          <w:rFonts w:hint="eastAsia"/>
          <w:lang w:eastAsia="zh-CN"/>
        </w:rPr>
        <w:t>）</w:t>
      </w:r>
      <w:r>
        <w:rPr>
          <w:rFonts w:hint="eastAsia"/>
        </w:rPr>
        <w:t>有机肥的使用方法</w:t>
      </w:r>
      <w:r>
        <w:tab/>
      </w:r>
      <w:r>
        <w:fldChar w:fldCharType="begin"/>
      </w:r>
      <w:r>
        <w:instrText xml:space="preserve"> PAGEREF _Toc19100 \h </w:instrText>
      </w:r>
      <w:r>
        <w:fldChar w:fldCharType="separate"/>
      </w:r>
      <w:r>
        <w:t>408</w:t>
      </w:r>
      <w:r>
        <w:fldChar w:fldCharType="end"/>
      </w:r>
      <w:r>
        <w:fldChar w:fldCharType="end"/>
      </w:r>
    </w:p>
    <w:p>
      <w:pPr>
        <w:pStyle w:val="19"/>
        <w:tabs>
          <w:tab w:val="right" w:leader="dot" w:pos="8306"/>
        </w:tabs>
      </w:pPr>
      <w:r>
        <w:fldChar w:fldCharType="begin"/>
      </w:r>
      <w:r>
        <w:instrText xml:space="preserve"> HYPERLINK \l _Toc7581 </w:instrText>
      </w:r>
      <w:r>
        <w:fldChar w:fldCharType="separate"/>
      </w:r>
      <w:r>
        <w:rPr>
          <w:rFonts w:hint="eastAsia"/>
          <w:lang w:eastAsia="zh-CN"/>
        </w:rPr>
        <w:t>（</w:t>
      </w:r>
      <w:r>
        <w:rPr>
          <w:rFonts w:hint="eastAsia"/>
          <w:lang w:val="en-US" w:eastAsia="zh-CN"/>
        </w:rPr>
        <w:t>三</w:t>
      </w:r>
      <w:r>
        <w:rPr>
          <w:rFonts w:hint="eastAsia"/>
          <w:lang w:eastAsia="zh-CN"/>
        </w:rPr>
        <w:t>）</w:t>
      </w:r>
      <w:r>
        <w:rPr>
          <w:rFonts w:hint="eastAsia"/>
        </w:rPr>
        <w:t>肥料的使用原理</w:t>
      </w:r>
      <w:r>
        <w:tab/>
      </w:r>
      <w:r>
        <w:fldChar w:fldCharType="begin"/>
      </w:r>
      <w:r>
        <w:instrText xml:space="preserve"> PAGEREF _Toc7581 \h </w:instrText>
      </w:r>
      <w:r>
        <w:fldChar w:fldCharType="separate"/>
      </w:r>
      <w:r>
        <w:t>411</w:t>
      </w:r>
      <w:r>
        <w:fldChar w:fldCharType="end"/>
      </w:r>
      <w:r>
        <w:fldChar w:fldCharType="end"/>
      </w:r>
    </w:p>
    <w:p>
      <w:pPr>
        <w:pStyle w:val="19"/>
        <w:tabs>
          <w:tab w:val="right" w:leader="dot" w:pos="8306"/>
        </w:tabs>
      </w:pPr>
      <w:r>
        <w:fldChar w:fldCharType="begin"/>
      </w:r>
      <w:r>
        <w:instrText xml:space="preserve"> HYPERLINK \l _Toc771 </w:instrText>
      </w:r>
      <w:r>
        <w:fldChar w:fldCharType="separate"/>
      </w:r>
      <w:r>
        <w:rPr>
          <w:rFonts w:hint="eastAsia"/>
          <w:lang w:eastAsia="zh-CN"/>
        </w:rPr>
        <w:t>（</w:t>
      </w:r>
      <w:r>
        <w:rPr>
          <w:rFonts w:hint="eastAsia"/>
          <w:lang w:val="en-US" w:eastAsia="zh-CN"/>
        </w:rPr>
        <w:t>四</w:t>
      </w:r>
      <w:r>
        <w:rPr>
          <w:rFonts w:hint="eastAsia"/>
          <w:lang w:eastAsia="zh-CN"/>
        </w:rPr>
        <w:t>）</w:t>
      </w:r>
      <w:r>
        <w:rPr>
          <w:rFonts w:hint="eastAsia"/>
        </w:rPr>
        <w:t>肥料合理使用的方法与技术</w:t>
      </w:r>
      <w:r>
        <w:tab/>
      </w:r>
      <w:r>
        <w:fldChar w:fldCharType="begin"/>
      </w:r>
      <w:r>
        <w:instrText xml:space="preserve"> PAGEREF _Toc771 \h </w:instrText>
      </w:r>
      <w:r>
        <w:fldChar w:fldCharType="separate"/>
      </w:r>
      <w:r>
        <w:t>421</w:t>
      </w:r>
      <w:r>
        <w:fldChar w:fldCharType="end"/>
      </w:r>
      <w:r>
        <w:fldChar w:fldCharType="end"/>
      </w:r>
    </w:p>
    <w:p>
      <w:pPr>
        <w:pStyle w:val="19"/>
        <w:tabs>
          <w:tab w:val="right" w:leader="dot" w:pos="8306"/>
        </w:tabs>
      </w:pPr>
      <w:r>
        <w:fldChar w:fldCharType="begin"/>
      </w:r>
      <w:r>
        <w:instrText xml:space="preserve"> HYPERLINK \l _Toc19781 </w:instrText>
      </w:r>
      <w:r>
        <w:fldChar w:fldCharType="separate"/>
      </w:r>
      <w:r>
        <w:rPr>
          <w:rFonts w:hint="eastAsia"/>
          <w:lang w:eastAsia="zh-CN"/>
        </w:rPr>
        <w:t>（</w:t>
      </w:r>
      <w:r>
        <w:rPr>
          <w:rFonts w:hint="eastAsia"/>
          <w:lang w:val="en-US" w:eastAsia="zh-CN"/>
        </w:rPr>
        <w:t>五</w:t>
      </w:r>
      <w:r>
        <w:rPr>
          <w:rFonts w:hint="eastAsia"/>
          <w:lang w:eastAsia="zh-CN"/>
        </w:rPr>
        <w:t>）</w:t>
      </w:r>
      <w:r>
        <w:rPr>
          <w:rFonts w:hint="eastAsia"/>
        </w:rPr>
        <w:t>有机肥的种类</w:t>
      </w:r>
      <w:r>
        <w:tab/>
      </w:r>
      <w:r>
        <w:fldChar w:fldCharType="begin"/>
      </w:r>
      <w:r>
        <w:instrText xml:space="preserve"> PAGEREF _Toc19781 \h </w:instrText>
      </w:r>
      <w:r>
        <w:fldChar w:fldCharType="separate"/>
      </w:r>
      <w:r>
        <w:t>423</w:t>
      </w:r>
      <w:r>
        <w:fldChar w:fldCharType="end"/>
      </w:r>
      <w:r>
        <w:fldChar w:fldCharType="end"/>
      </w:r>
    </w:p>
    <w:p>
      <w:pPr>
        <w:pStyle w:val="19"/>
        <w:tabs>
          <w:tab w:val="right" w:leader="dot" w:pos="8306"/>
        </w:tabs>
      </w:pPr>
      <w:r>
        <w:fldChar w:fldCharType="begin"/>
      </w:r>
      <w:r>
        <w:instrText xml:space="preserve"> HYPERLINK \l _Toc32278 </w:instrText>
      </w:r>
      <w:r>
        <w:fldChar w:fldCharType="separate"/>
      </w:r>
      <w:r>
        <w:rPr>
          <w:rFonts w:hint="eastAsia"/>
          <w:lang w:eastAsia="zh-CN"/>
        </w:rPr>
        <w:t>（</w:t>
      </w:r>
      <w:r>
        <w:rPr>
          <w:rFonts w:hint="eastAsia"/>
          <w:lang w:val="en-US" w:eastAsia="zh-CN"/>
        </w:rPr>
        <w:t>六</w:t>
      </w:r>
      <w:r>
        <w:rPr>
          <w:rFonts w:hint="eastAsia"/>
          <w:lang w:eastAsia="zh-CN"/>
        </w:rPr>
        <w:t>）</w:t>
      </w:r>
      <w:r>
        <w:rPr>
          <w:rFonts w:hint="eastAsia"/>
        </w:rPr>
        <w:t>肥料的使用注意事项</w:t>
      </w:r>
      <w:r>
        <w:tab/>
      </w:r>
      <w:r>
        <w:fldChar w:fldCharType="begin"/>
      </w:r>
      <w:r>
        <w:instrText xml:space="preserve"> PAGEREF _Toc32278 \h </w:instrText>
      </w:r>
      <w:r>
        <w:fldChar w:fldCharType="separate"/>
      </w:r>
      <w:r>
        <w:t>436</w:t>
      </w:r>
      <w:r>
        <w:fldChar w:fldCharType="end"/>
      </w:r>
      <w:r>
        <w:fldChar w:fldCharType="end"/>
      </w:r>
    </w:p>
    <w:p>
      <w:pPr>
        <w:pStyle w:val="19"/>
        <w:tabs>
          <w:tab w:val="right" w:leader="dot" w:pos="8306"/>
        </w:tabs>
      </w:pPr>
      <w:r>
        <w:fldChar w:fldCharType="begin"/>
      </w:r>
      <w:r>
        <w:instrText xml:space="preserve"> HYPERLINK \l _Toc13 </w:instrText>
      </w:r>
      <w:r>
        <w:fldChar w:fldCharType="separate"/>
      </w:r>
      <w:r>
        <w:rPr>
          <w:rFonts w:hint="eastAsia"/>
          <w:lang w:eastAsia="zh-CN"/>
        </w:rPr>
        <w:t>（</w:t>
      </w:r>
      <w:r>
        <w:rPr>
          <w:rFonts w:hint="eastAsia"/>
          <w:lang w:val="en-US" w:eastAsia="zh-CN"/>
        </w:rPr>
        <w:t>七</w:t>
      </w:r>
      <w:r>
        <w:rPr>
          <w:rFonts w:hint="eastAsia"/>
          <w:lang w:eastAsia="zh-CN"/>
        </w:rPr>
        <w:t>）</w:t>
      </w:r>
      <w:r>
        <w:rPr>
          <w:rFonts w:hint="eastAsia"/>
        </w:rPr>
        <w:t>植物所需的营养元素</w:t>
      </w:r>
      <w:r>
        <w:tab/>
      </w:r>
      <w:r>
        <w:fldChar w:fldCharType="begin"/>
      </w:r>
      <w:r>
        <w:instrText xml:space="preserve"> PAGEREF _Toc13 \h </w:instrText>
      </w:r>
      <w:r>
        <w:fldChar w:fldCharType="separate"/>
      </w:r>
      <w:r>
        <w:t>444</w:t>
      </w:r>
      <w:r>
        <w:fldChar w:fldCharType="end"/>
      </w:r>
      <w:r>
        <w:fldChar w:fldCharType="end"/>
      </w:r>
    </w:p>
    <w:p>
      <w:pPr>
        <w:pStyle w:val="19"/>
        <w:tabs>
          <w:tab w:val="right" w:leader="dot" w:pos="8306"/>
        </w:tabs>
      </w:pPr>
      <w:r>
        <w:fldChar w:fldCharType="begin"/>
      </w:r>
      <w:r>
        <w:instrText xml:space="preserve"> HYPERLINK \l _Toc13141 </w:instrText>
      </w:r>
      <w:r>
        <w:fldChar w:fldCharType="separate"/>
      </w:r>
      <w:r>
        <w:rPr>
          <w:rFonts w:hint="eastAsia"/>
          <w:lang w:eastAsia="zh-CN"/>
        </w:rPr>
        <w:t>（</w:t>
      </w:r>
      <w:r>
        <w:rPr>
          <w:rFonts w:hint="eastAsia"/>
          <w:lang w:val="en-US" w:eastAsia="zh-CN"/>
        </w:rPr>
        <w:t>八</w:t>
      </w:r>
      <w:r>
        <w:rPr>
          <w:rFonts w:hint="eastAsia"/>
          <w:lang w:eastAsia="zh-CN"/>
        </w:rPr>
        <w:t>）</w:t>
      </w:r>
      <w:r>
        <w:rPr>
          <w:rFonts w:hint="eastAsia"/>
        </w:rPr>
        <w:t>有机肥鉴别</w:t>
      </w:r>
      <w:r>
        <w:tab/>
      </w:r>
      <w:r>
        <w:fldChar w:fldCharType="begin"/>
      </w:r>
      <w:r>
        <w:instrText xml:space="preserve"> PAGEREF _Toc13141 \h </w:instrText>
      </w:r>
      <w:r>
        <w:fldChar w:fldCharType="separate"/>
      </w:r>
      <w:r>
        <w:t>460</w:t>
      </w:r>
      <w:r>
        <w:fldChar w:fldCharType="end"/>
      </w:r>
      <w:r>
        <w:fldChar w:fldCharType="end"/>
      </w:r>
    </w:p>
    <w:p>
      <w:pPr>
        <w:pStyle w:val="19"/>
        <w:tabs>
          <w:tab w:val="right" w:leader="dot" w:pos="8306"/>
        </w:tabs>
      </w:pPr>
      <w:r>
        <w:fldChar w:fldCharType="begin"/>
      </w:r>
      <w:r>
        <w:instrText xml:space="preserve"> HYPERLINK \l _Toc19103 </w:instrText>
      </w:r>
      <w:r>
        <w:fldChar w:fldCharType="separate"/>
      </w:r>
      <w:r>
        <w:rPr>
          <w:rFonts w:hint="eastAsia"/>
          <w:lang w:eastAsia="zh-CN"/>
        </w:rPr>
        <w:t>（</w:t>
      </w:r>
      <w:r>
        <w:rPr>
          <w:rFonts w:hint="eastAsia"/>
          <w:lang w:val="en-US" w:eastAsia="zh-CN"/>
        </w:rPr>
        <w:t>九</w:t>
      </w:r>
      <w:r>
        <w:rPr>
          <w:rFonts w:hint="eastAsia"/>
          <w:lang w:eastAsia="zh-CN"/>
        </w:rPr>
        <w:t>）</w:t>
      </w:r>
      <w:r>
        <w:rPr>
          <w:rFonts w:hint="eastAsia"/>
        </w:rPr>
        <w:t>有机肥的特点</w:t>
      </w:r>
      <w:r>
        <w:tab/>
      </w:r>
      <w:r>
        <w:fldChar w:fldCharType="begin"/>
      </w:r>
      <w:r>
        <w:instrText xml:space="preserve"> PAGEREF _Toc19103 \h </w:instrText>
      </w:r>
      <w:r>
        <w:fldChar w:fldCharType="separate"/>
      </w:r>
      <w:r>
        <w:t>462</w:t>
      </w:r>
      <w:r>
        <w:fldChar w:fldCharType="end"/>
      </w:r>
      <w:r>
        <w:fldChar w:fldCharType="end"/>
      </w:r>
    </w:p>
    <w:p>
      <w:r>
        <w:fldChar w:fldCharType="end"/>
      </w:r>
    </w:p>
    <w:p>
      <w:pPr>
        <w:rPr>
          <w:rFonts w:hint="eastAsia"/>
          <w:lang w:val="en-US" w:eastAsia="zh-CN"/>
        </w:rPr>
      </w:pPr>
      <w:r>
        <w:rPr>
          <w:rFonts w:hint="eastAsia"/>
          <w:lang w:val="en-US" w:eastAsia="zh-CN"/>
        </w:rPr>
        <w:br w:type="page"/>
      </w:r>
    </w:p>
    <w:p>
      <w:pPr>
        <w:pStyle w:val="3"/>
        <w:bidi w:val="0"/>
      </w:pPr>
      <w:bookmarkStart w:id="1" w:name="_Toc5114"/>
      <w:r>
        <w:rPr>
          <w:rFonts w:hint="eastAsia"/>
          <w:lang w:val="en-US" w:eastAsia="zh-CN"/>
        </w:rPr>
        <w:t xml:space="preserve">第一章  </w:t>
      </w:r>
      <w:r>
        <w:rPr>
          <w:rFonts w:hint="eastAsia"/>
        </w:rPr>
        <w:t>项目实施方案</w:t>
      </w:r>
      <w:bookmarkEnd w:id="0"/>
      <w:bookmarkEnd w:id="1"/>
    </w:p>
    <w:p>
      <w:pPr>
        <w:pStyle w:val="4"/>
        <w:bidi w:val="0"/>
      </w:pPr>
      <w:bookmarkStart w:id="2" w:name="_Toc116226153"/>
      <w:bookmarkStart w:id="3" w:name="_Toc118293183"/>
      <w:bookmarkStart w:id="4" w:name="_Toc27060"/>
      <w:bookmarkStart w:id="5" w:name="_Toc117181859"/>
      <w:r>
        <w:rPr>
          <w:rFonts w:hint="eastAsia"/>
          <w:lang w:val="en-US" w:eastAsia="zh-CN"/>
        </w:rPr>
        <w:t xml:space="preserve">第一节  </w:t>
      </w:r>
      <w:r>
        <w:rPr>
          <w:rFonts w:hint="eastAsia"/>
        </w:rPr>
        <w:t>项目整体服务设想</w:t>
      </w:r>
      <w:bookmarkEnd w:id="2"/>
      <w:bookmarkEnd w:id="3"/>
      <w:bookmarkEnd w:id="4"/>
      <w:bookmarkEnd w:id="5"/>
    </w:p>
    <w:p>
      <w:pPr>
        <w:pStyle w:val="5"/>
        <w:bidi w:val="0"/>
      </w:pPr>
      <w:bookmarkStart w:id="6" w:name="_Toc116226154"/>
      <w:bookmarkStart w:id="7" w:name="_Toc115352596"/>
      <w:bookmarkStart w:id="8" w:name="_Toc118293184"/>
      <w:bookmarkStart w:id="9" w:name="_Toc117181860"/>
      <w:bookmarkStart w:id="10" w:name="_Toc26184"/>
      <w:r>
        <w:rPr>
          <w:rFonts w:hint="eastAsia"/>
          <w:lang w:val="en-US" w:eastAsia="zh-CN"/>
        </w:rPr>
        <w:t>一、</w:t>
      </w:r>
      <w:r>
        <w:rPr>
          <w:rFonts w:hint="eastAsia"/>
        </w:rPr>
        <w:t>服务理念</w:t>
      </w:r>
      <w:bookmarkEnd w:id="6"/>
      <w:bookmarkEnd w:id="7"/>
      <w:bookmarkEnd w:id="8"/>
      <w:bookmarkEnd w:id="9"/>
      <w:bookmarkEnd w:id="10"/>
    </w:p>
    <w:p>
      <w:pPr>
        <w:ind w:firstLine="480"/>
      </w:pPr>
      <w:r>
        <w:rPr>
          <w:rFonts w:hint="eastAsia"/>
        </w:rPr>
        <w:t>我公司自成立以来，一直秉承“以合理的价格，完善的服务，为客户提供优质的货物”的经营理念，通过不断创新，来满足我们所服务的客户的潜在需求，通过不断努力，使公司逐步走向规范化、流程化、科学化。</w:t>
      </w:r>
    </w:p>
    <w:p>
      <w:pPr>
        <w:ind w:firstLine="480"/>
      </w:pPr>
      <w:r>
        <w:rPr>
          <w:rFonts w:hint="eastAsia"/>
          <w:lang w:eastAsia="zh-CN"/>
        </w:rPr>
        <w:t>（</w:t>
      </w:r>
      <w:r>
        <w:rPr>
          <w:rFonts w:hint="eastAsia"/>
          <w:lang w:val="en-US" w:eastAsia="zh-CN"/>
        </w:rPr>
        <w:t>一</w:t>
      </w:r>
      <w:r>
        <w:rPr>
          <w:rFonts w:hint="eastAsia"/>
          <w:lang w:eastAsia="zh-CN"/>
        </w:rPr>
        <w:t>）</w:t>
      </w:r>
      <w:r>
        <w:t>我们的宗旨：热情服务、细致周到、持之以恒、精益求精。</w:t>
      </w:r>
    </w:p>
    <w:p>
      <w:pPr>
        <w:ind w:firstLine="480"/>
      </w:pPr>
      <w:r>
        <w:rPr>
          <w:rFonts w:hint="eastAsia"/>
          <w:lang w:eastAsia="zh-CN"/>
        </w:rPr>
        <w:t>（</w:t>
      </w:r>
      <w:r>
        <w:rPr>
          <w:rFonts w:hint="eastAsia"/>
          <w:lang w:val="en-US" w:eastAsia="zh-CN"/>
        </w:rPr>
        <w:t>二</w:t>
      </w:r>
      <w:r>
        <w:rPr>
          <w:rFonts w:hint="eastAsia"/>
          <w:lang w:eastAsia="zh-CN"/>
        </w:rPr>
        <w:t>）</w:t>
      </w:r>
      <w:r>
        <w:t>我们的方针：一切为客户着想，努力为客户分忧。</w:t>
      </w:r>
    </w:p>
    <w:p>
      <w:pPr>
        <w:ind w:firstLine="480"/>
      </w:pPr>
      <w:r>
        <w:rPr>
          <w:rFonts w:hint="eastAsia"/>
          <w:lang w:eastAsia="zh-CN"/>
        </w:rPr>
        <w:t>（</w:t>
      </w:r>
      <w:r>
        <w:rPr>
          <w:rFonts w:hint="eastAsia"/>
          <w:lang w:val="en-US" w:eastAsia="zh-CN"/>
        </w:rPr>
        <w:t>三</w:t>
      </w:r>
      <w:r>
        <w:rPr>
          <w:rFonts w:hint="eastAsia"/>
          <w:lang w:eastAsia="zh-CN"/>
        </w:rPr>
        <w:t>）</w:t>
      </w:r>
      <w:r>
        <w:t>我们的追求：用我们的诚心、专心，换取客户的放心。</w:t>
      </w:r>
    </w:p>
    <w:p>
      <w:pPr>
        <w:ind w:firstLine="480"/>
      </w:pPr>
      <w:r>
        <w:rPr>
          <w:rFonts w:hint="eastAsia"/>
          <w:lang w:eastAsia="zh-CN"/>
        </w:rPr>
        <w:t>（</w:t>
      </w:r>
      <w:r>
        <w:rPr>
          <w:rFonts w:hint="eastAsia"/>
          <w:lang w:val="en-US" w:eastAsia="zh-CN"/>
        </w:rPr>
        <w:t>四</w:t>
      </w:r>
      <w:r>
        <w:rPr>
          <w:rFonts w:hint="eastAsia"/>
          <w:lang w:eastAsia="zh-CN"/>
        </w:rPr>
        <w:t>）</w:t>
      </w:r>
      <w:r>
        <w:t>我们的责任：贴心服务，让客户无后顾之忧。</w:t>
      </w:r>
    </w:p>
    <w:p>
      <w:pPr>
        <w:pStyle w:val="5"/>
        <w:bidi w:val="0"/>
      </w:pPr>
      <w:bookmarkStart w:id="11" w:name="_Toc3186"/>
      <w:bookmarkStart w:id="12" w:name="_Toc116226155"/>
      <w:bookmarkStart w:id="13" w:name="_Toc115352597"/>
      <w:bookmarkStart w:id="14" w:name="_Toc117181861"/>
      <w:bookmarkStart w:id="15" w:name="_Toc118293185"/>
      <w:r>
        <w:rPr>
          <w:rFonts w:hint="eastAsia"/>
          <w:lang w:val="en-US" w:eastAsia="zh-CN"/>
        </w:rPr>
        <w:t>二、</w:t>
      </w:r>
      <w:r>
        <w:rPr>
          <w:rFonts w:hint="eastAsia"/>
        </w:rPr>
        <w:t>质量理念</w:t>
      </w:r>
      <w:bookmarkEnd w:id="11"/>
      <w:bookmarkEnd w:id="12"/>
      <w:bookmarkEnd w:id="13"/>
      <w:bookmarkEnd w:id="14"/>
      <w:bookmarkEnd w:id="15"/>
    </w:p>
    <w:p>
      <w:pPr>
        <w:ind w:firstLine="480"/>
      </w:pPr>
      <w:r>
        <w:rPr>
          <w:rFonts w:hint="eastAsia"/>
        </w:rPr>
        <w:t>公司始终坚持“质量第一，客户第一，信誉第一”的原则，以质量求生存，以信誉求发展，在生产经营中一贯坚持按国家标准来认真要求自己，以保证产品质量及客户的利益。在此我们郑重声明：</w:t>
      </w:r>
    </w:p>
    <w:p>
      <w:pPr>
        <w:ind w:firstLine="480"/>
      </w:pPr>
      <w:r>
        <w:rPr>
          <w:rFonts w:hint="eastAsia"/>
          <w:lang w:eastAsia="zh-CN"/>
        </w:rPr>
        <w:t>（</w:t>
      </w:r>
      <w:r>
        <w:rPr>
          <w:rFonts w:hint="eastAsia"/>
          <w:lang w:val="en-US" w:eastAsia="zh-CN"/>
        </w:rPr>
        <w:t>一</w:t>
      </w:r>
      <w:r>
        <w:rPr>
          <w:rFonts w:hint="eastAsia"/>
          <w:lang w:eastAsia="zh-CN"/>
        </w:rPr>
        <w:t>）</w:t>
      </w:r>
      <w:r>
        <w:t>本公司产品及其包装和运输完全符合国家行业标准及客户所要求的本厂标准。</w:t>
      </w:r>
    </w:p>
    <w:p>
      <w:pPr>
        <w:ind w:firstLine="480"/>
      </w:pPr>
      <w:r>
        <w:rPr>
          <w:rFonts w:hint="eastAsia"/>
          <w:lang w:eastAsia="zh-CN"/>
        </w:rPr>
        <w:t>（</w:t>
      </w:r>
      <w:r>
        <w:rPr>
          <w:rFonts w:hint="eastAsia"/>
          <w:lang w:val="en-US" w:eastAsia="zh-CN"/>
        </w:rPr>
        <w:t>二</w:t>
      </w:r>
      <w:r>
        <w:rPr>
          <w:rFonts w:hint="eastAsia"/>
          <w:lang w:eastAsia="zh-CN"/>
        </w:rPr>
        <w:t>）</w:t>
      </w:r>
      <w:r>
        <w:t>按照合同约定执行货物包装运输，一般情况24小时内到货，特殊情况12小时或双方商议，由我公司负责在规定的期限内送到采购方指定地点，以保证及时充足的供应。</w:t>
      </w:r>
    </w:p>
    <w:p>
      <w:pPr>
        <w:ind w:firstLine="480"/>
      </w:pPr>
      <w:r>
        <w:rPr>
          <w:rFonts w:hint="eastAsia"/>
          <w:lang w:eastAsia="zh-CN"/>
        </w:rPr>
        <w:t>（</w:t>
      </w:r>
      <w:r>
        <w:rPr>
          <w:rFonts w:hint="eastAsia"/>
          <w:lang w:val="en-US" w:eastAsia="zh-CN"/>
        </w:rPr>
        <w:t>三</w:t>
      </w:r>
      <w:r>
        <w:rPr>
          <w:rFonts w:hint="eastAsia"/>
          <w:lang w:eastAsia="zh-CN"/>
        </w:rPr>
        <w:t>）</w:t>
      </w:r>
      <w:r>
        <w:t>本公司保证所供应的产品为完全符合国家行业标准及客户所要求的本厂标准，并且是全新的，对质量完全负责，否则买方有权终止合同。</w:t>
      </w:r>
    </w:p>
    <w:p>
      <w:pPr>
        <w:ind w:firstLine="480"/>
      </w:pPr>
      <w:r>
        <w:rPr>
          <w:rFonts w:hint="eastAsia"/>
          <w:lang w:eastAsia="zh-CN"/>
        </w:rPr>
        <w:t>（</w:t>
      </w:r>
      <w:r>
        <w:rPr>
          <w:rFonts w:hint="eastAsia"/>
          <w:lang w:val="en-US" w:eastAsia="zh-CN"/>
        </w:rPr>
        <w:t>四</w:t>
      </w:r>
      <w:r>
        <w:rPr>
          <w:rFonts w:hint="eastAsia"/>
          <w:lang w:eastAsia="zh-CN"/>
        </w:rPr>
        <w:t>）</w:t>
      </w:r>
      <w:r>
        <w:t>产品全部实行三级质量检验制度：</w:t>
      </w:r>
    </w:p>
    <w:p>
      <w:pPr>
        <w:ind w:firstLine="480"/>
      </w:pPr>
      <w:r>
        <w:rPr>
          <w:rFonts w:hint="eastAsia"/>
          <w:lang w:val="en-US" w:eastAsia="zh-CN"/>
        </w:rPr>
        <w:t>1、</w:t>
      </w:r>
      <w:r>
        <w:t>原材料进厂检验。</w:t>
      </w:r>
    </w:p>
    <w:p>
      <w:pPr>
        <w:ind w:firstLine="480"/>
      </w:pPr>
      <w:r>
        <w:rPr>
          <w:rFonts w:hint="eastAsia"/>
          <w:lang w:val="en-US" w:eastAsia="zh-CN"/>
        </w:rPr>
        <w:t>2、</w:t>
      </w:r>
      <w:r>
        <w:t>生产车间生产检验。</w:t>
      </w:r>
    </w:p>
    <w:p>
      <w:pPr>
        <w:ind w:firstLine="480"/>
      </w:pPr>
      <w:r>
        <w:rPr>
          <w:rFonts w:hint="eastAsia"/>
          <w:lang w:val="en-US" w:eastAsia="zh-CN"/>
        </w:rPr>
        <w:t>3、</w:t>
      </w:r>
      <w:r>
        <w:t>成品入库、出库检验。</w:t>
      </w:r>
    </w:p>
    <w:p>
      <w:pPr>
        <w:ind w:firstLine="480"/>
      </w:pPr>
      <w:r>
        <w:rPr>
          <w:rFonts w:hint="eastAsia"/>
          <w:lang w:val="en-US" w:eastAsia="zh-CN"/>
        </w:rPr>
        <w:t>4、</w:t>
      </w:r>
      <w:r>
        <w:t>所提供的产品在保证正确使用的情况下，在产品的</w:t>
      </w:r>
      <w:r>
        <w:rPr>
          <w:rFonts w:hint="eastAsia"/>
        </w:rPr>
        <w:t>保质期</w:t>
      </w:r>
      <w:r>
        <w:t>内，我公司承担因产品质量问题导致的直接经济损失。</w:t>
      </w:r>
    </w:p>
    <w:p>
      <w:pPr>
        <w:pStyle w:val="5"/>
        <w:bidi w:val="0"/>
      </w:pPr>
      <w:bookmarkStart w:id="16" w:name="_Toc117181862"/>
      <w:bookmarkStart w:id="17" w:name="_Toc116226156"/>
      <w:bookmarkStart w:id="18" w:name="_Toc115352598"/>
      <w:bookmarkStart w:id="19" w:name="_Toc118293186"/>
      <w:bookmarkStart w:id="20" w:name="_Toc18099"/>
      <w:r>
        <w:rPr>
          <w:rFonts w:hint="eastAsia"/>
          <w:lang w:val="en-US" w:eastAsia="zh-CN"/>
        </w:rPr>
        <w:t>三、</w:t>
      </w:r>
      <w:r>
        <w:rPr>
          <w:rFonts w:hint="eastAsia"/>
        </w:rPr>
        <w:t>管理理念</w:t>
      </w:r>
      <w:bookmarkEnd w:id="16"/>
      <w:bookmarkEnd w:id="17"/>
      <w:bookmarkEnd w:id="18"/>
      <w:bookmarkEnd w:id="19"/>
      <w:bookmarkEnd w:id="20"/>
    </w:p>
    <w:p>
      <w:pPr>
        <w:ind w:firstLine="560" w:firstLineChars="200"/>
      </w:pPr>
      <w:r>
        <w:rPr>
          <w:rFonts w:hint="eastAsia"/>
          <w:lang w:eastAsia="zh-CN"/>
        </w:rPr>
        <w:t>（</w:t>
      </w:r>
      <w:r>
        <w:rPr>
          <w:rFonts w:hint="eastAsia"/>
          <w:lang w:val="en-US" w:eastAsia="zh-CN"/>
        </w:rPr>
        <w:t>一</w:t>
      </w:r>
      <w:r>
        <w:rPr>
          <w:rFonts w:hint="eastAsia"/>
          <w:lang w:eastAsia="zh-CN"/>
        </w:rPr>
        <w:t>）</w:t>
      </w:r>
      <w:r>
        <w:t>积极倡导</w:t>
      </w:r>
      <w:r>
        <w:rPr>
          <w:rFonts w:hint="eastAsia"/>
          <w:lang w:eastAsia="zh-CN"/>
        </w:rPr>
        <w:t>“</w:t>
      </w:r>
      <w:r>
        <w:t>管理和项目质量息息相关</w:t>
      </w:r>
      <w:r>
        <w:rPr>
          <w:rFonts w:hint="eastAsia"/>
          <w:lang w:eastAsia="zh-CN"/>
        </w:rPr>
        <w:t>”</w:t>
      </w:r>
      <w:r>
        <w:t>的理念。因此，必须要对公司的基本状况、组织结构、经营理念、运作模式都有比较全面透彻地了解和认识，使公司全体员工的政策理论水平和管理技能都要有稳定而明显的提升。在不断提高全体工作人员素质的同时，创造条件、灵活运用、采取多种方式，在公司内部形成爱学习、敬岗位、讲团结、比成效的良好氛围。</w:t>
      </w:r>
    </w:p>
    <w:p>
      <w:pPr>
        <w:ind w:firstLine="560" w:firstLineChars="200"/>
      </w:pPr>
      <w:r>
        <w:rPr>
          <w:rFonts w:hint="eastAsia"/>
          <w:lang w:eastAsia="zh-CN"/>
        </w:rPr>
        <w:t>（</w:t>
      </w:r>
      <w:r>
        <w:rPr>
          <w:rFonts w:hint="eastAsia"/>
          <w:lang w:val="en-US" w:eastAsia="zh-CN"/>
        </w:rPr>
        <w:t>二</w:t>
      </w:r>
      <w:r>
        <w:rPr>
          <w:rFonts w:hint="eastAsia"/>
          <w:lang w:eastAsia="zh-CN"/>
        </w:rPr>
        <w:t>）</w:t>
      </w:r>
      <w:r>
        <w:t>尤其是在本次</w:t>
      </w:r>
      <w:r>
        <w:rPr>
          <w:rFonts w:hint="eastAsia"/>
        </w:rPr>
        <w:t>生物有机肥</w:t>
      </w:r>
      <w:r>
        <w:t>采购项目中，其必须依照有关法律、法规、政策及服务合同赋予的权力和责任行使职权和承担责任，实施对秩序的管理。没有管理，项目质量就无法得以保障，项目人员的一举一动，一言一行，每时每刻无不代表着公司的形象，影响着公司的声誉。因此，我们必须明确，管理是手段，工作质量才是目的，通过有效的管理，保证本次工作的圆满完成。</w:t>
      </w:r>
    </w:p>
    <w:p>
      <w:pPr>
        <w:spacing w:before="0" w:after="0" w:line="240" w:lineRule="auto"/>
        <w:ind w:firstLine="0" w:firstLineChars="0"/>
        <w:jc w:val="left"/>
      </w:pPr>
      <w:r>
        <w:br w:type="page"/>
      </w:r>
    </w:p>
    <w:p>
      <w:pPr>
        <w:pStyle w:val="5"/>
        <w:bidi w:val="0"/>
      </w:pPr>
      <w:bookmarkStart w:id="21" w:name="_Toc115352599"/>
      <w:bookmarkStart w:id="22" w:name="_Toc117181863"/>
      <w:bookmarkStart w:id="23" w:name="_Toc20577"/>
      <w:bookmarkStart w:id="24" w:name="_Toc116226157"/>
      <w:bookmarkStart w:id="25" w:name="_Toc118293187"/>
      <w:r>
        <w:rPr>
          <w:rFonts w:hint="eastAsia"/>
          <w:lang w:val="en-US" w:eastAsia="zh-CN"/>
        </w:rPr>
        <w:t>四、</w:t>
      </w:r>
      <w:r>
        <w:rPr>
          <w:rFonts w:hint="eastAsia"/>
        </w:rPr>
        <w:t>生产理念</w:t>
      </w:r>
      <w:bookmarkEnd w:id="21"/>
      <w:bookmarkEnd w:id="22"/>
      <w:bookmarkEnd w:id="23"/>
      <w:bookmarkEnd w:id="24"/>
      <w:bookmarkEnd w:id="25"/>
    </w:p>
    <w:p>
      <w:pPr>
        <w:ind w:firstLine="480"/>
      </w:pPr>
      <w:r>
        <w:rPr>
          <w:rFonts w:hint="eastAsia"/>
          <w:lang w:eastAsia="zh-CN"/>
        </w:rPr>
        <w:t>（</w:t>
      </w:r>
      <w:r>
        <w:rPr>
          <w:rFonts w:hint="eastAsia"/>
          <w:lang w:val="en-US" w:eastAsia="zh-CN"/>
        </w:rPr>
        <w:t>一</w:t>
      </w:r>
      <w:r>
        <w:rPr>
          <w:rFonts w:hint="eastAsia"/>
          <w:lang w:eastAsia="zh-CN"/>
        </w:rPr>
        <w:t>）</w:t>
      </w:r>
      <w:r>
        <w:t>坚持精益生产的工作思想：坚持精益生产的工作思想，有效地利用各种资源、降低生产成本，具体表现在需要的时间和地点，生产必要数量和完美质量的产品，以杜绝超量生产，消除无效劳动和浪费，达到用最少的投入实现最大产出的效果。</w:t>
      </w:r>
    </w:p>
    <w:p>
      <w:pPr>
        <w:ind w:firstLine="480"/>
      </w:pPr>
      <w:r>
        <w:rPr>
          <w:rFonts w:hint="eastAsia"/>
          <w:lang w:eastAsia="zh-CN"/>
        </w:rPr>
        <w:t>（</w:t>
      </w:r>
      <w:r>
        <w:rPr>
          <w:rFonts w:hint="eastAsia"/>
          <w:lang w:val="en-US" w:eastAsia="zh-CN"/>
        </w:rPr>
        <w:t>二</w:t>
      </w:r>
      <w:r>
        <w:rPr>
          <w:rFonts w:hint="eastAsia"/>
          <w:lang w:eastAsia="zh-CN"/>
        </w:rPr>
        <w:t>）</w:t>
      </w:r>
      <w:r>
        <w:t>坚持生产现场6S管理方法：生产6S管理，包括整理、整顿、清扫、清洁、素养</w:t>
      </w:r>
      <w:r>
        <w:rPr>
          <w:rFonts w:hint="eastAsia"/>
        </w:rPr>
        <w:t>、安全六</w:t>
      </w:r>
      <w:r>
        <w:t>个要素，又是企业生产管理中常用的一种方法。6S管理是指在生产现场中对人员、机器、材料、方法、环境、信息等生产要素展开相应的整理、整顿、清扫、清洁、素养</w:t>
      </w:r>
      <w:r>
        <w:rPr>
          <w:rFonts w:hint="eastAsia"/>
        </w:rPr>
        <w:t>、安全六</w:t>
      </w:r>
      <w:r>
        <w:t>项活动，使生产现场达到最佳的状态。6S活动对于塑造提升企业形象、降低生产成本、准时交货、安全生产、实行严格的标准化、创造完美的工作场所等现场改善方面的巨大作用逐渐被各国管理学界所认识。在</w:t>
      </w:r>
      <w:r>
        <w:rPr>
          <w:rFonts w:hint="eastAsia"/>
        </w:rPr>
        <w:t>肥料</w:t>
      </w:r>
      <w:r>
        <w:t>生产现场</w:t>
      </w:r>
      <w:r>
        <w:rPr>
          <w:rFonts w:hint="eastAsia"/>
        </w:rPr>
        <w:t>6</w:t>
      </w:r>
      <w:r>
        <w:t>S管理办法，可以提高工作和生产效率、改善产品质量、保障企业生产安全、降低生产成本</w:t>
      </w:r>
      <w:r>
        <w:rPr>
          <w:rFonts w:hint="eastAsia"/>
        </w:rPr>
        <w:t>、缩短生产周期，保证交货期、改善员工面貌，提高企业的形象。</w:t>
      </w:r>
    </w:p>
    <w:p>
      <w:pPr>
        <w:pStyle w:val="52"/>
      </w:pPr>
      <w:bookmarkStart w:id="26" w:name="_Toc116028561"/>
      <w:r>
        <w:rPr>
          <w:rFonts w:hint="eastAsia"/>
        </w:rPr>
        <w:t>生产现场</w:t>
      </w:r>
      <w:r>
        <w:t>6S管理工作检查办法及考核标准</w:t>
      </w:r>
      <w:bookmarkEnd w:id="26"/>
    </w:p>
    <w:tbl>
      <w:tblPr>
        <w:tblStyle w:val="54"/>
        <w:tblW w:w="83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522"/>
        <w:gridCol w:w="2126"/>
        <w:gridCol w:w="851"/>
        <w:gridCol w:w="3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45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spacing w:line="240" w:lineRule="auto"/>
              <w:rPr>
                <w:b/>
                <w:bCs w:val="0"/>
                <w:color w:val="000000"/>
              </w:rPr>
            </w:pPr>
            <w:r>
              <w:rPr>
                <w:b/>
                <w:bCs w:val="0"/>
                <w:color w:val="000000"/>
              </w:rPr>
              <w:t>序号</w:t>
            </w:r>
          </w:p>
        </w:tc>
        <w:tc>
          <w:tcPr>
            <w:tcW w:w="1522"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spacing w:line="240" w:lineRule="auto"/>
              <w:rPr>
                <w:b/>
                <w:bCs w:val="0"/>
                <w:color w:val="000000"/>
              </w:rPr>
            </w:pPr>
            <w:r>
              <w:rPr>
                <w:b/>
                <w:bCs w:val="0"/>
                <w:color w:val="000000"/>
              </w:rPr>
              <w:t>工作目标</w:t>
            </w:r>
          </w:p>
        </w:tc>
        <w:tc>
          <w:tcPr>
            <w:tcW w:w="21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spacing w:line="240" w:lineRule="auto"/>
              <w:rPr>
                <w:b/>
                <w:bCs w:val="0"/>
                <w:color w:val="000000"/>
              </w:rPr>
            </w:pPr>
            <w:r>
              <w:rPr>
                <w:b/>
                <w:bCs w:val="0"/>
                <w:color w:val="000000"/>
              </w:rPr>
              <w:t>工作标准</w:t>
            </w:r>
          </w:p>
        </w:tc>
        <w:tc>
          <w:tcPr>
            <w:tcW w:w="85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spacing w:line="240" w:lineRule="auto"/>
              <w:rPr>
                <w:b w:val="0"/>
                <w:bCs/>
                <w:color w:val="000000"/>
              </w:rPr>
            </w:pPr>
            <w:r>
              <w:rPr>
                <w:b/>
                <w:bCs w:val="0"/>
                <w:color w:val="000000"/>
              </w:rPr>
              <w:t>本项分值</w:t>
            </w:r>
          </w:p>
        </w:tc>
        <w:tc>
          <w:tcPr>
            <w:tcW w:w="33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spacing w:line="240" w:lineRule="auto"/>
              <w:rPr>
                <w:b/>
                <w:bCs w:val="0"/>
                <w:color w:val="000000"/>
              </w:rPr>
            </w:pPr>
            <w:r>
              <w:rPr>
                <w:b/>
                <w:bCs w:val="0"/>
                <w:color w:val="000000"/>
              </w:rPr>
              <w:t>检查办法及考核标准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8"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rPr>
            </w:pPr>
            <w:r>
              <w:rPr>
                <w:b/>
                <w:bCs w:val="0"/>
                <w:color w:val="000000"/>
              </w:rPr>
              <w:t>1S</w:t>
            </w:r>
          </w:p>
          <w:p>
            <w:pPr>
              <w:pStyle w:val="53"/>
              <w:rPr>
                <w:b/>
                <w:bCs w:val="0"/>
                <w:color w:val="000000"/>
              </w:rPr>
            </w:pPr>
            <w:r>
              <w:rPr>
                <w:b/>
                <w:bCs w:val="0"/>
                <w:color w:val="000000"/>
              </w:rPr>
              <w:t>整</w:t>
            </w:r>
          </w:p>
          <w:p>
            <w:pPr>
              <w:pStyle w:val="53"/>
              <w:rPr>
                <w:b/>
                <w:bCs w:val="0"/>
                <w:color w:val="000000"/>
              </w:rPr>
            </w:pPr>
            <w:r>
              <w:rPr>
                <w:b/>
                <w:bCs w:val="0"/>
                <w:color w:val="000000"/>
              </w:rPr>
              <w:t>理</w:t>
            </w:r>
          </w:p>
        </w:tc>
        <w:tc>
          <w:tcPr>
            <w:tcW w:w="1522"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color w:val="000000"/>
              </w:rPr>
              <w:t>区分开有必要用、没有必要用的物品，将不用的清除掉。腾出空间，活用空间，防止误用，塑造清爽的工作场所。</w:t>
            </w:r>
          </w:p>
        </w:tc>
        <w:tc>
          <w:tcPr>
            <w:tcW w:w="212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color w:val="000000"/>
              </w:rPr>
              <w:t>创造良好的劳动环境，形成摆放整齐，现场无杂物，减少搬运作业时间，提高劳动效率。</w:t>
            </w:r>
          </w:p>
          <w:p>
            <w:pPr>
              <w:pStyle w:val="53"/>
              <w:rPr>
                <w:color w:val="000000"/>
              </w:rPr>
            </w:pPr>
            <w:r>
              <w:rPr>
                <w:color w:val="000000"/>
              </w:rPr>
              <w:t>1、对生产现场物品进行全面清理整顿。确认有用和无用物品，将无用物品清除，腾空可用空间。</w:t>
            </w:r>
          </w:p>
          <w:p>
            <w:pPr>
              <w:pStyle w:val="53"/>
              <w:rPr>
                <w:color w:val="000000"/>
              </w:rPr>
            </w:pPr>
            <w:r>
              <w:rPr>
                <w:color w:val="000000"/>
              </w:rPr>
              <w:t>2、操作工日常使用的工卡量器具和个人物品实行动性定置管理，做到规范有序。</w:t>
            </w:r>
          </w:p>
          <w:p>
            <w:pPr>
              <w:pStyle w:val="53"/>
              <w:rPr>
                <w:color w:val="000000"/>
              </w:rPr>
            </w:pPr>
            <w:r>
              <w:rPr>
                <w:color w:val="000000"/>
              </w:rPr>
              <w:t>3、设备要定期点检、保养维护。交接班时清洁设备，确保设备运转良好。</w:t>
            </w:r>
          </w:p>
          <w:p>
            <w:pPr>
              <w:pStyle w:val="53"/>
              <w:rPr>
                <w:color w:val="000000"/>
              </w:rPr>
            </w:pPr>
            <w:r>
              <w:rPr>
                <w:color w:val="000000"/>
              </w:rPr>
              <w:t>4、机台周边无杂物、废料。班组操作人员定期对设备、工具橱进行清理检查，清除无用杂物、废料。</w:t>
            </w:r>
          </w:p>
        </w:tc>
        <w:tc>
          <w:tcPr>
            <w:tcW w:w="85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color w:val="000000"/>
              </w:rPr>
              <w:t>10</w:t>
            </w:r>
          </w:p>
          <w:p>
            <w:pPr>
              <w:pStyle w:val="53"/>
              <w:rPr>
                <w:color w:val="000000"/>
              </w:rPr>
            </w:pPr>
            <w:r>
              <w:rPr>
                <w:color w:val="000000"/>
              </w:rPr>
              <w:t>分</w:t>
            </w:r>
          </w:p>
        </w:tc>
        <w:tc>
          <w:tcPr>
            <w:tcW w:w="33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color w:val="000000"/>
              </w:rPr>
              <w:t>1、检查生产现场的物品摆放情况。现场是否存在有用、无用物品混放，物品是否摆放整齐。物品混放、摆放不整齐，发现一处，扣0.5分。小项分扣完为止。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8"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rPr>
            </w:pPr>
          </w:p>
        </w:tc>
        <w:tc>
          <w:tcPr>
            <w:tcW w:w="1522"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212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851"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33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color w:val="000000"/>
              </w:rPr>
              <w:t>2、检查劳动现场，是否有杂物、废物、油污、垃圾。发现一处，扣0.5分。小项分扣完为止。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8"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rPr>
            </w:pPr>
          </w:p>
        </w:tc>
        <w:tc>
          <w:tcPr>
            <w:tcW w:w="1522"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212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851"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33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color w:val="000000"/>
              </w:rPr>
              <w:t>3、检查设备保养记录和点检记录。查设备是否清洁，上下班、交接班是否清洁设备。单台设备未进行定期保养、点检，发现一台扣0.2分，设备未清理保洁，发现一处，扣0.5分。小项分扣完为止。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8"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rPr>
            </w:pPr>
          </w:p>
        </w:tc>
        <w:tc>
          <w:tcPr>
            <w:tcW w:w="1522"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212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851"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33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color w:val="000000"/>
              </w:rPr>
              <w:t>4、检查劳动环境。查设备、配电柜、工具橱周边是否存有废杂物品、垃圾、个人物品。发现一处，扣0.5分。小项分扣完为止。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8"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rPr>
            </w:pPr>
          </w:p>
        </w:tc>
        <w:tc>
          <w:tcPr>
            <w:tcW w:w="1522"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212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851"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33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color w:val="000000"/>
              </w:rPr>
              <w:t>5、操作工工具橱内无杂物，摆放整齐。发现存有杂物和不整齐，扣0.5分。小项分扣完为止。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8"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rPr>
            </w:pPr>
            <w:r>
              <w:rPr>
                <w:b/>
                <w:bCs w:val="0"/>
                <w:color w:val="000000"/>
              </w:rPr>
              <w:t>2S</w:t>
            </w:r>
          </w:p>
          <w:p>
            <w:pPr>
              <w:pStyle w:val="53"/>
              <w:rPr>
                <w:b/>
                <w:bCs w:val="0"/>
                <w:color w:val="000000"/>
              </w:rPr>
            </w:pPr>
            <w:r>
              <w:rPr>
                <w:rFonts w:hint="eastAsia"/>
                <w:b/>
                <w:bCs w:val="0"/>
                <w:color w:val="000000"/>
              </w:rPr>
              <w:t>整</w:t>
            </w:r>
          </w:p>
          <w:p>
            <w:pPr>
              <w:pStyle w:val="53"/>
              <w:rPr>
                <w:b/>
                <w:bCs w:val="0"/>
                <w:color w:val="000000"/>
              </w:rPr>
            </w:pPr>
            <w:r>
              <w:rPr>
                <w:rFonts w:hint="eastAsia"/>
                <w:b/>
                <w:bCs w:val="0"/>
                <w:color w:val="000000"/>
              </w:rPr>
              <w:t>顿</w:t>
            </w:r>
          </w:p>
        </w:tc>
        <w:tc>
          <w:tcPr>
            <w:tcW w:w="1522"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rFonts w:hint="eastAsia"/>
                <w:color w:val="000000"/>
              </w:rPr>
              <w:t>对必要用的物品依照规定定位、定量摆放，并摆放整齐，明确标识。节约时间，提高现场作业工作效率。</w:t>
            </w:r>
          </w:p>
        </w:tc>
        <w:tc>
          <w:tcPr>
            <w:tcW w:w="212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rFonts w:hint="eastAsia"/>
                <w:color w:val="000000"/>
              </w:rPr>
              <w:t>清除过多的积压物品，使劳动场所一目了然，消除寻找物品的时间，确保劳动环境整洁规范。</w:t>
            </w:r>
          </w:p>
          <w:p>
            <w:pPr>
              <w:pStyle w:val="53"/>
              <w:rPr>
                <w:color w:val="000000"/>
              </w:rPr>
            </w:pPr>
            <w:r>
              <w:rPr>
                <w:color w:val="000000"/>
              </w:rPr>
              <w:t>1、生产车间必须实行定置管理。车间要有规范的定置管理图；定置图要有明确的标识和确定的位置。</w:t>
            </w:r>
          </w:p>
          <w:p>
            <w:pPr>
              <w:pStyle w:val="53"/>
              <w:rPr>
                <w:color w:val="000000"/>
              </w:rPr>
            </w:pPr>
            <w:r>
              <w:rPr>
                <w:color w:val="000000"/>
              </w:rPr>
              <w:t>2、车间疏散通道、消防通道标识显注，各种物品摆放标识明显。做到“有物必有区，有区必分类”、“分类必标识，标识必准确”。</w:t>
            </w:r>
          </w:p>
          <w:p>
            <w:pPr>
              <w:pStyle w:val="53"/>
              <w:rPr>
                <w:color w:val="000000"/>
              </w:rPr>
            </w:pPr>
            <w:r>
              <w:rPr>
                <w:color w:val="000000"/>
              </w:rPr>
              <w:t>3、达到生产厂区、车间环境清洁、物品摆放规范。</w:t>
            </w:r>
          </w:p>
          <w:p>
            <w:pPr>
              <w:pStyle w:val="53"/>
              <w:rPr>
                <w:color w:val="000000"/>
              </w:rPr>
            </w:pPr>
            <w:r>
              <w:rPr>
                <w:color w:val="000000"/>
              </w:rPr>
              <w:t>4、减少跑冒滴漏，降低能耗，提高设备使用寿命。</w:t>
            </w:r>
          </w:p>
        </w:tc>
        <w:tc>
          <w:tcPr>
            <w:tcW w:w="85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rFonts w:hint="eastAsia"/>
                <w:color w:val="000000"/>
              </w:rPr>
              <w:t>2</w:t>
            </w:r>
            <w:r>
              <w:rPr>
                <w:color w:val="000000"/>
              </w:rPr>
              <w:t>0</w:t>
            </w:r>
            <w:r>
              <w:rPr>
                <w:rFonts w:hint="eastAsia"/>
                <w:color w:val="000000"/>
              </w:rPr>
              <w:t>分</w:t>
            </w:r>
          </w:p>
        </w:tc>
        <w:tc>
          <w:tcPr>
            <w:tcW w:w="33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color w:val="000000"/>
              </w:rPr>
              <w:t>1、检查生产车间是否有定置管理图，定置图是否与现场实物相一致。发现一处不符，扣0.5。小项分扣完为止。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8"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rPr>
            </w:pPr>
          </w:p>
        </w:tc>
        <w:tc>
          <w:tcPr>
            <w:tcW w:w="1522"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212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851"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33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color w:val="000000"/>
              </w:rPr>
              <w:t>2、检查生产车间设施设备布局，照明、通风设施齐备，运行良好，物流流畅。发现疏散通道占用扣2分，发现一处照明、通风设施不齐备，运转不良好，扣0.5分。小项分扣完为止。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8"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rPr>
            </w:pPr>
          </w:p>
        </w:tc>
        <w:tc>
          <w:tcPr>
            <w:tcW w:w="1522"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212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851"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33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color w:val="000000"/>
              </w:rPr>
              <w:t>3、生产车间各种物品必须有明确标识，必要用物品分类存放，达到便捷查找为目的。各类设备、工具、物品按顺序摆放整齐。发现一处物品无标识，扣1分；发现一处物品未分类摆放、不整齐，扣0.5分。小项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8"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rPr>
            </w:pPr>
          </w:p>
        </w:tc>
        <w:tc>
          <w:tcPr>
            <w:tcW w:w="1522"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212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851"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33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color w:val="000000"/>
              </w:rPr>
              <w:t>4、生产厂区、车间环境整洁。绿化带、车间周边无杂物，原材料、成品、半成品、下角料摆放规范、有序。发现一处环境杂乱无序、有油污垃圾，扣1分，发现一处材料物品摆放不规范，扣1分。小项分扣完为止。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8"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rPr>
            </w:pPr>
          </w:p>
        </w:tc>
        <w:tc>
          <w:tcPr>
            <w:tcW w:w="1522"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212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851"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33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color w:val="000000"/>
              </w:rPr>
              <w:t>5、检查工具橱、更衣橱内物品。物品是否清洁、摆放整齐有序。发现一处摆放无序，扣0.5分。小项分扣完为止。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8"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rPr>
            </w:pPr>
          </w:p>
        </w:tc>
        <w:tc>
          <w:tcPr>
            <w:tcW w:w="1522"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212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851"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33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color w:val="000000"/>
              </w:rPr>
              <w:t>6、检查各类设备运行情况。设备机台上无工卡量具等物品放置，无个人物品。发现一处，扣0.2分。小项分扣完为止。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8"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rPr>
            </w:pPr>
            <w:r>
              <w:rPr>
                <w:b/>
                <w:bCs w:val="0"/>
                <w:color w:val="000000"/>
              </w:rPr>
              <w:t>3S</w:t>
            </w:r>
          </w:p>
          <w:p>
            <w:pPr>
              <w:pStyle w:val="53"/>
              <w:rPr>
                <w:b/>
                <w:bCs w:val="0"/>
                <w:color w:val="000000"/>
              </w:rPr>
            </w:pPr>
            <w:r>
              <w:rPr>
                <w:rFonts w:hint="eastAsia"/>
                <w:b/>
                <w:bCs w:val="0"/>
                <w:color w:val="000000"/>
              </w:rPr>
              <w:t>清</w:t>
            </w:r>
          </w:p>
          <w:p>
            <w:pPr>
              <w:pStyle w:val="53"/>
              <w:rPr>
                <w:b/>
                <w:bCs w:val="0"/>
                <w:color w:val="000000"/>
              </w:rPr>
            </w:pPr>
            <w:r>
              <w:rPr>
                <w:rFonts w:hint="eastAsia"/>
                <w:b/>
                <w:bCs w:val="0"/>
                <w:color w:val="000000"/>
              </w:rPr>
              <w:t>扫</w:t>
            </w:r>
          </w:p>
        </w:tc>
        <w:tc>
          <w:tcPr>
            <w:tcW w:w="1522"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rFonts w:hint="eastAsia"/>
                <w:color w:val="000000"/>
              </w:rPr>
              <w:t>将劳动场所内看的见与看不见的位置清</w:t>
            </w:r>
            <w:r>
              <w:rPr>
                <w:color w:val="000000"/>
              </w:rPr>
              <w:t>扫干净，清除工作场所内的脏污，并防止污染的发生。</w:t>
            </w:r>
          </w:p>
        </w:tc>
        <w:tc>
          <w:tcPr>
            <w:tcW w:w="212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rFonts w:hint="eastAsia"/>
                <w:color w:val="000000"/>
              </w:rPr>
              <w:t>创建清洁的现场，保持整理、整顿的成果，达到减少工业伤害，环境优美，品质可靠。</w:t>
            </w:r>
          </w:p>
          <w:p>
            <w:pPr>
              <w:pStyle w:val="53"/>
              <w:rPr>
                <w:color w:val="000000"/>
              </w:rPr>
            </w:pPr>
            <w:r>
              <w:rPr>
                <w:color w:val="000000"/>
              </w:rPr>
              <w:t>1、对生产厂区、车间进行全面清理清扫。绿化带、车间周边、</w:t>
            </w:r>
          </w:p>
          <w:p>
            <w:pPr>
              <w:pStyle w:val="53"/>
              <w:rPr>
                <w:color w:val="000000"/>
              </w:rPr>
            </w:pPr>
            <w:r>
              <w:rPr>
                <w:rFonts w:hint="eastAsia"/>
                <w:color w:val="000000"/>
              </w:rPr>
              <w:t>库房周围、变配电室、休息室、更衣室等场所整齐、清洁。</w:t>
            </w:r>
          </w:p>
          <w:p>
            <w:pPr>
              <w:pStyle w:val="53"/>
              <w:rPr>
                <w:color w:val="000000"/>
              </w:rPr>
            </w:pPr>
            <w:r>
              <w:rPr>
                <w:color w:val="000000"/>
              </w:rPr>
              <w:t>2、将清扫责任落实到人，定人定期进行清扫、清理。持之以恒，保持成果。</w:t>
            </w:r>
          </w:p>
          <w:p>
            <w:pPr>
              <w:pStyle w:val="53"/>
              <w:rPr>
                <w:color w:val="000000"/>
              </w:rPr>
            </w:pPr>
            <w:r>
              <w:rPr>
                <w:color w:val="000000"/>
              </w:rPr>
              <w:t>3、消灭生产车间环境卫生死角。设备、零部件区、成品、半成品区、工具厨、换洗间、变配电柜、地面、电缆等设施部位，要全面清扫清洁，清除脏污，保持工作场所清洁、明亮。</w:t>
            </w:r>
          </w:p>
        </w:tc>
        <w:tc>
          <w:tcPr>
            <w:tcW w:w="85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rFonts w:hint="eastAsia"/>
                <w:color w:val="000000"/>
              </w:rPr>
              <w:t>1</w:t>
            </w:r>
            <w:r>
              <w:rPr>
                <w:color w:val="000000"/>
              </w:rPr>
              <w:t>0</w:t>
            </w:r>
            <w:r>
              <w:rPr>
                <w:rFonts w:hint="eastAsia"/>
                <w:color w:val="000000"/>
              </w:rPr>
              <w:t>分</w:t>
            </w:r>
          </w:p>
        </w:tc>
        <w:tc>
          <w:tcPr>
            <w:tcW w:w="33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color w:val="000000"/>
              </w:rPr>
              <w:t>1、检查生产厂区、车间环境卫生。查责任区是否定人定期进行清理；查绿化带、车间周边、相关场所有无杂物、油污、垃圾等物品。发现一处扣0.5分。小项分扣完为止。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8"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rPr>
            </w:pPr>
          </w:p>
        </w:tc>
        <w:tc>
          <w:tcPr>
            <w:tcW w:w="1522"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212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851"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33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color w:val="000000"/>
              </w:rPr>
              <w:t>2、检查休息室、更衣换洗室、变配电室是否有油垢、杂物、垃圾。发现一处扣0.5分。小项分扣完为止。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8"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rPr>
            </w:pPr>
          </w:p>
        </w:tc>
        <w:tc>
          <w:tcPr>
            <w:tcW w:w="1522"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212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851"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33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color w:val="000000"/>
              </w:rPr>
              <w:t>3、检查设备、工作台、工具橱卫生状况。查设备机台是否有锈蚀、油垢，查工作台、工具橱是否有脏污、油垢。发现一处扣1分。小项分扣完为止。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8"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rPr>
            </w:pPr>
          </w:p>
        </w:tc>
        <w:tc>
          <w:tcPr>
            <w:tcW w:w="1522"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212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851"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33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color w:val="000000"/>
              </w:rPr>
              <w:t>4、检查材料区、成品区、半成品区、货架、周转箱是否有油污、垃圾、杂物。发现一处扣0.5分。小项分扣完为止。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8"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rPr>
            </w:pPr>
            <w:r>
              <w:rPr>
                <w:b/>
                <w:bCs w:val="0"/>
                <w:color w:val="000000"/>
              </w:rPr>
              <w:t>4S</w:t>
            </w:r>
          </w:p>
          <w:p>
            <w:pPr>
              <w:pStyle w:val="53"/>
              <w:rPr>
                <w:b/>
                <w:bCs w:val="0"/>
                <w:color w:val="000000"/>
              </w:rPr>
            </w:pPr>
            <w:r>
              <w:rPr>
                <w:rFonts w:hint="eastAsia"/>
                <w:b/>
                <w:bCs w:val="0"/>
                <w:color w:val="000000"/>
              </w:rPr>
              <w:t>清</w:t>
            </w:r>
          </w:p>
          <w:p>
            <w:pPr>
              <w:pStyle w:val="53"/>
              <w:rPr>
                <w:b/>
                <w:bCs w:val="0"/>
                <w:color w:val="000000"/>
              </w:rPr>
            </w:pPr>
            <w:r>
              <w:rPr>
                <w:rFonts w:hint="eastAsia"/>
                <w:b/>
                <w:bCs w:val="0"/>
                <w:color w:val="000000"/>
              </w:rPr>
              <w:t>洁</w:t>
            </w:r>
          </w:p>
        </w:tc>
        <w:tc>
          <w:tcPr>
            <w:tcW w:w="1522"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rFonts w:hint="eastAsia"/>
                <w:color w:val="000000"/>
              </w:rPr>
              <w:t>保持美好清洁的劳动环境，展示舒心、环保、和谐的劳动场所。</w:t>
            </w:r>
          </w:p>
        </w:tc>
        <w:tc>
          <w:tcPr>
            <w:tcW w:w="212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rFonts w:hint="eastAsia"/>
                <w:color w:val="000000"/>
              </w:rPr>
              <w:t>创造维持明朗的劳动环境，使工作环境整洁、美观、清洁有序。</w:t>
            </w:r>
          </w:p>
          <w:p>
            <w:pPr>
              <w:pStyle w:val="53"/>
              <w:rPr>
                <w:color w:val="000000"/>
              </w:rPr>
            </w:pPr>
            <w:r>
              <w:rPr>
                <w:color w:val="000000"/>
              </w:rPr>
              <w:t>1、将整理、整顿、清扫上面成果规范化、制度化。建立相应的规章制度，用制度规范行为，保持、维持整理、整顿、清扫上面3S的成果。</w:t>
            </w:r>
          </w:p>
          <w:p>
            <w:pPr>
              <w:pStyle w:val="53"/>
              <w:rPr>
                <w:color w:val="000000"/>
              </w:rPr>
            </w:pPr>
            <w:r>
              <w:rPr>
                <w:color w:val="000000"/>
              </w:rPr>
              <w:t>2、做到责任到人，人人有事管，事事有人管。划分责任区，制定责任人，做到检查制度、安全标识、应知应会上墙。</w:t>
            </w:r>
          </w:p>
          <w:p>
            <w:pPr>
              <w:pStyle w:val="53"/>
              <w:rPr>
                <w:color w:val="000000"/>
              </w:rPr>
            </w:pPr>
            <w:r>
              <w:rPr>
                <w:color w:val="000000"/>
              </w:rPr>
              <w:t>3、全面提升现场管理水平，做到现场问题现场解决，日事日毕，日清日高。按规定程序和实际能力选配班组长，发挥班组带头人作用，实施班组长日常检查考核。</w:t>
            </w:r>
          </w:p>
        </w:tc>
        <w:tc>
          <w:tcPr>
            <w:tcW w:w="85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color w:val="000000"/>
              </w:rPr>
              <w:t>20分</w:t>
            </w:r>
          </w:p>
        </w:tc>
        <w:tc>
          <w:tcPr>
            <w:tcW w:w="33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color w:val="000000"/>
              </w:rPr>
              <w:t>1、检查企业相应的规章制度。查现场管理制度，查考核制度，查考核体系，查考核结果。发现未按制度规定执行，未进行考核，考核体系不健全，扣1-2分。小项分扣完为止。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8"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rPr>
            </w:pPr>
          </w:p>
        </w:tc>
        <w:tc>
          <w:tcPr>
            <w:tcW w:w="1522"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212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851"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33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color w:val="000000"/>
              </w:rPr>
              <w:t>2、检查车间外部、内部整体环境，车间地面、墙壁、门窗有无明显尘土、污垢。发现一处未清洁，扣0.5分。小项分扣完为止。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8"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rPr>
            </w:pPr>
          </w:p>
        </w:tc>
        <w:tc>
          <w:tcPr>
            <w:tcW w:w="1522"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212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851"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33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color w:val="000000"/>
              </w:rPr>
              <w:t>3、检查供电系统、变配电、高、低压柜、变压器、设备、工具、量具是否清洁。发现一处，扣0.5分。小项分扣完为止。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8"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rPr>
            </w:pPr>
          </w:p>
        </w:tc>
        <w:tc>
          <w:tcPr>
            <w:tcW w:w="1522"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212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851"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33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color w:val="000000"/>
              </w:rPr>
              <w:t>4、检查责任区责任人职责是否明确，工作内容、工作范围是否清楚。发现职责不明，内容、范围不清，扣1分。小项分扣完为止。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8"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rPr>
            </w:pPr>
          </w:p>
        </w:tc>
        <w:tc>
          <w:tcPr>
            <w:tcW w:w="1522"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212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851"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33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color w:val="000000"/>
              </w:rPr>
              <w:t>5、检查班组执行情况和检查制度、应知应会上墙情况。查班组长是否进行检查考核，操作人应知应会情况。发现未检查考核，应知应会不清，扣0.5分。小项分扣完为止。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8"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rPr>
            </w:pPr>
            <w:r>
              <w:rPr>
                <w:b/>
                <w:bCs w:val="0"/>
                <w:color w:val="000000"/>
              </w:rPr>
              <w:t>5S</w:t>
            </w:r>
          </w:p>
          <w:p>
            <w:pPr>
              <w:pStyle w:val="53"/>
              <w:rPr>
                <w:b/>
                <w:bCs w:val="0"/>
                <w:color w:val="000000"/>
              </w:rPr>
            </w:pPr>
            <w:r>
              <w:rPr>
                <w:rFonts w:hint="eastAsia"/>
                <w:b/>
                <w:bCs w:val="0"/>
                <w:color w:val="000000"/>
              </w:rPr>
              <w:t>素</w:t>
            </w:r>
          </w:p>
          <w:p>
            <w:pPr>
              <w:pStyle w:val="53"/>
              <w:rPr>
                <w:b/>
                <w:bCs w:val="0"/>
                <w:color w:val="000000"/>
              </w:rPr>
            </w:pPr>
            <w:r>
              <w:rPr>
                <w:rFonts w:hint="eastAsia"/>
                <w:b/>
                <w:bCs w:val="0"/>
                <w:color w:val="000000"/>
              </w:rPr>
              <w:t>养</w:t>
            </w:r>
          </w:p>
        </w:tc>
        <w:tc>
          <w:tcPr>
            <w:tcW w:w="1522"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rFonts w:hint="eastAsia"/>
                <w:color w:val="000000"/>
              </w:rPr>
              <w:t>养成良好的工作、生活习惯，依照规定做事，培养积极主动精神。达到人</w:t>
            </w:r>
            <w:r>
              <w:rPr>
                <w:color w:val="000000"/>
              </w:rPr>
              <w:t>-规范化、事-流程化、物-规格化。</w:t>
            </w:r>
          </w:p>
        </w:tc>
        <w:tc>
          <w:tcPr>
            <w:tcW w:w="212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rFonts w:hint="eastAsia"/>
                <w:color w:val="000000"/>
              </w:rPr>
              <w:t>人人养成依照规定行事的良好习惯，培养积极主动的精神和团队精神。达到劳动者对问题具有共识，形成良好氛围，人人用心做事。</w:t>
            </w:r>
          </w:p>
          <w:p>
            <w:pPr>
              <w:pStyle w:val="53"/>
              <w:rPr>
                <w:color w:val="000000"/>
              </w:rPr>
            </w:pPr>
            <w:r>
              <w:rPr>
                <w:color w:val="000000"/>
              </w:rPr>
              <w:t>3、建立相应的管理机制，落实一人、一事、一物的管理法则，明确人、事、物的责任。制定实施目标，进行管理考核。</w:t>
            </w:r>
          </w:p>
          <w:p>
            <w:pPr>
              <w:pStyle w:val="53"/>
              <w:rPr>
                <w:color w:val="000000"/>
              </w:rPr>
            </w:pPr>
            <w:r>
              <w:rPr>
                <w:color w:val="000000"/>
              </w:rPr>
              <w:t>4、搞好班组竞赛活动，培养营造团队精神，使操作人员做事严谨，杜绝马虎，产品质量可靠，提高工作效率。</w:t>
            </w:r>
          </w:p>
          <w:p>
            <w:pPr>
              <w:pStyle w:val="53"/>
              <w:rPr>
                <w:color w:val="000000"/>
              </w:rPr>
            </w:pPr>
            <w:r>
              <w:rPr>
                <w:color w:val="000000"/>
              </w:rPr>
              <w:t>5、生产车间劳动时间要穿戴统一配发的工作服和劳动保护用品。自觉规范个人行为，文明礼貌，团结互助，树立形象，获取信赖，孕育文化，培养素养。</w:t>
            </w:r>
          </w:p>
        </w:tc>
        <w:tc>
          <w:tcPr>
            <w:tcW w:w="85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rFonts w:hint="eastAsia"/>
                <w:color w:val="000000"/>
              </w:rPr>
              <w:t>2</w:t>
            </w:r>
            <w:r>
              <w:rPr>
                <w:color w:val="000000"/>
              </w:rPr>
              <w:t>0</w:t>
            </w:r>
            <w:r>
              <w:rPr>
                <w:rFonts w:hint="eastAsia"/>
                <w:color w:val="000000"/>
              </w:rPr>
              <w:t>分</w:t>
            </w:r>
          </w:p>
        </w:tc>
        <w:tc>
          <w:tcPr>
            <w:tcW w:w="33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color w:val="000000"/>
              </w:rPr>
              <w:t>1、生产车间要有明显的企业文化标识，有行为规范标识。检查个人行为规范，是否存在举止不文明礼貌，行为不规范。发现一处，扣1分。小项分扣完为止。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8"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rPr>
            </w:pPr>
          </w:p>
        </w:tc>
        <w:tc>
          <w:tcPr>
            <w:tcW w:w="1522"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212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851"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33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color w:val="000000"/>
              </w:rPr>
              <w:t>2、检查劳动时间穿戴统一配发的工作服和劳动保护用品。发现一处未按规定着装和未使用劳动保护，扣1分。小项分扣完为止。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8"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rPr>
            </w:pPr>
          </w:p>
        </w:tc>
        <w:tc>
          <w:tcPr>
            <w:tcW w:w="1522"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212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851"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33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color w:val="000000"/>
              </w:rPr>
              <w:t>3、劳动者自觉遵守劳动纪律，严格遵守劳动时间，不越岗，不窜岗，不睡岗，不擅自离岗。查特殊岗位值班记录、交接班记录；查操作人员在岗情况。发现一处，扣1分。小项分扣完为止。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8"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rPr>
            </w:pPr>
          </w:p>
        </w:tc>
        <w:tc>
          <w:tcPr>
            <w:tcW w:w="1522"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212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851"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33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color w:val="000000"/>
              </w:rPr>
              <w:t>4、劳动时间操作人员不允许做与劳动无关的事情。检查劳动时间操作人员的工作状况。发现一处未按照规定执行的，扣0.5分。小项分扣完为止。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8"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rPr>
            </w:pPr>
          </w:p>
        </w:tc>
        <w:tc>
          <w:tcPr>
            <w:tcW w:w="1522"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212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851"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33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color w:val="000000"/>
              </w:rPr>
              <w:t>5、讲求团队精神，发扬协助作风，相互信赖，团结互助。检查劳动场所是否有争吵、打闹现象。发现一处，扣1分。小项分扣完为止。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8"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rPr>
            </w:pPr>
            <w:r>
              <w:rPr>
                <w:b/>
                <w:bCs w:val="0"/>
                <w:color w:val="000000"/>
              </w:rPr>
              <w:t>6S</w:t>
            </w:r>
          </w:p>
          <w:p>
            <w:pPr>
              <w:pStyle w:val="53"/>
              <w:rPr>
                <w:b/>
                <w:bCs w:val="0"/>
                <w:color w:val="000000"/>
              </w:rPr>
            </w:pPr>
            <w:r>
              <w:rPr>
                <w:rFonts w:hint="eastAsia"/>
                <w:b/>
                <w:bCs w:val="0"/>
                <w:color w:val="000000"/>
              </w:rPr>
              <w:t>安</w:t>
            </w:r>
          </w:p>
          <w:p>
            <w:pPr>
              <w:pStyle w:val="53"/>
              <w:rPr>
                <w:b/>
                <w:bCs w:val="0"/>
                <w:color w:val="000000"/>
              </w:rPr>
            </w:pPr>
            <w:r>
              <w:rPr>
                <w:rFonts w:hint="eastAsia"/>
                <w:b/>
                <w:bCs w:val="0"/>
                <w:color w:val="000000"/>
              </w:rPr>
              <w:t>全</w:t>
            </w:r>
          </w:p>
        </w:tc>
        <w:tc>
          <w:tcPr>
            <w:tcW w:w="1522"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rFonts w:hint="eastAsia"/>
                <w:color w:val="000000"/>
              </w:rPr>
              <w:t>健全安全体系，确保生命健康。重视全员安全教育，每时每刻都有安全第一观念，防患于未然。</w:t>
            </w:r>
          </w:p>
        </w:tc>
        <w:tc>
          <w:tcPr>
            <w:tcW w:w="212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rFonts w:hint="eastAsia"/>
                <w:color w:val="000000"/>
              </w:rPr>
              <w:t>严禁违章，尊重生命。建立起安全生产的良好环境，使所有劳动者都在安全体系下组织实施。</w:t>
            </w:r>
          </w:p>
          <w:p>
            <w:pPr>
              <w:pStyle w:val="53"/>
              <w:rPr>
                <w:color w:val="000000"/>
              </w:rPr>
            </w:pPr>
            <w:r>
              <w:rPr>
                <w:color w:val="000000"/>
              </w:rPr>
              <w:t>1、建立健全安全保障体系。依据国家的法律法规和行业规定制定相应的安全规章制度和各级安全生产责任制。</w:t>
            </w:r>
          </w:p>
          <w:p>
            <w:pPr>
              <w:pStyle w:val="53"/>
              <w:rPr>
                <w:color w:val="000000"/>
              </w:rPr>
            </w:pPr>
            <w:r>
              <w:rPr>
                <w:color w:val="000000"/>
              </w:rPr>
              <w:t>2、按照安全办公会议制度，定期召开安全例会和开展安全教育培训，实施安全巡查制度，对安全隐患进行排查治理。</w:t>
            </w:r>
          </w:p>
          <w:p>
            <w:pPr>
              <w:pStyle w:val="53"/>
              <w:rPr>
                <w:color w:val="000000"/>
              </w:rPr>
            </w:pPr>
            <w:r>
              <w:rPr>
                <w:color w:val="000000"/>
              </w:rPr>
              <w:t>3、安全操作规程必须上墙悬挂，操作人员人手一本安全操作应知应会手册，安全员定期不定期进行现场巡查。</w:t>
            </w:r>
          </w:p>
          <w:p>
            <w:pPr>
              <w:pStyle w:val="53"/>
              <w:rPr>
                <w:color w:val="000000"/>
              </w:rPr>
            </w:pPr>
            <w:r>
              <w:rPr>
                <w:color w:val="000000"/>
              </w:rPr>
              <w:t>4、厂区、生产区重点区域（变配电室、锅炉房、油库、易燃易爆物品库、化工用品库、供排水泵房消防设施等）要有值班人员和专人管理，制定安全应急处置方案。</w:t>
            </w:r>
          </w:p>
        </w:tc>
        <w:tc>
          <w:tcPr>
            <w:tcW w:w="85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rFonts w:hint="eastAsia"/>
                <w:color w:val="000000"/>
              </w:rPr>
              <w:t>2</w:t>
            </w:r>
            <w:r>
              <w:rPr>
                <w:color w:val="000000"/>
              </w:rPr>
              <w:t>0</w:t>
            </w:r>
            <w:r>
              <w:rPr>
                <w:rFonts w:hint="eastAsia"/>
                <w:color w:val="000000"/>
              </w:rPr>
              <w:t>分</w:t>
            </w:r>
          </w:p>
        </w:tc>
        <w:tc>
          <w:tcPr>
            <w:tcW w:w="33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color w:val="000000"/>
              </w:rPr>
              <w:t>1、检查规章制度和操作规程。检查操作规程是否上墙，安全标识明显；检查操作人员应知应会。发现一处，扣1分。小项分扣完为止。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8"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rPr>
            </w:pPr>
          </w:p>
        </w:tc>
        <w:tc>
          <w:tcPr>
            <w:tcW w:w="1522"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212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851"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33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color w:val="000000"/>
              </w:rPr>
              <w:t>2、检查安全会议制度，定期进行安全培训教育。查是否执行安全例会制度，是否进行安全巡视、安全员是否执行职责全程现场监督，安全隐患是否能及时排查。发现一处，扣1分。小项分扣完为止。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8"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rPr>
            </w:pPr>
          </w:p>
        </w:tc>
        <w:tc>
          <w:tcPr>
            <w:tcW w:w="1522"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212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851"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33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color w:val="000000"/>
              </w:rPr>
              <w:t>3、检查高危场所和易燃易爆物品。查高危场所和易燃易爆物品是否有专人值班和管理。发现一处高危场所无人值班和无值班记录，扣1分，发现一处未持证上岗，扣0.5分；发现一处易燃易爆物品未专人管理，管理不严格，扣1分。小项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8"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rPr>
            </w:pPr>
          </w:p>
        </w:tc>
        <w:tc>
          <w:tcPr>
            <w:tcW w:w="1522"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212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851"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33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color w:val="000000"/>
              </w:rPr>
              <w:t>4、检查生产现场劳动环境。查生产现场有无消防安全设施，查消防器材、消防用具、消防沙土，是否有专人管理；发现一处设施不全，无专人管理，扣1分；查消防通道是否畅通，消防通道标识是否明显，发现消防通道门开启不畅，扣1分，标识不明显扣0.5分。小项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8"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rPr>
            </w:pPr>
          </w:p>
        </w:tc>
        <w:tc>
          <w:tcPr>
            <w:tcW w:w="1522"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212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851"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33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color w:val="000000"/>
              </w:rPr>
              <w:t>5、检查生产车间、仓库是否存在明火、吸烟，电源、水源是否安全，是否有新的污染源。发现一处，扣1分，小项分扣完为止。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8"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rPr>
            </w:pPr>
          </w:p>
        </w:tc>
        <w:tc>
          <w:tcPr>
            <w:tcW w:w="1522"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212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851"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p>
        </w:tc>
        <w:tc>
          <w:tcPr>
            <w:tcW w:w="33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rPr>
            </w:pPr>
            <w:r>
              <w:rPr>
                <w:color w:val="000000"/>
              </w:rPr>
              <w:t>6、检查安全应急处置方案。未制定安全应急处置方案的不得分。方案中对重点区域未制定防范措施，发现一处扣1分。小项分扣完为止。</w:t>
            </w:r>
          </w:p>
        </w:tc>
      </w:tr>
    </w:tbl>
    <w:p>
      <w:pPr>
        <w:spacing w:before="0" w:after="0" w:line="240" w:lineRule="auto"/>
        <w:ind w:firstLine="0" w:firstLineChars="0"/>
        <w:jc w:val="left"/>
      </w:pPr>
      <w:r>
        <w:br w:type="page"/>
      </w:r>
    </w:p>
    <w:p>
      <w:pPr>
        <w:pStyle w:val="5"/>
        <w:bidi w:val="0"/>
      </w:pPr>
      <w:bookmarkStart w:id="27" w:name="_Toc117181864"/>
      <w:bookmarkStart w:id="28" w:name="_Toc118293188"/>
      <w:bookmarkStart w:id="29" w:name="_Toc116226158"/>
      <w:bookmarkStart w:id="30" w:name="_Toc115352600"/>
      <w:bookmarkStart w:id="31" w:name="_Toc3573"/>
      <w:r>
        <w:rPr>
          <w:rFonts w:hint="eastAsia"/>
          <w:lang w:val="en-US" w:eastAsia="zh-CN"/>
        </w:rPr>
        <w:t>五、</w:t>
      </w:r>
      <w:r>
        <w:rPr>
          <w:rFonts w:hint="eastAsia"/>
        </w:rPr>
        <w:t>安全理念</w:t>
      </w:r>
      <w:bookmarkEnd w:id="27"/>
      <w:bookmarkEnd w:id="28"/>
      <w:bookmarkEnd w:id="29"/>
      <w:bookmarkEnd w:id="30"/>
      <w:bookmarkEnd w:id="31"/>
    </w:p>
    <w:p>
      <w:pPr>
        <w:ind w:firstLine="480"/>
      </w:pPr>
      <w:r>
        <w:rPr>
          <w:rFonts w:hint="eastAsia"/>
        </w:rPr>
        <w:t>生命无价，安全为天，生命对于每个人只有一次，我们应该尊重生命、珍爱生命。安全第一，预防为主，安全是生产经营的本质需要和必然要求，只有在职工的生命安全得到切实保证、设备设施正常运行得以保障的情况下，企业才能持续健康和谐地发展。</w:t>
      </w:r>
    </w:p>
    <w:p>
      <w:pPr>
        <w:rPr>
          <w:rFonts w:hint="eastAsia"/>
          <w:lang w:eastAsia="zh-CN"/>
        </w:rPr>
      </w:pPr>
      <w:bookmarkStart w:id="32" w:name="_Toc116226159"/>
      <w:bookmarkStart w:id="33" w:name="_Toc115352601"/>
      <w:bookmarkStart w:id="34" w:name="_Toc118293189"/>
      <w:bookmarkStart w:id="35" w:name="_Toc117181865"/>
      <w:r>
        <w:rPr>
          <w:rFonts w:hint="eastAsia"/>
          <w:lang w:eastAsia="zh-CN"/>
        </w:rPr>
        <w:br w:type="page"/>
      </w:r>
    </w:p>
    <w:p>
      <w:pPr>
        <w:pStyle w:val="4"/>
        <w:bidi w:val="0"/>
      </w:pPr>
      <w:bookmarkStart w:id="36" w:name="_Toc31117"/>
      <w:r>
        <w:rPr>
          <w:rFonts w:hint="eastAsia"/>
          <w:lang w:val="en-US" w:eastAsia="zh-CN"/>
        </w:rPr>
        <w:t xml:space="preserve">第二节  </w:t>
      </w:r>
      <w:r>
        <w:rPr>
          <w:rFonts w:hint="eastAsia"/>
        </w:rPr>
        <w:t>项目供货计划</w:t>
      </w:r>
      <w:bookmarkEnd w:id="32"/>
      <w:bookmarkEnd w:id="33"/>
      <w:bookmarkEnd w:id="34"/>
      <w:bookmarkEnd w:id="35"/>
      <w:bookmarkEnd w:id="36"/>
    </w:p>
    <w:p>
      <w:pPr>
        <w:pStyle w:val="5"/>
        <w:bidi w:val="0"/>
      </w:pPr>
      <w:bookmarkStart w:id="37" w:name="_Toc118293190"/>
      <w:bookmarkStart w:id="38" w:name="_Toc116226160"/>
      <w:bookmarkStart w:id="39" w:name="_Toc117181866"/>
      <w:bookmarkStart w:id="40" w:name="_Toc115352602"/>
      <w:bookmarkStart w:id="41" w:name="_Toc27966"/>
      <w:r>
        <w:rPr>
          <w:rFonts w:hint="eastAsia"/>
          <w:lang w:val="en-US" w:eastAsia="zh-CN"/>
        </w:rPr>
        <w:t>一、</w:t>
      </w:r>
      <w:r>
        <w:rPr>
          <w:rFonts w:hint="eastAsia"/>
        </w:rPr>
        <w:t>项目组织机构</w:t>
      </w:r>
      <w:bookmarkEnd w:id="37"/>
      <w:bookmarkEnd w:id="38"/>
      <w:bookmarkEnd w:id="39"/>
      <w:bookmarkEnd w:id="40"/>
      <w:bookmarkEnd w:id="41"/>
    </w:p>
    <w:p>
      <w:pPr>
        <w:pStyle w:val="52"/>
      </w:pPr>
      <w:r>
        <w:rPr>
          <w:rFonts w:hint="eastAsia"/>
        </w:rPr>
        <w:drawing>
          <wp:inline distT="0" distB="0" distL="0" distR="0">
            <wp:extent cx="5278120" cy="1818005"/>
            <wp:effectExtent l="0" t="0" r="36830" b="0"/>
            <wp:docPr id="5909" name="图示 59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pPr>
        <w:pStyle w:val="6"/>
        <w:bidi w:val="0"/>
      </w:pPr>
      <w:bookmarkStart w:id="42" w:name="_Toc17517"/>
      <w:r>
        <w:rPr>
          <w:rFonts w:hint="eastAsia"/>
          <w:lang w:val="en-US" w:eastAsia="zh-CN"/>
        </w:rPr>
        <w:t>（一）</w:t>
      </w:r>
      <w:r>
        <w:rPr>
          <w:rFonts w:hint="eastAsia"/>
        </w:rPr>
        <w:t>准备工作</w:t>
      </w:r>
      <w:bookmarkEnd w:id="42"/>
    </w:p>
    <w:p>
      <w:pPr>
        <w:ind w:firstLine="480"/>
      </w:pPr>
      <w:r>
        <w:rPr>
          <w:rFonts w:hint="eastAsia"/>
        </w:rPr>
        <w:t>项目工作领导组召集领导组成员，研讨并确定各项具体工作内容及负责人；针对本项目的具体实施计划，确定人员安排，运输路线、培训等工作。在服务期如何做好疫情防控工作。</w:t>
      </w:r>
    </w:p>
    <w:p>
      <w:pPr>
        <w:pStyle w:val="6"/>
        <w:bidi w:val="0"/>
      </w:pPr>
      <w:bookmarkStart w:id="43" w:name="_Toc26376"/>
      <w:r>
        <w:rPr>
          <w:rFonts w:hint="eastAsia"/>
          <w:lang w:val="en-US" w:eastAsia="zh-CN"/>
        </w:rPr>
        <w:t>（二）</w:t>
      </w:r>
      <w:r>
        <w:rPr>
          <w:rFonts w:hint="eastAsia"/>
        </w:rPr>
        <w:t>培训工作</w:t>
      </w:r>
      <w:bookmarkEnd w:id="43"/>
    </w:p>
    <w:p>
      <w:pPr>
        <w:ind w:firstLine="480"/>
      </w:pPr>
      <w:r>
        <w:rPr>
          <w:rFonts w:hint="eastAsia"/>
        </w:rPr>
        <w:t>我公司将长期为用户提供免费的、详细的技术支持，为了方便用户的管理，我们将向用户提供整套管理方案，以确保用户及时获得所需的增值服务。派出人员是熟悉产品，技术全面、具有充足农业方面知识的技术人员，能彻底免除采购单位的后顾之忧，令产品发挥其最大的使用价值。</w:t>
      </w:r>
    </w:p>
    <w:p>
      <w:pPr>
        <w:ind w:firstLine="480"/>
      </w:pPr>
      <w:r>
        <w:rPr>
          <w:rFonts w:hint="eastAsia"/>
        </w:rPr>
        <w:t>我公司还设有</w:t>
      </w:r>
      <w:r>
        <w:t>24小时咨询热线，我们将耐心、细致的为用户解答所有遇到的问题。如果我公司的技术人员能够在第一时间内找到解决的方法，会立刻给用户以详细的回答；若不能，我公司的技术人员会尽快制定措施，并通过电话或E-MAIL，给用户以最周到的服务</w:t>
      </w:r>
      <w:r>
        <w:rPr>
          <w:rFonts w:hint="eastAsia"/>
        </w:rPr>
        <w:t>。</w:t>
      </w:r>
    </w:p>
    <w:p>
      <w:pPr>
        <w:pStyle w:val="6"/>
        <w:bidi w:val="0"/>
      </w:pPr>
      <w:bookmarkStart w:id="44" w:name="_Toc2547"/>
      <w:r>
        <w:rPr>
          <w:rFonts w:hint="eastAsia"/>
          <w:lang w:val="en-US" w:eastAsia="zh-CN"/>
        </w:rPr>
        <w:t>（三）</w:t>
      </w:r>
      <w:r>
        <w:rPr>
          <w:rFonts w:hint="eastAsia"/>
        </w:rPr>
        <w:t>建立工作台账</w:t>
      </w:r>
      <w:bookmarkEnd w:id="44"/>
    </w:p>
    <w:p>
      <w:pPr>
        <w:ind w:firstLine="480"/>
      </w:pPr>
      <w:r>
        <w:rPr>
          <w:rFonts w:hint="eastAsia"/>
          <w:lang w:val="en-US" w:eastAsia="zh-CN"/>
        </w:rPr>
        <w:t>1、</w:t>
      </w:r>
      <w:r>
        <w:rPr>
          <w:rFonts w:hint="eastAsia"/>
        </w:rPr>
        <w:t>按照采购方的要求，建立健全项目工作台账。</w:t>
      </w:r>
    </w:p>
    <w:p>
      <w:pPr>
        <w:ind w:firstLine="482"/>
      </w:pPr>
      <w:r>
        <w:rPr>
          <w:rFonts w:hint="eastAsia"/>
          <w:b/>
          <w:bCs/>
        </w:rPr>
        <w:t>合同履行期限：</w:t>
      </w:r>
      <w:r>
        <w:rPr>
          <w:rFonts w:hint="eastAsia"/>
        </w:rPr>
        <w:t>合同签订后，</w:t>
      </w:r>
      <w:r>
        <w:t>15日历天内全部交清</w:t>
      </w:r>
      <w:r>
        <w:rPr>
          <w:rFonts w:hint="eastAsia"/>
        </w:rPr>
        <w:t>。</w:t>
      </w:r>
    </w:p>
    <w:p>
      <w:pPr>
        <w:ind w:firstLine="480"/>
      </w:pPr>
      <w:r>
        <w:rPr>
          <w:rFonts w:hint="eastAsia"/>
          <w:b/>
          <w:bCs/>
        </w:rPr>
        <w:t>质量要求：</w:t>
      </w:r>
      <w:r>
        <w:rPr>
          <w:rFonts w:hint="eastAsia"/>
        </w:rPr>
        <w:t>符合国家现行相关标准及规范，满足采购人要求。</w:t>
      </w:r>
    </w:p>
    <w:p>
      <w:pPr>
        <w:ind w:firstLine="480"/>
      </w:pPr>
      <w:r>
        <w:rPr>
          <w:rFonts w:hint="eastAsia"/>
          <w:lang w:val="en-US" w:eastAsia="zh-CN"/>
        </w:rPr>
        <w:t>2、</w:t>
      </w:r>
      <w:r>
        <w:rPr>
          <w:rFonts w:hint="eastAsia"/>
        </w:rPr>
        <w:t>所投产品技术指标：按</w:t>
      </w:r>
      <w:r>
        <w:t>NY884_2012的标准执行</w:t>
      </w:r>
    </w:p>
    <w:tbl>
      <w:tblPr>
        <w:tblStyle w:val="34"/>
        <w:tblW w:w="83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5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12" w:type="dxa"/>
            <w:gridSpan w:val="2"/>
            <w:shd w:val="clear" w:color="auto" w:fill="B4C6E7" w:themeFill="accent5" w:themeFillTint="66"/>
            <w:vAlign w:val="center"/>
          </w:tcPr>
          <w:p>
            <w:pPr>
              <w:pStyle w:val="53"/>
              <w:widowControl w:val="0"/>
              <w:rPr>
                <w:b/>
                <w:color w:val="F8CBAD" w:themeColor="accent2" w:themeTint="66"/>
                <w:kern w:val="0"/>
                <w14:textOutline w14:w="11112" w14:cap="flat" w14:cmpd="sng" w14:algn="ctr">
                  <w14:solidFill>
                    <w14:schemeClr w14:val="accent2"/>
                  </w14:solidFill>
                  <w14:prstDash w14:val="solid"/>
                  <w14:round/>
                </w14:textOutline>
                <w14:textFill>
                  <w14:solidFill>
                    <w14:schemeClr w14:val="accent2">
                      <w14:lumMod w14:val="40000"/>
                      <w14:lumOff w14:val="60000"/>
                    </w14:schemeClr>
                  </w14:solidFill>
                </w14:textFill>
              </w:rPr>
            </w:pPr>
            <w:r>
              <w:rPr>
                <w:rFonts w:hint="eastAsia"/>
              </w:rPr>
              <w:t>生物有机肥产品技术指标要求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rPr>
                <w:kern w:val="0"/>
              </w:rPr>
            </w:pPr>
            <w:r>
              <w:rPr>
                <w:rFonts w:hint="eastAsia"/>
                <w:kern w:val="0"/>
              </w:rPr>
              <w:t>项目</w:t>
            </w:r>
          </w:p>
        </w:tc>
        <w:tc>
          <w:tcPr>
            <w:tcW w:w="5198" w:type="dxa"/>
            <w:vAlign w:val="center"/>
          </w:tcPr>
          <w:p>
            <w:pPr>
              <w:pStyle w:val="53"/>
              <w:widowControl w:val="0"/>
              <w:rPr>
                <w:kern w:val="0"/>
              </w:rPr>
            </w:pPr>
            <w:r>
              <w:rPr>
                <w:rFonts w:hint="eastAsia"/>
                <w:kern w:val="0"/>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rPr>
                <w:kern w:val="0"/>
              </w:rPr>
            </w:pPr>
            <w:r>
              <w:rPr>
                <w:rFonts w:hint="eastAsia"/>
                <w:kern w:val="0"/>
              </w:rPr>
              <w:t>有效活菌数</w:t>
            </w:r>
            <w:r>
              <w:rPr>
                <w:rFonts w:hint="eastAsia"/>
                <w:kern w:val="0"/>
                <w:lang w:eastAsia="zh-CN"/>
              </w:rPr>
              <w:t>（</w:t>
            </w:r>
            <w:r>
              <w:rPr>
                <w:rFonts w:hint="eastAsia"/>
                <w:kern w:val="0"/>
              </w:rPr>
              <w:t>cfu</w:t>
            </w:r>
            <w:r>
              <w:rPr>
                <w:rFonts w:hint="eastAsia"/>
                <w:kern w:val="0"/>
                <w:lang w:eastAsia="zh-CN"/>
              </w:rPr>
              <w:t>）</w:t>
            </w:r>
            <w:r>
              <w:rPr>
                <w:rFonts w:hint="eastAsia"/>
                <w:kern w:val="0"/>
              </w:rPr>
              <w:t>，亿/g</w:t>
            </w:r>
          </w:p>
        </w:tc>
        <w:tc>
          <w:tcPr>
            <w:tcW w:w="5198" w:type="dxa"/>
            <w:vAlign w:val="center"/>
          </w:tcPr>
          <w:p>
            <w:pPr>
              <w:pStyle w:val="53"/>
              <w:widowControl w:val="0"/>
              <w:rPr>
                <w:kern w:val="0"/>
              </w:rPr>
            </w:pPr>
            <w:r>
              <w:rPr>
                <w:rFonts w:hint="eastAsia"/>
                <w:kern w:val="0"/>
              </w:rPr>
              <w:t>≥</w:t>
            </w:r>
            <w:r>
              <w:rPr>
                <w:kern w:val="0"/>
              </w:rPr>
              <w:t>0.2亿/g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rPr>
                <w:kern w:val="0"/>
              </w:rPr>
            </w:pPr>
            <w:r>
              <w:rPr>
                <w:rFonts w:hint="eastAsia"/>
                <w:kern w:val="0"/>
              </w:rPr>
              <w:t>有机质（以干基计），%</w:t>
            </w:r>
          </w:p>
        </w:tc>
        <w:tc>
          <w:tcPr>
            <w:tcW w:w="5198" w:type="dxa"/>
            <w:vAlign w:val="center"/>
          </w:tcPr>
          <w:p>
            <w:pPr>
              <w:pStyle w:val="53"/>
              <w:widowControl w:val="0"/>
              <w:rPr>
                <w:kern w:val="0"/>
              </w:rPr>
            </w:pPr>
            <w:r>
              <w:rPr>
                <w:rFonts w:hint="eastAsia"/>
                <w:kern w:val="0"/>
              </w:rPr>
              <w:t>≥</w:t>
            </w:r>
            <w:r>
              <w:rPr>
                <w:kern w:val="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rPr>
                <w:kern w:val="0"/>
              </w:rPr>
            </w:pPr>
            <w:r>
              <w:rPr>
                <w:rFonts w:hint="eastAsia"/>
                <w:kern w:val="0"/>
              </w:rPr>
              <w:t>水分，%</w:t>
            </w:r>
          </w:p>
        </w:tc>
        <w:tc>
          <w:tcPr>
            <w:tcW w:w="5198" w:type="dxa"/>
            <w:vAlign w:val="center"/>
          </w:tcPr>
          <w:p>
            <w:pPr>
              <w:pStyle w:val="53"/>
              <w:widowControl w:val="0"/>
              <w:rPr>
                <w:kern w:val="0"/>
              </w:rPr>
            </w:pPr>
            <w:r>
              <w:rPr>
                <w:rFonts w:hint="eastAsia"/>
                <w:kern w:val="0"/>
              </w:rPr>
              <w:t>≤</w:t>
            </w:r>
            <w:r>
              <w:rPr>
                <w:kern w:val="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rPr>
                <w:kern w:val="0"/>
              </w:rPr>
            </w:pPr>
            <w:r>
              <w:rPr>
                <w:rFonts w:hint="eastAsia"/>
                <w:kern w:val="0"/>
              </w:rPr>
              <w:t>pH值</w:t>
            </w:r>
          </w:p>
        </w:tc>
        <w:tc>
          <w:tcPr>
            <w:tcW w:w="5198" w:type="dxa"/>
            <w:vAlign w:val="center"/>
          </w:tcPr>
          <w:p>
            <w:pPr>
              <w:pStyle w:val="53"/>
              <w:widowControl w:val="0"/>
              <w:rPr>
                <w:kern w:val="0"/>
              </w:rPr>
            </w:pPr>
            <w:r>
              <w:rPr>
                <w:kern w:val="0"/>
              </w:rPr>
              <w:t>5.5-8.5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rPr>
                <w:kern w:val="0"/>
              </w:rPr>
            </w:pPr>
            <w:r>
              <w:rPr>
                <w:rFonts w:hint="eastAsia"/>
                <w:kern w:val="0"/>
              </w:rPr>
              <w:t>粪大肠菌群数，个/g</w:t>
            </w:r>
          </w:p>
        </w:tc>
        <w:tc>
          <w:tcPr>
            <w:tcW w:w="5198" w:type="dxa"/>
            <w:vAlign w:val="center"/>
          </w:tcPr>
          <w:p>
            <w:pPr>
              <w:pStyle w:val="53"/>
              <w:widowControl w:val="0"/>
              <w:rPr>
                <w:kern w:val="0"/>
              </w:rPr>
            </w:pPr>
            <w:r>
              <w:rPr>
                <w:rFonts w:hint="eastAsia"/>
                <w:kern w:val="0"/>
              </w:rPr>
              <w:t>≤</w:t>
            </w:r>
            <w:r>
              <w:rPr>
                <w:kern w:val="0"/>
              </w:rPr>
              <w:t>100个/g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rPr>
                <w:kern w:val="0"/>
              </w:rPr>
            </w:pPr>
            <w:r>
              <w:rPr>
                <w:rFonts w:hint="eastAsia"/>
                <w:kern w:val="0"/>
              </w:rPr>
              <w:t>蛔虫卵死亡率，%</w:t>
            </w:r>
          </w:p>
        </w:tc>
        <w:tc>
          <w:tcPr>
            <w:tcW w:w="5198" w:type="dxa"/>
            <w:vAlign w:val="center"/>
          </w:tcPr>
          <w:p>
            <w:pPr>
              <w:pStyle w:val="53"/>
              <w:widowControl w:val="0"/>
              <w:rPr>
                <w:kern w:val="0"/>
              </w:rPr>
            </w:pPr>
            <w:r>
              <w:rPr>
                <w:rFonts w:hint="eastAsia"/>
                <w:kern w:val="0"/>
              </w:rPr>
              <w:t>≥</w:t>
            </w:r>
            <w:r>
              <w:rPr>
                <w:kern w:val="0"/>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rPr>
                <w:kern w:val="0"/>
              </w:rPr>
            </w:pPr>
            <w:r>
              <w:rPr>
                <w:rFonts w:hint="eastAsia"/>
                <w:kern w:val="0"/>
              </w:rPr>
              <w:t>总</w:t>
            </w:r>
            <w:r>
              <w:rPr>
                <w:kern w:val="0"/>
              </w:rPr>
              <w:t>AS</w:t>
            </w:r>
          </w:p>
        </w:tc>
        <w:tc>
          <w:tcPr>
            <w:tcW w:w="5198" w:type="dxa"/>
            <w:vAlign w:val="center"/>
          </w:tcPr>
          <w:p>
            <w:pPr>
              <w:pStyle w:val="53"/>
              <w:widowControl w:val="0"/>
              <w:rPr>
                <w:kern w:val="0"/>
              </w:rPr>
            </w:pPr>
            <w:r>
              <w:rPr>
                <w:rFonts w:hint="eastAsia"/>
                <w:kern w:val="0"/>
              </w:rPr>
              <w:t>≤</w:t>
            </w:r>
            <w:r>
              <w:rPr>
                <w:kern w:val="0"/>
              </w:rPr>
              <w:t>15mg/kg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rPr>
                <w:kern w:val="0"/>
              </w:rPr>
            </w:pPr>
            <w:r>
              <w:rPr>
                <w:rFonts w:hint="eastAsia"/>
                <w:kern w:val="0"/>
              </w:rPr>
              <w:t>总</w:t>
            </w:r>
            <w:r>
              <w:rPr>
                <w:kern w:val="0"/>
              </w:rPr>
              <w:t>Cd</w:t>
            </w:r>
          </w:p>
        </w:tc>
        <w:tc>
          <w:tcPr>
            <w:tcW w:w="5198" w:type="dxa"/>
            <w:vAlign w:val="center"/>
          </w:tcPr>
          <w:p>
            <w:pPr>
              <w:pStyle w:val="53"/>
              <w:widowControl w:val="0"/>
              <w:rPr>
                <w:kern w:val="0"/>
              </w:rPr>
            </w:pPr>
            <w:r>
              <w:rPr>
                <w:rFonts w:hint="eastAsia"/>
                <w:kern w:val="0"/>
              </w:rPr>
              <w:t>≤</w:t>
            </w:r>
            <w:r>
              <w:rPr>
                <w:kern w:val="0"/>
              </w:rPr>
              <w:t>3mg/kg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rPr>
                <w:kern w:val="0"/>
              </w:rPr>
            </w:pPr>
            <w:r>
              <w:rPr>
                <w:rFonts w:hint="eastAsia"/>
                <w:kern w:val="0"/>
              </w:rPr>
              <w:t>总</w:t>
            </w:r>
            <w:r>
              <w:rPr>
                <w:kern w:val="0"/>
              </w:rPr>
              <w:t>Pb</w:t>
            </w:r>
          </w:p>
        </w:tc>
        <w:tc>
          <w:tcPr>
            <w:tcW w:w="5198" w:type="dxa"/>
            <w:vAlign w:val="center"/>
          </w:tcPr>
          <w:p>
            <w:pPr>
              <w:pStyle w:val="53"/>
              <w:widowControl w:val="0"/>
              <w:rPr>
                <w:kern w:val="0"/>
              </w:rPr>
            </w:pPr>
            <w:r>
              <w:rPr>
                <w:kern w:val="0"/>
              </w:rPr>
              <w:t>≤50mg/kg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rPr>
                <w:kern w:val="0"/>
              </w:rPr>
            </w:pPr>
            <w:r>
              <w:rPr>
                <w:rFonts w:hint="eastAsia"/>
                <w:kern w:val="0"/>
              </w:rPr>
              <w:t>总</w:t>
            </w:r>
            <w:r>
              <w:rPr>
                <w:kern w:val="0"/>
              </w:rPr>
              <w:t>Cr</w:t>
            </w:r>
          </w:p>
        </w:tc>
        <w:tc>
          <w:tcPr>
            <w:tcW w:w="5198" w:type="dxa"/>
            <w:vAlign w:val="center"/>
          </w:tcPr>
          <w:p>
            <w:pPr>
              <w:pStyle w:val="53"/>
              <w:widowControl w:val="0"/>
              <w:rPr>
                <w:kern w:val="0"/>
              </w:rPr>
            </w:pPr>
            <w:r>
              <w:rPr>
                <w:kern w:val="0"/>
              </w:rPr>
              <w:t>150mg/kg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rPr>
                <w:kern w:val="0"/>
              </w:rPr>
            </w:pPr>
            <w:r>
              <w:rPr>
                <w:rFonts w:hint="eastAsia"/>
                <w:kern w:val="0"/>
              </w:rPr>
              <w:t>总</w:t>
            </w:r>
            <w:r>
              <w:rPr>
                <w:kern w:val="0"/>
              </w:rPr>
              <w:t>Hg</w:t>
            </w:r>
          </w:p>
        </w:tc>
        <w:tc>
          <w:tcPr>
            <w:tcW w:w="5198" w:type="dxa"/>
            <w:vAlign w:val="center"/>
          </w:tcPr>
          <w:p>
            <w:pPr>
              <w:pStyle w:val="53"/>
              <w:widowControl w:val="0"/>
              <w:rPr>
                <w:kern w:val="0"/>
              </w:rPr>
            </w:pPr>
            <w:r>
              <w:rPr>
                <w:rFonts w:hint="eastAsia"/>
                <w:kern w:val="0"/>
              </w:rPr>
              <w:t>≤</w:t>
            </w:r>
            <w:r>
              <w:rPr>
                <w:kern w:val="0"/>
              </w:rPr>
              <w:t>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rPr>
                <w:kern w:val="0"/>
              </w:rPr>
            </w:pPr>
            <w:r>
              <w:rPr>
                <w:rFonts w:hint="eastAsia"/>
                <w:kern w:val="0"/>
              </w:rPr>
              <w:t>种子发芽成活率</w:t>
            </w:r>
          </w:p>
        </w:tc>
        <w:tc>
          <w:tcPr>
            <w:tcW w:w="5198" w:type="dxa"/>
            <w:vAlign w:val="center"/>
          </w:tcPr>
          <w:p>
            <w:pPr>
              <w:pStyle w:val="53"/>
              <w:widowControl w:val="0"/>
              <w:rPr>
                <w:kern w:val="0"/>
              </w:rPr>
            </w:pPr>
            <w:r>
              <w:rPr>
                <w:rFonts w:hint="eastAsia"/>
                <w:kern w:val="0"/>
              </w:rPr>
              <w:t>≥</w:t>
            </w:r>
            <w:r>
              <w:rPr>
                <w:kern w:val="0"/>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rPr>
                <w:kern w:val="0"/>
              </w:rPr>
            </w:pPr>
            <w:r>
              <w:rPr>
                <w:rFonts w:hint="eastAsia"/>
                <w:kern w:val="0"/>
              </w:rPr>
              <w:t>规格</w:t>
            </w:r>
          </w:p>
        </w:tc>
        <w:tc>
          <w:tcPr>
            <w:tcW w:w="5198" w:type="dxa"/>
            <w:vAlign w:val="center"/>
          </w:tcPr>
          <w:p>
            <w:pPr>
              <w:pStyle w:val="53"/>
              <w:widowControl w:val="0"/>
              <w:rPr>
                <w:kern w:val="0"/>
              </w:rPr>
            </w:pPr>
            <w:r>
              <w:rPr>
                <w:kern w:val="0"/>
              </w:rPr>
              <w:t>40kg/袋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rPr>
                <w:kern w:val="0"/>
              </w:rPr>
            </w:pPr>
            <w:r>
              <w:rPr>
                <w:rFonts w:hint="eastAsia"/>
                <w:kern w:val="0"/>
              </w:rPr>
              <w:t>有效期，月</w:t>
            </w:r>
          </w:p>
        </w:tc>
        <w:tc>
          <w:tcPr>
            <w:tcW w:w="5198" w:type="dxa"/>
            <w:vAlign w:val="center"/>
          </w:tcPr>
          <w:p>
            <w:pPr>
              <w:pStyle w:val="53"/>
              <w:widowControl w:val="0"/>
              <w:rPr>
                <w:kern w:val="0"/>
              </w:rPr>
            </w:pPr>
            <w:r>
              <w:rPr>
                <w:kern w:val="0"/>
              </w:rPr>
              <w:t>12</w:t>
            </w:r>
          </w:p>
        </w:tc>
      </w:tr>
    </w:tbl>
    <w:p>
      <w:pPr>
        <w:ind w:firstLine="480"/>
      </w:pPr>
      <w:r>
        <w:rPr>
          <w:rFonts w:hint="eastAsia"/>
        </w:rPr>
        <w:t>生物有机肥原料为植物源，杜绝使用水库、河道、池塘和有机城市垃圾等作为原料，不存在添加“褐煤”“畜禽粪便”的情况，确保重金属含量不超标，长期使用无残留、无毒、无副作用。</w:t>
      </w:r>
    </w:p>
    <w:p>
      <w:pPr>
        <w:pStyle w:val="5"/>
        <w:bidi w:val="0"/>
      </w:pPr>
      <w:bookmarkStart w:id="45" w:name="_Toc118293191"/>
      <w:bookmarkStart w:id="46" w:name="_Toc117181867"/>
      <w:bookmarkStart w:id="47" w:name="_Toc115352603"/>
      <w:bookmarkStart w:id="48" w:name="_Toc116226161"/>
      <w:bookmarkStart w:id="49" w:name="_Toc14191"/>
      <w:r>
        <w:rPr>
          <w:rFonts w:hint="eastAsia"/>
          <w:lang w:val="en-US" w:eastAsia="zh-CN"/>
        </w:rPr>
        <w:t>二、</w:t>
      </w:r>
      <w:r>
        <w:rPr>
          <w:rFonts w:hint="eastAsia"/>
        </w:rPr>
        <w:t>供货服务说明</w:t>
      </w:r>
      <w:bookmarkEnd w:id="45"/>
      <w:bookmarkEnd w:id="46"/>
      <w:bookmarkEnd w:id="47"/>
      <w:bookmarkEnd w:id="48"/>
      <w:bookmarkEnd w:id="49"/>
    </w:p>
    <w:p>
      <w:pPr>
        <w:ind w:firstLine="480"/>
      </w:pPr>
      <w:r>
        <w:rPr>
          <w:rFonts w:hint="eastAsia"/>
        </w:rPr>
        <w:t>“高效快速、机动灵活，诚实守信，卓越服务”是我公司对客户恪守的承诺和经营宗旨，针对本次的肥料采购项目，如我公司中标，公司将成立项目实施领导小组，全面协调各项工作的开展和问题处理，结合本公司日常流程，制定项目供货实施的总体方案。如我公司中标并签订合同后，我公司将安排备货。项目经理按照招标文件的要求安排人员负责对原材料及相关产品的采购备货，跟踪备货进度并及时与采购单位代表沟通，通报项目进展情况。</w:t>
      </w:r>
    </w:p>
    <w:p>
      <w:pPr>
        <w:ind w:firstLine="480"/>
      </w:pPr>
      <w:r>
        <w:rPr>
          <w:rFonts w:hint="eastAsia"/>
        </w:rPr>
        <w:t>一旦中标，本公司将成立专门的项目部工作人员主要由我公司经验丰富的人员组成，并设有专人负责资源组织和计划管理、货物运输调度和服务专员、售后服务和质量跟踪等工作，所有人保证</w:t>
      </w:r>
      <w:r>
        <w:t>24小时通讯畅通。同时，本公司根据现代物流管理学，在传统的运输概念基础上建立了自己的一套物流配送体系。由运输部门专职将采购来的产品根据不同需要、所处地点、供货量、供货时间、包装形式等制定不同的配送方案。以利用规模优势取得较低的送货成本和较高送货效率。在观念上明确“采购单位第一，质量第一”的原则。由于我们项目的特点，因此配送货的需要制定合理高效</w:t>
      </w:r>
      <w:r>
        <w:rPr>
          <w:rFonts w:hint="eastAsia"/>
        </w:rPr>
        <w:t>的配送方案。一般掌握的原则是：集中批次、制定合理送货路线、统筹各项目供货时间、合理利用运输工具的空间、选择经济适用安全的运输方式，及时高效地与采购人员沟通服务，具体流程如下：</w:t>
      </w:r>
    </w:p>
    <w:p>
      <w:pPr>
        <w:pStyle w:val="52"/>
      </w:pPr>
      <w:r>
        <w:drawing>
          <wp:inline distT="0" distB="0" distL="0" distR="0">
            <wp:extent cx="3964305" cy="3930650"/>
            <wp:effectExtent l="9525" t="9525" r="26670" b="22225"/>
            <wp:docPr id="96" name="图片 96" descr="未命名文件(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未命名文件(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983587" cy="3949381"/>
                    </a:xfrm>
                    <a:prstGeom prst="rect">
                      <a:avLst/>
                    </a:prstGeom>
                    <a:noFill/>
                    <a:ln>
                      <a:solidFill>
                        <a:srgbClr val="0000FF"/>
                      </a:solidFill>
                    </a:ln>
                    <a:effectLst/>
                  </pic:spPr>
                </pic:pic>
              </a:graphicData>
            </a:graphic>
          </wp:inline>
        </w:drawing>
      </w:r>
    </w:p>
    <w:p>
      <w:pPr>
        <w:pStyle w:val="5"/>
        <w:bidi w:val="0"/>
      </w:pPr>
      <w:bookmarkStart w:id="50" w:name="_Toc115352604"/>
      <w:bookmarkStart w:id="51" w:name="_Toc117181868"/>
      <w:bookmarkStart w:id="52" w:name="_Toc116226162"/>
      <w:bookmarkStart w:id="53" w:name="_Toc2285"/>
      <w:bookmarkStart w:id="54" w:name="_Toc118293192"/>
      <w:r>
        <w:rPr>
          <w:rFonts w:hint="eastAsia"/>
          <w:lang w:val="en-US" w:eastAsia="zh-CN"/>
        </w:rPr>
        <w:t>三、</w:t>
      </w:r>
      <w:r>
        <w:rPr>
          <w:rFonts w:hint="eastAsia"/>
        </w:rPr>
        <w:t>供货服务内容</w:t>
      </w:r>
      <w:bookmarkEnd w:id="50"/>
      <w:bookmarkEnd w:id="51"/>
      <w:bookmarkEnd w:id="52"/>
      <w:bookmarkEnd w:id="53"/>
      <w:bookmarkEnd w:id="54"/>
    </w:p>
    <w:p>
      <w:pPr>
        <w:ind w:firstLine="480"/>
      </w:pPr>
      <w:r>
        <w:rPr>
          <w:rFonts w:hint="eastAsia"/>
          <w:lang w:val="en-US" w:eastAsia="zh-CN"/>
        </w:rPr>
        <w:t>（一）</w:t>
      </w:r>
      <w:r>
        <w:rPr>
          <w:rFonts w:hint="eastAsia"/>
        </w:rPr>
        <w:t>合同履行期限：合同签订后，</w:t>
      </w:r>
      <w:r>
        <w:t>15日历天内全部交清。</w:t>
      </w:r>
    </w:p>
    <w:p>
      <w:pPr>
        <w:ind w:firstLine="480"/>
      </w:pPr>
      <w:r>
        <w:rPr>
          <w:rFonts w:hint="eastAsia"/>
          <w:lang w:val="en-US" w:eastAsia="zh-CN"/>
        </w:rPr>
        <w:t>（二）</w:t>
      </w:r>
      <w:r>
        <w:rPr>
          <w:rFonts w:hint="eastAsia"/>
        </w:rPr>
        <w:t>产品技术参数：按</w:t>
      </w:r>
      <w:r>
        <w:t>NY884_2012的标准执行</w:t>
      </w:r>
    </w:p>
    <w:tbl>
      <w:tblPr>
        <w:tblStyle w:val="34"/>
        <w:tblW w:w="83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5198"/>
      </w:tblGrid>
      <w:tr>
        <w:tblPrEx>
          <w:tblLayout w:type="fixed"/>
          <w:tblCellMar>
            <w:top w:w="0" w:type="dxa"/>
            <w:left w:w="108" w:type="dxa"/>
            <w:bottom w:w="0" w:type="dxa"/>
            <w:right w:w="108" w:type="dxa"/>
          </w:tblCellMar>
        </w:tblPrEx>
        <w:trPr>
          <w:jc w:val="center"/>
        </w:trPr>
        <w:tc>
          <w:tcPr>
            <w:tcW w:w="831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b/>
                <w:color w:val="000000"/>
                <w:kern w:val="0"/>
                <w14:textOutline w14:w="11112" w14:cap="flat" w14:cmpd="sng" w14:algn="ctr">
                  <w14:solidFill>
                    <w14:schemeClr w14:val="accent2"/>
                  </w14:solidFill>
                  <w14:prstDash w14:val="solid"/>
                  <w14:round/>
                </w14:textOutline>
              </w:rPr>
            </w:pPr>
            <w:r>
              <w:rPr>
                <w:rFonts w:hint="eastAsia"/>
                <w:b/>
                <w:bCs w:val="0"/>
              </w:rPr>
              <w:t>生物有机肥产品技术指标要求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项目</w:t>
            </w:r>
          </w:p>
        </w:tc>
        <w:tc>
          <w:tcPr>
            <w:tcW w:w="51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有效活菌数</w:t>
            </w:r>
            <w:r>
              <w:rPr>
                <w:rFonts w:hint="eastAsia"/>
                <w:color w:val="000000"/>
                <w:kern w:val="0"/>
                <w:lang w:eastAsia="zh-CN"/>
              </w:rPr>
              <w:t>（</w:t>
            </w:r>
            <w:r>
              <w:rPr>
                <w:rFonts w:hint="eastAsia"/>
                <w:color w:val="000000"/>
                <w:kern w:val="0"/>
              </w:rPr>
              <w:t>cfu</w:t>
            </w:r>
            <w:r>
              <w:rPr>
                <w:rFonts w:hint="eastAsia"/>
                <w:color w:val="000000"/>
                <w:kern w:val="0"/>
                <w:lang w:eastAsia="zh-CN"/>
              </w:rPr>
              <w:t>）</w:t>
            </w:r>
            <w:r>
              <w:rPr>
                <w:rFonts w:hint="eastAsia"/>
                <w:color w:val="000000"/>
                <w:kern w:val="0"/>
              </w:rPr>
              <w:t>，亿/g</w:t>
            </w:r>
          </w:p>
        </w:tc>
        <w:tc>
          <w:tcPr>
            <w:tcW w:w="51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w:t>
            </w:r>
            <w:r>
              <w:rPr>
                <w:color w:val="000000"/>
                <w:kern w:val="0"/>
              </w:rPr>
              <w:t>0.2亿/g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有机质（以干基计），%</w:t>
            </w:r>
          </w:p>
        </w:tc>
        <w:tc>
          <w:tcPr>
            <w:tcW w:w="51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w:t>
            </w:r>
            <w:r>
              <w:rPr>
                <w:color w:val="000000"/>
                <w:kern w:val="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水分，%</w:t>
            </w:r>
          </w:p>
        </w:tc>
        <w:tc>
          <w:tcPr>
            <w:tcW w:w="51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w:t>
            </w:r>
            <w:r>
              <w:rPr>
                <w:color w:val="000000"/>
                <w:kern w:val="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pH值</w:t>
            </w:r>
          </w:p>
        </w:tc>
        <w:tc>
          <w:tcPr>
            <w:tcW w:w="51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color w:val="000000"/>
                <w:kern w:val="0"/>
              </w:rPr>
              <w:t>5.5-8.5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粪大肠菌群数，个/g</w:t>
            </w:r>
          </w:p>
        </w:tc>
        <w:tc>
          <w:tcPr>
            <w:tcW w:w="51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w:t>
            </w:r>
            <w:r>
              <w:rPr>
                <w:color w:val="000000"/>
                <w:kern w:val="0"/>
              </w:rPr>
              <w:t>100个/g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蛔虫卵死亡率，%</w:t>
            </w:r>
          </w:p>
        </w:tc>
        <w:tc>
          <w:tcPr>
            <w:tcW w:w="51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w:t>
            </w:r>
            <w:r>
              <w:rPr>
                <w:color w:val="000000"/>
                <w:kern w:val="0"/>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总</w:t>
            </w:r>
            <w:r>
              <w:rPr>
                <w:color w:val="000000"/>
                <w:kern w:val="0"/>
              </w:rPr>
              <w:t>AS</w:t>
            </w:r>
          </w:p>
        </w:tc>
        <w:tc>
          <w:tcPr>
            <w:tcW w:w="51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w:t>
            </w:r>
            <w:r>
              <w:rPr>
                <w:color w:val="000000"/>
                <w:kern w:val="0"/>
              </w:rPr>
              <w:t>15mg/kg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总</w:t>
            </w:r>
            <w:r>
              <w:rPr>
                <w:color w:val="000000"/>
                <w:kern w:val="0"/>
              </w:rPr>
              <w:t>Cd</w:t>
            </w:r>
          </w:p>
        </w:tc>
        <w:tc>
          <w:tcPr>
            <w:tcW w:w="51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w:t>
            </w:r>
            <w:r>
              <w:rPr>
                <w:color w:val="000000"/>
                <w:kern w:val="0"/>
              </w:rPr>
              <w:t>3mg/kg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总</w:t>
            </w:r>
            <w:r>
              <w:rPr>
                <w:color w:val="000000"/>
                <w:kern w:val="0"/>
              </w:rPr>
              <w:t>Pb</w:t>
            </w:r>
          </w:p>
        </w:tc>
        <w:tc>
          <w:tcPr>
            <w:tcW w:w="51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color w:val="000000"/>
                <w:kern w:val="0"/>
              </w:rPr>
              <w:t>≤50mg/kg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总</w:t>
            </w:r>
            <w:r>
              <w:rPr>
                <w:color w:val="000000"/>
                <w:kern w:val="0"/>
              </w:rPr>
              <w:t>Cr</w:t>
            </w:r>
          </w:p>
        </w:tc>
        <w:tc>
          <w:tcPr>
            <w:tcW w:w="51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color w:val="000000"/>
                <w:kern w:val="0"/>
              </w:rPr>
              <w:t>150mg/kg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总</w:t>
            </w:r>
            <w:r>
              <w:rPr>
                <w:color w:val="000000"/>
                <w:kern w:val="0"/>
              </w:rPr>
              <w:t>Hg</w:t>
            </w:r>
          </w:p>
        </w:tc>
        <w:tc>
          <w:tcPr>
            <w:tcW w:w="51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w:t>
            </w:r>
            <w:r>
              <w:rPr>
                <w:color w:val="000000"/>
                <w:kern w:val="0"/>
              </w:rPr>
              <w:t>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种子发芽成活率</w:t>
            </w:r>
          </w:p>
        </w:tc>
        <w:tc>
          <w:tcPr>
            <w:tcW w:w="51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w:t>
            </w:r>
            <w:r>
              <w:rPr>
                <w:color w:val="000000"/>
                <w:kern w:val="0"/>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规格</w:t>
            </w:r>
          </w:p>
        </w:tc>
        <w:tc>
          <w:tcPr>
            <w:tcW w:w="51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color w:val="000000"/>
                <w:kern w:val="0"/>
              </w:rPr>
              <w:t>40kg/袋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有效期，月</w:t>
            </w:r>
          </w:p>
        </w:tc>
        <w:tc>
          <w:tcPr>
            <w:tcW w:w="51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color w:val="000000"/>
                <w:kern w:val="0"/>
              </w:rPr>
              <w:t>12</w:t>
            </w:r>
          </w:p>
        </w:tc>
      </w:tr>
    </w:tbl>
    <w:p>
      <w:pPr>
        <w:ind w:firstLine="480"/>
      </w:pPr>
      <w:r>
        <w:rPr>
          <w:rFonts w:hint="eastAsia"/>
        </w:rPr>
        <w:t>生物有机肥原料为植物源，杜绝使用水库、河道、池塘和有机城市垃圾等作为原料，不存在添加“褐煤”“畜禽粪便”的情况，确保重金属含量不超标，长期使用无残留、无毒、无副作用。</w:t>
      </w:r>
    </w:p>
    <w:p>
      <w:pPr>
        <w:ind w:firstLine="480"/>
      </w:pPr>
      <w:r>
        <w:rPr>
          <w:rFonts w:hint="eastAsia"/>
          <w:lang w:val="en-US" w:eastAsia="zh-CN"/>
        </w:rPr>
        <w:t>（三）</w:t>
      </w:r>
      <w:r>
        <w:rPr>
          <w:rFonts w:hint="eastAsia"/>
        </w:rPr>
        <w:t>质量标准：符合国家现行相关标准及规范，满足采购人要求</w:t>
      </w:r>
      <w:r>
        <w:t>。</w:t>
      </w:r>
    </w:p>
    <w:p>
      <w:pPr>
        <w:ind w:firstLine="480"/>
      </w:pPr>
      <w:r>
        <w:rPr>
          <w:rFonts w:hint="eastAsia"/>
          <w:lang w:val="en-US" w:eastAsia="zh-CN"/>
        </w:rPr>
        <w:t>（四）</w:t>
      </w:r>
      <w:r>
        <w:t>售后服务：三包（包换、包退、包质量）。</w:t>
      </w:r>
    </w:p>
    <w:p>
      <w:pPr>
        <w:ind w:firstLine="480"/>
      </w:pPr>
      <w:r>
        <w:rPr>
          <w:rFonts w:hint="eastAsia"/>
          <w:lang w:val="en-US" w:eastAsia="zh-CN"/>
        </w:rPr>
        <w:t>（五）</w:t>
      </w:r>
      <w:r>
        <w:rPr>
          <w:rFonts w:hint="eastAsia"/>
        </w:rPr>
        <w:t>服务效率：采购人提出需求通知后</w:t>
      </w:r>
      <w:r>
        <w:t>24小时内响应</w:t>
      </w:r>
      <w:r>
        <w:rPr>
          <w:rFonts w:hint="eastAsia"/>
        </w:rPr>
        <w:t>。</w:t>
      </w:r>
    </w:p>
    <w:p>
      <w:pPr>
        <w:ind w:firstLine="480"/>
      </w:pPr>
      <w:r>
        <w:rPr>
          <w:rFonts w:hint="eastAsia"/>
          <w:lang w:val="en-US" w:eastAsia="zh-CN"/>
        </w:rPr>
        <w:t>（六）</w:t>
      </w:r>
      <w:r>
        <w:rPr>
          <w:rFonts w:hint="eastAsia"/>
        </w:rPr>
        <w:t>交货时安排人员装卸、肥料使用指导（无偿），提供相关批次省级以上检验单位出具的检测报告。品牌厂家提供生产周期内的省级以上检验单位出具的检测报告。供货时双方按批次或比例随机抽样封存。</w:t>
      </w:r>
    </w:p>
    <w:p>
      <w:pPr>
        <w:ind w:firstLine="480"/>
      </w:pPr>
      <w:r>
        <w:rPr>
          <w:rFonts w:hint="eastAsia"/>
          <w:lang w:val="en-US" w:eastAsia="zh-CN"/>
        </w:rPr>
        <w:t>（七）</w:t>
      </w:r>
      <w:r>
        <w:rPr>
          <w:rFonts w:hint="eastAsia"/>
        </w:rPr>
        <w:t>交货地点</w:t>
      </w:r>
      <w:r>
        <w:rPr>
          <w:rFonts w:hint="eastAsia"/>
          <w:lang w:eastAsia="zh-CN"/>
        </w:rPr>
        <w:t>：</w:t>
      </w:r>
      <w:r>
        <w:t>采购人指定地点</w:t>
      </w:r>
      <w:r>
        <w:rPr>
          <w:rFonts w:hint="eastAsia"/>
        </w:rPr>
        <w:t>。</w:t>
      </w:r>
    </w:p>
    <w:p>
      <w:pPr>
        <w:spacing w:before="0" w:after="0" w:line="240" w:lineRule="auto"/>
        <w:ind w:firstLine="0" w:firstLineChars="0"/>
        <w:jc w:val="left"/>
      </w:pPr>
      <w:r>
        <w:br w:type="page"/>
      </w:r>
    </w:p>
    <w:p>
      <w:pPr>
        <w:pStyle w:val="5"/>
        <w:bidi w:val="0"/>
      </w:pPr>
      <w:bookmarkStart w:id="55" w:name="_Toc115352605"/>
      <w:bookmarkStart w:id="56" w:name="_Toc116226163"/>
      <w:bookmarkStart w:id="57" w:name="_Toc28814"/>
      <w:bookmarkStart w:id="58" w:name="_Toc118293193"/>
      <w:bookmarkStart w:id="59" w:name="_Toc117181869"/>
      <w:r>
        <w:rPr>
          <w:rFonts w:hint="eastAsia"/>
          <w:lang w:val="en-US" w:eastAsia="zh-CN"/>
        </w:rPr>
        <w:t>四、</w:t>
      </w:r>
      <w:r>
        <w:rPr>
          <w:rFonts w:hint="eastAsia"/>
        </w:rPr>
        <w:t>供货组织程序</w:t>
      </w:r>
      <w:bookmarkEnd w:id="55"/>
      <w:bookmarkEnd w:id="56"/>
      <w:bookmarkEnd w:id="57"/>
      <w:bookmarkEnd w:id="58"/>
      <w:bookmarkEnd w:id="59"/>
    </w:p>
    <w:p>
      <w:pPr>
        <w:ind w:firstLine="480"/>
      </w:pPr>
      <w:r>
        <w:rPr>
          <w:rFonts w:hint="eastAsia"/>
          <w:b/>
          <w:bCs/>
          <w:lang w:val="en-US" w:eastAsia="zh-CN"/>
        </w:rPr>
        <w:t>（一）</w:t>
      </w:r>
      <w:r>
        <w:rPr>
          <w:b/>
          <w:bCs/>
        </w:rPr>
        <w:t>组织安排：</w:t>
      </w:r>
      <w:r>
        <w:t>为做好本项目的服务工作，我公司专门抽调公司骨干人员组成项目实施小组，由我公司负责人负责本项目实施过程中全部供货进度和商务事宜。</w:t>
      </w:r>
    </w:p>
    <w:p>
      <w:pPr>
        <w:ind w:firstLine="480"/>
      </w:pPr>
      <w:r>
        <w:rPr>
          <w:rFonts w:hint="eastAsia"/>
          <w:b/>
          <w:bCs/>
          <w:lang w:val="en-US" w:eastAsia="zh-CN"/>
        </w:rPr>
        <w:t>（二）</w:t>
      </w:r>
      <w:r>
        <w:rPr>
          <w:b/>
          <w:bCs/>
        </w:rPr>
        <w:t>工序组织：</w:t>
      </w:r>
      <w:r>
        <w:t>中标后，我单位将按照协议条款，组织货源，为采购方按时、保质、保量配送采购清单范围内的产品。</w:t>
      </w:r>
    </w:p>
    <w:p>
      <w:pPr>
        <w:ind w:firstLine="480"/>
      </w:pPr>
      <w:r>
        <w:rPr>
          <w:rFonts w:hint="eastAsia"/>
          <w:b/>
          <w:bCs/>
          <w:lang w:val="en-US" w:eastAsia="zh-CN"/>
        </w:rPr>
        <w:t>（三）</w:t>
      </w:r>
      <w:r>
        <w:rPr>
          <w:b/>
          <w:bCs/>
        </w:rPr>
        <w:t>工序安排：</w:t>
      </w:r>
      <w:r>
        <w:t>供货实施计划的主要阶段并非严格地按照一成不变的程序依次进行，而往往是在充分考虑时间进度的基础上交叉安排计划或同时从事各种活动。针对本项目的供货实施预估划分为以下几个阶段。</w:t>
      </w:r>
    </w:p>
    <w:p>
      <w:pPr>
        <w:ind w:firstLine="480"/>
      </w:pPr>
      <w:r>
        <w:rPr>
          <w:rFonts w:hint="eastAsia"/>
          <w:lang w:val="en-US" w:eastAsia="zh-CN"/>
        </w:rPr>
        <w:t>1、</w:t>
      </w:r>
      <w:r>
        <w:t>成立项目部：为确保供货的顺利实施，通常需要成立一个项目实施小组。其目的是保证按供货实施计划开展相应工作，以便在供货的实际实施过程中发生与计划不一致情况时，能及时制定适宜的对策。实施小组成员的产生既可以由公司自行安排内部人员参加，也可以邀请第三方专家作为代表参加。针对本项目，一旦中标，本公司将成立专门的项目部。项目部由公司副总经理担任项目经理，公司各部门抽调</w:t>
      </w:r>
      <w:r>
        <w:rPr>
          <w:rFonts w:hint="eastAsia"/>
        </w:rPr>
        <w:t>数</w:t>
      </w:r>
      <w:r>
        <w:t>名经验丰富的员工担任小组成员，全面负责本项目的各项工作。</w:t>
      </w:r>
    </w:p>
    <w:p>
      <w:pPr>
        <w:ind w:firstLine="560" w:firstLineChars="200"/>
      </w:pPr>
      <w:r>
        <w:rPr>
          <w:rFonts w:hint="eastAsia"/>
          <w:lang w:val="en-US" w:eastAsia="zh-CN"/>
        </w:rPr>
        <w:t>2、</w:t>
      </w:r>
      <w:r>
        <w:t>前期准备：在项目部成立后，一旦已知全部的技术和服务需求，本公司将根据需求情况对项目前期的准备工作进行详细的安排，且应与供货实施计划中的各项需求相一致。在前期准备阶段，应对所有原材料及投入的设备、成本进行全面的规划合格准备工作。这样，才能更好地为本次项目服务。</w:t>
      </w:r>
    </w:p>
    <w:p>
      <w:pPr>
        <w:ind w:firstLine="480"/>
      </w:pPr>
      <w:r>
        <w:rPr>
          <w:rFonts w:hint="eastAsia"/>
          <w:lang w:val="en-US" w:eastAsia="zh-CN"/>
        </w:rPr>
        <w:t>3、</w:t>
      </w:r>
      <w:r>
        <w:t>人员管理和组织：根据项目供货的实际需要，组建项目管理和组织机构，安排项目服务人员，并负责对相关人员进行项目管理与培训。</w:t>
      </w:r>
    </w:p>
    <w:p>
      <w:pPr>
        <w:ind w:firstLine="480"/>
      </w:pPr>
      <w:r>
        <w:rPr>
          <w:rFonts w:hint="eastAsia"/>
          <w:lang w:val="en-US" w:eastAsia="zh-CN"/>
        </w:rPr>
        <w:t>4、</w:t>
      </w:r>
      <w:r>
        <w:t>详细的供货计划：在实施阶段要精心安排肥料的原材料采购、生产、包装、运输和验收使用以及售后服务的整个计划，在评估时要预测所需要的时间和工作费用。</w:t>
      </w:r>
    </w:p>
    <w:p>
      <w:pPr>
        <w:ind w:firstLine="480"/>
      </w:pPr>
      <w:r>
        <w:rPr>
          <w:rFonts w:hint="eastAsia"/>
          <w:lang w:val="en-US" w:eastAsia="zh-CN"/>
        </w:rPr>
        <w:t>5、</w:t>
      </w:r>
      <w:r>
        <w:t>供货进度安排：在供应</w:t>
      </w:r>
      <w:r>
        <w:rPr>
          <w:rFonts w:hint="eastAsia"/>
        </w:rPr>
        <w:t>生物有机肥</w:t>
      </w:r>
      <w:r>
        <w:t>时，交货时间应按采购单位需求及产品生产进度和不同阶段的要求来安排，以确保</w:t>
      </w:r>
      <w:r>
        <w:rPr>
          <w:rFonts w:hint="eastAsia"/>
        </w:rPr>
        <w:t>生物有机肥</w:t>
      </w:r>
      <w:r>
        <w:t>到达采购单位的先后是在满足采购单位需求的前提条件下根据生产能力和配送能力两方面考虑的最优顺序。</w:t>
      </w:r>
    </w:p>
    <w:p>
      <w:pPr>
        <w:ind w:firstLine="480"/>
      </w:pPr>
      <w:r>
        <w:rPr>
          <w:rFonts w:hint="eastAsia"/>
          <w:lang w:val="en-US" w:eastAsia="zh-CN"/>
        </w:rPr>
        <w:t>6、</w:t>
      </w:r>
      <w:r>
        <w:t>产品运输：在供货实施期间，要对</w:t>
      </w:r>
      <w:r>
        <w:rPr>
          <w:rFonts w:hint="eastAsia"/>
        </w:rPr>
        <w:t>生物有机肥</w:t>
      </w:r>
      <w:r>
        <w:t>的运输供应作出安排，合理控制原料采购、产品生产等各项情况，保证</w:t>
      </w:r>
      <w:r>
        <w:rPr>
          <w:rFonts w:hint="eastAsia"/>
        </w:rPr>
        <w:t>生物有机肥</w:t>
      </w:r>
      <w:r>
        <w:t>的质量和数量及配套服务，以满足采购人的需要。</w:t>
      </w:r>
    </w:p>
    <w:p>
      <w:pPr>
        <w:ind w:firstLine="480"/>
      </w:pPr>
      <w:r>
        <w:rPr>
          <w:rFonts w:hint="eastAsia"/>
          <w:lang w:val="en-US" w:eastAsia="zh-CN"/>
        </w:rPr>
        <w:t>7、</w:t>
      </w:r>
      <w:r>
        <w:t>验收交付：验收交付是供货实施阶段最关键的环节。我公司将严格按照采购人的标准，配合采购人完成验收交付工作，确保本公司的产品符合质量标准和满足采购单位的需求。完成验收交付后，应对肥料使用的后续情况予以关注，一旦采购单位反映问题，立即启动售后服务方案。</w:t>
      </w:r>
    </w:p>
    <w:p>
      <w:pPr>
        <w:ind w:firstLine="480"/>
      </w:pPr>
      <w:r>
        <w:rPr>
          <w:rFonts w:hint="eastAsia"/>
          <w:lang w:val="en-US" w:eastAsia="zh-CN"/>
        </w:rPr>
        <w:t>8、</w:t>
      </w:r>
      <w:r>
        <w:t>售后服务：在本项目的产品交付采购单位过后，我公司还将为采购单位提供不间断的售后服务，为采购单位提供</w:t>
      </w:r>
      <w:r>
        <w:rPr>
          <w:rFonts w:hint="eastAsia"/>
        </w:rPr>
        <w:t>有机肥产品质量问题</w:t>
      </w:r>
      <w:r>
        <w:t>的更换、使用指导及其他各项售后服务工作，公司将安排专业人员组成售后服务部门，并针对本项目进行统筹安排，以便于为采购单位提供全方位的服务。</w:t>
      </w:r>
    </w:p>
    <w:p>
      <w:pPr>
        <w:spacing w:before="0" w:after="0" w:line="240" w:lineRule="auto"/>
        <w:ind w:firstLine="0" w:firstLineChars="0"/>
        <w:jc w:val="left"/>
      </w:pPr>
      <w:r>
        <w:br w:type="page"/>
      </w:r>
    </w:p>
    <w:p>
      <w:pPr>
        <w:pStyle w:val="5"/>
        <w:bidi w:val="0"/>
      </w:pPr>
      <w:bookmarkStart w:id="60" w:name="_Toc10122"/>
      <w:bookmarkStart w:id="61" w:name="_Toc117181870"/>
      <w:bookmarkStart w:id="62" w:name="_Toc115352606"/>
      <w:bookmarkStart w:id="63" w:name="_Toc116226164"/>
      <w:bookmarkStart w:id="64" w:name="_Toc118293194"/>
      <w:r>
        <w:rPr>
          <w:rFonts w:hint="eastAsia"/>
          <w:lang w:val="en-US" w:eastAsia="zh-CN"/>
        </w:rPr>
        <w:t>五、</w:t>
      </w:r>
      <w:r>
        <w:rPr>
          <w:rFonts w:hint="eastAsia"/>
        </w:rPr>
        <w:t>供货流程要点</w:t>
      </w:r>
      <w:bookmarkEnd w:id="60"/>
      <w:bookmarkEnd w:id="61"/>
      <w:bookmarkEnd w:id="62"/>
      <w:bookmarkEnd w:id="63"/>
      <w:bookmarkEnd w:id="64"/>
    </w:p>
    <w:p>
      <w:pPr>
        <w:pStyle w:val="6"/>
        <w:bidi w:val="0"/>
      </w:pPr>
      <w:bookmarkStart w:id="65" w:name="_Toc29289"/>
      <w:r>
        <w:rPr>
          <w:rFonts w:hint="eastAsia"/>
          <w:lang w:val="en-US" w:eastAsia="zh-CN"/>
        </w:rPr>
        <w:t>（一）</w:t>
      </w:r>
      <w:r>
        <w:rPr>
          <w:rFonts w:hint="eastAsia"/>
        </w:rPr>
        <w:t>供货环节</w:t>
      </w:r>
      <w:bookmarkEnd w:id="65"/>
    </w:p>
    <w:p>
      <w:pPr>
        <w:ind w:firstLine="480"/>
      </w:pPr>
      <w:r>
        <w:rPr>
          <w:rFonts w:hint="eastAsia"/>
        </w:rPr>
        <w:t>为了使项目能够按照计划、有条不紊地进行，我公司将整个实施过程分为实施前期、实施中期、实施后期三个阶段，每个阶段根据具体任务分为多个环节。项目实施环节统计如下：</w:t>
      </w:r>
    </w:p>
    <w:tbl>
      <w:tblPr>
        <w:tblStyle w:val="56"/>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4820"/>
        <w:gridCol w:w="1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tblHeader/>
        </w:trPr>
        <w:tc>
          <w:tcPr>
            <w:tcW w:w="16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kern w:val="0"/>
              </w:rPr>
            </w:pPr>
            <w:r>
              <w:rPr>
                <w:b/>
                <w:bCs w:val="0"/>
                <w:color w:val="000000"/>
                <w:kern w:val="0"/>
              </w:rPr>
              <w:br w:type="page"/>
            </w:r>
            <w:r>
              <w:rPr>
                <w:b/>
                <w:bCs w:val="0"/>
                <w:color w:val="000000"/>
                <w:kern w:val="0"/>
              </w:rPr>
              <w:t>项目环节</w:t>
            </w:r>
          </w:p>
        </w:tc>
        <w:tc>
          <w:tcPr>
            <w:tcW w:w="48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kern w:val="0"/>
              </w:rPr>
            </w:pPr>
            <w:r>
              <w:rPr>
                <w:b/>
                <w:bCs w:val="0"/>
                <w:color w:val="000000"/>
                <w:kern w:val="0"/>
              </w:rPr>
              <w:t>任务内容简述</w:t>
            </w:r>
          </w:p>
        </w:tc>
        <w:tc>
          <w:tcPr>
            <w:tcW w:w="194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kern w:val="0"/>
              </w:rPr>
            </w:pPr>
            <w:r>
              <w:rPr>
                <w:b/>
                <w:bCs w:val="0"/>
                <w:color w:val="000000"/>
                <w:kern w:val="0"/>
              </w:rPr>
              <w:t>任务执行组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0"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kern w:val="0"/>
              </w:rPr>
            </w:pPr>
            <w:r>
              <w:rPr>
                <w:b/>
                <w:bCs w:val="0"/>
                <w:color w:val="000000"/>
                <w:kern w:val="0"/>
              </w:rPr>
              <w:t>实施前期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kern w:val="0"/>
              </w:rPr>
            </w:pPr>
            <w:r>
              <w:rPr>
                <w:rFonts w:hint="eastAsia"/>
                <w:b/>
                <w:bCs w:val="0"/>
                <w:color w:val="000000"/>
                <w:kern w:val="0"/>
              </w:rPr>
              <w:t>肥料供</w:t>
            </w:r>
            <w:r>
              <w:rPr>
                <w:b/>
                <w:bCs w:val="0"/>
                <w:color w:val="000000"/>
                <w:kern w:val="0"/>
              </w:rPr>
              <w:t>货</w:t>
            </w:r>
          </w:p>
        </w:tc>
        <w:tc>
          <w:tcPr>
            <w:tcW w:w="48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jc w:val="left"/>
              <w:rPr>
                <w:color w:val="000000"/>
                <w:kern w:val="0"/>
              </w:rPr>
            </w:pPr>
            <w:r>
              <w:rPr>
                <w:color w:val="000000"/>
                <w:kern w:val="0"/>
              </w:rPr>
              <w:t>进行商务洽谈，确保项目中所有</w:t>
            </w:r>
            <w:r>
              <w:rPr>
                <w:rFonts w:hint="eastAsia"/>
                <w:color w:val="000000"/>
                <w:kern w:val="0"/>
              </w:rPr>
              <w:t>有机肥料</w:t>
            </w:r>
            <w:r>
              <w:rPr>
                <w:color w:val="000000"/>
                <w:kern w:val="0"/>
              </w:rPr>
              <w:t>如期、安全地到达用户</w:t>
            </w:r>
            <w:r>
              <w:rPr>
                <w:rFonts w:hint="eastAsia"/>
                <w:color w:val="000000"/>
                <w:kern w:val="0"/>
              </w:rPr>
              <w:t>各乡镇各村</w:t>
            </w:r>
            <w:r>
              <w:rPr>
                <w:color w:val="000000"/>
                <w:kern w:val="0"/>
              </w:rPr>
              <w:t>。</w:t>
            </w:r>
          </w:p>
        </w:tc>
        <w:tc>
          <w:tcPr>
            <w:tcW w:w="194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kern w:val="0"/>
              </w:rPr>
            </w:pPr>
            <w:r>
              <w:rPr>
                <w:color w:val="000000"/>
                <w:kern w:val="0"/>
              </w:rPr>
              <w:t>商务组</w:t>
            </w:r>
          </w:p>
          <w:p>
            <w:pPr>
              <w:pStyle w:val="53"/>
              <w:rPr>
                <w:color w:val="000000"/>
                <w:kern w:val="0"/>
              </w:rPr>
            </w:pPr>
            <w:r>
              <w:rPr>
                <w:rFonts w:hint="eastAsia"/>
                <w:color w:val="000000"/>
                <w:kern w:val="0"/>
              </w:rPr>
              <w:t>技术支持小</w:t>
            </w:r>
            <w:r>
              <w:rPr>
                <w:color w:val="000000"/>
                <w:kern w:val="0"/>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kern w:val="0"/>
              </w:rPr>
            </w:pPr>
            <w:r>
              <w:rPr>
                <w:b/>
                <w:bCs w:val="0"/>
                <w:color w:val="000000"/>
                <w:kern w:val="0"/>
              </w:rPr>
              <w:t>制定详细</w:t>
            </w:r>
          </w:p>
          <w:p>
            <w:pPr>
              <w:pStyle w:val="53"/>
              <w:rPr>
                <w:b/>
                <w:bCs w:val="0"/>
                <w:color w:val="000000"/>
                <w:kern w:val="0"/>
              </w:rPr>
            </w:pPr>
            <w:r>
              <w:rPr>
                <w:b/>
                <w:bCs w:val="0"/>
                <w:color w:val="000000"/>
                <w:kern w:val="0"/>
              </w:rPr>
              <w:t>实施方案</w:t>
            </w:r>
          </w:p>
        </w:tc>
        <w:tc>
          <w:tcPr>
            <w:tcW w:w="48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jc w:val="left"/>
              <w:rPr>
                <w:color w:val="000000"/>
                <w:kern w:val="0"/>
              </w:rPr>
            </w:pPr>
            <w:r>
              <w:rPr>
                <w:color w:val="000000"/>
                <w:kern w:val="0"/>
              </w:rPr>
              <w:t>根据设计方案，协助项目单位制订</w:t>
            </w:r>
            <w:r>
              <w:rPr>
                <w:rFonts w:hint="eastAsia"/>
                <w:color w:val="000000"/>
                <w:kern w:val="0"/>
              </w:rPr>
              <w:t>运输的路线</w:t>
            </w:r>
            <w:r>
              <w:rPr>
                <w:color w:val="000000"/>
                <w:kern w:val="0"/>
              </w:rPr>
              <w:t>；</w:t>
            </w:r>
          </w:p>
          <w:p>
            <w:pPr>
              <w:pStyle w:val="53"/>
              <w:jc w:val="left"/>
              <w:rPr>
                <w:color w:val="000000"/>
                <w:kern w:val="0"/>
              </w:rPr>
            </w:pPr>
            <w:r>
              <w:rPr>
                <w:color w:val="000000"/>
                <w:kern w:val="0"/>
              </w:rPr>
              <w:t>根据</w:t>
            </w:r>
            <w:r>
              <w:rPr>
                <w:rFonts w:hint="eastAsia"/>
                <w:color w:val="000000"/>
                <w:kern w:val="0"/>
              </w:rPr>
              <w:t>项目单位现状提供详细的单位分布环境等分配</w:t>
            </w:r>
            <w:r>
              <w:rPr>
                <w:color w:val="000000"/>
                <w:kern w:val="0"/>
              </w:rPr>
              <w:t>方案；制定详细的进度计划；</w:t>
            </w:r>
          </w:p>
          <w:p>
            <w:pPr>
              <w:pStyle w:val="53"/>
              <w:jc w:val="left"/>
              <w:rPr>
                <w:color w:val="000000"/>
                <w:kern w:val="0"/>
              </w:rPr>
            </w:pPr>
            <w:r>
              <w:rPr>
                <w:color w:val="000000"/>
                <w:kern w:val="0"/>
              </w:rPr>
              <w:t>编制实施方案、技术参数手册</w:t>
            </w:r>
            <w:r>
              <w:rPr>
                <w:rFonts w:hint="eastAsia"/>
                <w:color w:val="000000"/>
                <w:kern w:val="0"/>
              </w:rPr>
              <w:t>。</w:t>
            </w:r>
          </w:p>
        </w:tc>
        <w:tc>
          <w:tcPr>
            <w:tcW w:w="194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kern w:val="0"/>
              </w:rPr>
            </w:pPr>
            <w:r>
              <w:rPr>
                <w:rFonts w:hint="eastAsia"/>
                <w:color w:val="000000"/>
                <w:kern w:val="0"/>
              </w:rPr>
              <w:t>运输实施小</w:t>
            </w:r>
            <w:r>
              <w:rPr>
                <w:color w:val="000000"/>
                <w:kern w:val="0"/>
              </w:rPr>
              <w:t>组</w:t>
            </w:r>
          </w:p>
          <w:p>
            <w:pPr>
              <w:pStyle w:val="53"/>
              <w:rPr>
                <w:color w:val="000000"/>
                <w:kern w:val="0"/>
              </w:rPr>
            </w:pPr>
            <w:r>
              <w:rPr>
                <w:color w:val="000000"/>
                <w:kern w:val="0"/>
              </w:rPr>
              <w:t>质量</w:t>
            </w:r>
            <w:r>
              <w:rPr>
                <w:rFonts w:hint="eastAsia"/>
                <w:color w:val="000000"/>
                <w:kern w:val="0"/>
              </w:rPr>
              <w:t>监控</w:t>
            </w:r>
            <w:r>
              <w:rPr>
                <w:color w:val="000000"/>
                <w:kern w:val="0"/>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kern w:val="0"/>
              </w:rPr>
            </w:pPr>
            <w:r>
              <w:rPr>
                <w:b/>
                <w:bCs w:val="0"/>
                <w:color w:val="000000"/>
                <w:kern w:val="0"/>
              </w:rPr>
              <w:t>内部技术培训</w:t>
            </w:r>
          </w:p>
        </w:tc>
        <w:tc>
          <w:tcPr>
            <w:tcW w:w="48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jc w:val="left"/>
              <w:rPr>
                <w:color w:val="000000"/>
                <w:kern w:val="0"/>
              </w:rPr>
            </w:pPr>
            <w:r>
              <w:rPr>
                <w:color w:val="000000"/>
                <w:kern w:val="0"/>
              </w:rPr>
              <w:t>相关技术人员进行内部培训。</w:t>
            </w:r>
          </w:p>
        </w:tc>
        <w:tc>
          <w:tcPr>
            <w:tcW w:w="194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kern w:val="0"/>
              </w:rPr>
            </w:pPr>
            <w:r>
              <w:rPr>
                <w:rFonts w:hint="eastAsia"/>
                <w:color w:val="000000"/>
                <w:kern w:val="0"/>
              </w:rPr>
              <w:t>技术支持小</w:t>
            </w:r>
            <w:r>
              <w:rPr>
                <w:color w:val="000000"/>
                <w:kern w:val="0"/>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kern w:val="0"/>
              </w:rPr>
            </w:pPr>
            <w:r>
              <w:rPr>
                <w:b/>
                <w:bCs w:val="0"/>
                <w:color w:val="000000"/>
                <w:kern w:val="0"/>
              </w:rPr>
              <w:t>实施环境调查</w:t>
            </w:r>
          </w:p>
        </w:tc>
        <w:tc>
          <w:tcPr>
            <w:tcW w:w="48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jc w:val="left"/>
              <w:rPr>
                <w:color w:val="000000"/>
                <w:kern w:val="0"/>
              </w:rPr>
            </w:pPr>
            <w:r>
              <w:rPr>
                <w:color w:val="000000"/>
                <w:kern w:val="0"/>
              </w:rPr>
              <w:t>检查</w:t>
            </w:r>
            <w:r>
              <w:rPr>
                <w:rFonts w:hint="eastAsia"/>
                <w:color w:val="000000"/>
                <w:kern w:val="0"/>
              </w:rPr>
              <w:t>、核实</w:t>
            </w:r>
            <w:r>
              <w:rPr>
                <w:color w:val="000000"/>
                <w:kern w:val="0"/>
              </w:rPr>
              <w:t>实施现场的环境。</w:t>
            </w:r>
          </w:p>
        </w:tc>
        <w:tc>
          <w:tcPr>
            <w:tcW w:w="194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kern w:val="0"/>
              </w:rPr>
            </w:pPr>
            <w:r>
              <w:rPr>
                <w:rFonts w:hint="eastAsia"/>
                <w:color w:val="000000"/>
                <w:kern w:val="0"/>
              </w:rPr>
              <w:t>技术支持小</w:t>
            </w:r>
            <w:r>
              <w:rPr>
                <w:color w:val="000000"/>
                <w:kern w:val="0"/>
              </w:rPr>
              <w:t>组</w:t>
            </w:r>
          </w:p>
          <w:p>
            <w:pPr>
              <w:pStyle w:val="53"/>
              <w:rPr>
                <w:color w:val="000000"/>
                <w:kern w:val="0"/>
              </w:rPr>
            </w:pPr>
            <w:r>
              <w:rPr>
                <w:rFonts w:hint="eastAsia"/>
                <w:color w:val="000000"/>
                <w:kern w:val="0"/>
              </w:rPr>
              <w:t>运输实施小</w:t>
            </w:r>
            <w:r>
              <w:rPr>
                <w:color w:val="000000"/>
                <w:kern w:val="0"/>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0"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kern w:val="0"/>
              </w:rPr>
            </w:pPr>
            <w:r>
              <w:rPr>
                <w:b/>
                <w:bCs w:val="0"/>
                <w:color w:val="000000"/>
                <w:kern w:val="0"/>
              </w:rPr>
              <w:t>实施中期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kern w:val="0"/>
              </w:rPr>
            </w:pPr>
            <w:r>
              <w:rPr>
                <w:rFonts w:hint="eastAsia"/>
                <w:b/>
                <w:bCs w:val="0"/>
                <w:color w:val="000000"/>
                <w:kern w:val="0"/>
              </w:rPr>
              <w:t>有机肥</w:t>
            </w:r>
            <w:r>
              <w:rPr>
                <w:b/>
                <w:bCs w:val="0"/>
                <w:color w:val="000000"/>
                <w:kern w:val="0"/>
              </w:rPr>
              <w:t>到货及验收</w:t>
            </w:r>
          </w:p>
        </w:tc>
        <w:tc>
          <w:tcPr>
            <w:tcW w:w="48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jc w:val="left"/>
              <w:rPr>
                <w:color w:val="000000"/>
                <w:kern w:val="0"/>
              </w:rPr>
            </w:pPr>
            <w:r>
              <w:rPr>
                <w:rFonts w:hint="eastAsia"/>
                <w:color w:val="000000"/>
                <w:kern w:val="0"/>
              </w:rPr>
              <w:t>有机肥</w:t>
            </w:r>
            <w:r>
              <w:rPr>
                <w:color w:val="000000"/>
                <w:kern w:val="0"/>
              </w:rPr>
              <w:t>到货，并在指定的地点交货、到货验收</w:t>
            </w:r>
          </w:p>
        </w:tc>
        <w:tc>
          <w:tcPr>
            <w:tcW w:w="194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kern w:val="0"/>
              </w:rPr>
            </w:pPr>
            <w:r>
              <w:rPr>
                <w:color w:val="000000"/>
                <w:kern w:val="0"/>
              </w:rPr>
              <w:t>项目领导组</w:t>
            </w:r>
          </w:p>
          <w:p>
            <w:pPr>
              <w:pStyle w:val="53"/>
              <w:rPr>
                <w:color w:val="000000"/>
                <w:kern w:val="0"/>
              </w:rPr>
            </w:pPr>
            <w:r>
              <w:rPr>
                <w:rFonts w:hint="eastAsia"/>
                <w:color w:val="000000"/>
                <w:kern w:val="0"/>
              </w:rPr>
              <w:t>商务小组</w:t>
            </w:r>
          </w:p>
          <w:p>
            <w:pPr>
              <w:pStyle w:val="53"/>
              <w:rPr>
                <w:color w:val="000000"/>
                <w:kern w:val="0"/>
              </w:rPr>
            </w:pPr>
            <w:r>
              <w:rPr>
                <w:rFonts w:hint="eastAsia"/>
                <w:color w:val="000000"/>
                <w:kern w:val="0"/>
              </w:rPr>
              <w:t>运输实施小</w:t>
            </w:r>
            <w:r>
              <w:rPr>
                <w:color w:val="000000"/>
                <w:kern w:val="0"/>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kern w:val="0"/>
              </w:rPr>
            </w:pPr>
            <w:r>
              <w:rPr>
                <w:rFonts w:hint="eastAsia"/>
                <w:b/>
                <w:bCs w:val="0"/>
                <w:color w:val="000000"/>
                <w:kern w:val="0"/>
              </w:rPr>
              <w:t>现场卸货</w:t>
            </w:r>
          </w:p>
        </w:tc>
        <w:tc>
          <w:tcPr>
            <w:tcW w:w="48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jc w:val="left"/>
              <w:rPr>
                <w:color w:val="000000"/>
                <w:kern w:val="0"/>
              </w:rPr>
            </w:pPr>
            <w:r>
              <w:rPr>
                <w:rFonts w:hint="eastAsia"/>
                <w:color w:val="000000"/>
                <w:kern w:val="0"/>
              </w:rPr>
              <w:t>运输小组及随车人员进行现场产品卸货、并陪同采购单位验收人员进行产品初验</w:t>
            </w:r>
          </w:p>
        </w:tc>
        <w:tc>
          <w:tcPr>
            <w:tcW w:w="194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kern w:val="0"/>
              </w:rPr>
            </w:pPr>
            <w:r>
              <w:rPr>
                <w:color w:val="000000"/>
                <w:kern w:val="0"/>
              </w:rPr>
              <w:t>项目领导组</w:t>
            </w:r>
          </w:p>
          <w:p>
            <w:pPr>
              <w:pStyle w:val="53"/>
              <w:rPr>
                <w:color w:val="000000"/>
                <w:kern w:val="0"/>
              </w:rPr>
            </w:pPr>
            <w:r>
              <w:rPr>
                <w:rFonts w:hint="eastAsia"/>
                <w:color w:val="000000"/>
                <w:kern w:val="0"/>
              </w:rPr>
              <w:t>商务小组</w:t>
            </w:r>
          </w:p>
          <w:p>
            <w:pPr>
              <w:pStyle w:val="53"/>
              <w:rPr>
                <w:color w:val="000000"/>
                <w:kern w:val="0"/>
              </w:rPr>
            </w:pPr>
            <w:r>
              <w:rPr>
                <w:rFonts w:hint="eastAsia"/>
                <w:color w:val="000000"/>
                <w:kern w:val="0"/>
              </w:rPr>
              <w:t>运输实施小</w:t>
            </w:r>
            <w:r>
              <w:rPr>
                <w:color w:val="000000"/>
                <w:kern w:val="0"/>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kern w:val="0"/>
              </w:rPr>
            </w:pPr>
            <w:r>
              <w:rPr>
                <w:rFonts w:hint="eastAsia"/>
                <w:b/>
                <w:bCs w:val="0"/>
                <w:color w:val="000000"/>
                <w:kern w:val="0"/>
              </w:rPr>
              <w:t>验收</w:t>
            </w:r>
          </w:p>
        </w:tc>
        <w:tc>
          <w:tcPr>
            <w:tcW w:w="48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jc w:val="left"/>
              <w:rPr>
                <w:color w:val="000000"/>
                <w:kern w:val="0"/>
              </w:rPr>
            </w:pPr>
            <w:r>
              <w:rPr>
                <w:rFonts w:hint="eastAsia"/>
                <w:color w:val="000000"/>
                <w:kern w:val="0"/>
              </w:rPr>
              <w:t>根据验收方案对产品进行验收。</w:t>
            </w:r>
          </w:p>
        </w:tc>
        <w:tc>
          <w:tcPr>
            <w:tcW w:w="194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0"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kern w:val="0"/>
              </w:rPr>
            </w:pPr>
            <w:r>
              <w:rPr>
                <w:b/>
                <w:bCs w:val="0"/>
                <w:color w:val="000000"/>
                <w:kern w:val="0"/>
              </w:rPr>
              <w:t>实施后期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kern w:val="0"/>
              </w:rPr>
            </w:pPr>
            <w:r>
              <w:rPr>
                <w:b/>
                <w:bCs w:val="0"/>
                <w:color w:val="000000"/>
                <w:kern w:val="0"/>
              </w:rPr>
              <w:t>技术支持与售后服务</w:t>
            </w:r>
          </w:p>
        </w:tc>
        <w:tc>
          <w:tcPr>
            <w:tcW w:w="48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jc w:val="left"/>
              <w:rPr>
                <w:color w:val="000000"/>
                <w:kern w:val="0"/>
              </w:rPr>
            </w:pPr>
            <w:r>
              <w:rPr>
                <w:rFonts w:hint="eastAsia"/>
                <w:color w:val="000000"/>
                <w:kern w:val="0"/>
              </w:rPr>
              <w:t>1、</w:t>
            </w:r>
            <w:r>
              <w:rPr>
                <w:color w:val="000000"/>
                <w:kern w:val="0"/>
              </w:rPr>
              <w:t>提供给用户及时准确的帮助，包括使用方面的热线咨询</w:t>
            </w:r>
            <w:r>
              <w:rPr>
                <w:rFonts w:hint="eastAsia"/>
                <w:color w:val="000000"/>
                <w:kern w:val="0"/>
              </w:rPr>
              <w:t>、技术培训等。</w:t>
            </w:r>
          </w:p>
          <w:p>
            <w:pPr>
              <w:pStyle w:val="53"/>
              <w:jc w:val="left"/>
              <w:rPr>
                <w:color w:val="000000"/>
                <w:kern w:val="0"/>
              </w:rPr>
            </w:pPr>
            <w:r>
              <w:rPr>
                <w:color w:val="000000"/>
                <w:kern w:val="0"/>
              </w:rPr>
              <w:t>2</w:t>
            </w:r>
            <w:r>
              <w:rPr>
                <w:rFonts w:hint="eastAsia"/>
                <w:color w:val="000000"/>
                <w:kern w:val="0"/>
              </w:rPr>
              <w:t>、提供给用户及时准确的帮助，包括使用方面的热线咨询、产品的更换、投诉等问题。</w:t>
            </w:r>
          </w:p>
        </w:tc>
        <w:tc>
          <w:tcPr>
            <w:tcW w:w="194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kern w:val="0"/>
              </w:rPr>
            </w:pPr>
            <w:r>
              <w:rPr>
                <w:rFonts w:hint="eastAsia"/>
                <w:color w:val="000000"/>
                <w:kern w:val="0"/>
              </w:rPr>
              <w:t>售后</w:t>
            </w:r>
            <w:r>
              <w:rPr>
                <w:color w:val="000000"/>
                <w:kern w:val="0"/>
              </w:rPr>
              <w:t>支持</w:t>
            </w:r>
            <w:r>
              <w:rPr>
                <w:rFonts w:hint="eastAsia"/>
                <w:color w:val="000000"/>
                <w:kern w:val="0"/>
              </w:rPr>
              <w:t>小组</w:t>
            </w:r>
          </w:p>
        </w:tc>
      </w:tr>
    </w:tbl>
    <w:p>
      <w:pPr>
        <w:ind w:firstLine="480"/>
      </w:pPr>
      <w:r>
        <w:rPr>
          <w:rFonts w:hint="eastAsia"/>
        </w:rPr>
        <w:t>注：具体针对每个项目的实施计划，以中标后，与用户沟通结果为准。</w:t>
      </w:r>
    </w:p>
    <w:p>
      <w:pPr>
        <w:pStyle w:val="6"/>
        <w:bidi w:val="0"/>
      </w:pPr>
      <w:bookmarkStart w:id="66" w:name="_Toc22025"/>
      <w:r>
        <w:rPr>
          <w:rFonts w:hint="eastAsia"/>
          <w:lang w:val="en-US" w:eastAsia="zh-CN"/>
        </w:rPr>
        <w:t>（二）</w:t>
      </w:r>
      <w:r>
        <w:rPr>
          <w:rFonts w:hint="eastAsia"/>
        </w:rPr>
        <w:t>工作安排</w:t>
      </w:r>
      <w:bookmarkEnd w:id="66"/>
    </w:p>
    <w:p>
      <w:pPr>
        <w:ind w:firstLine="480"/>
      </w:pPr>
      <w:r>
        <w:rPr>
          <w:rFonts w:hint="eastAsia"/>
          <w:b/>
          <w:bCs/>
          <w:lang w:eastAsia="zh-CN"/>
        </w:rPr>
        <w:t>（</w:t>
      </w:r>
      <w:r>
        <w:rPr>
          <w:rFonts w:hint="eastAsia"/>
          <w:b/>
          <w:bCs/>
          <w:lang w:val="en-US" w:eastAsia="zh-CN"/>
        </w:rPr>
        <w:t>一</w:t>
      </w:r>
      <w:r>
        <w:rPr>
          <w:rFonts w:hint="eastAsia"/>
          <w:b/>
          <w:bCs/>
          <w:lang w:eastAsia="zh-CN"/>
        </w:rPr>
        <w:t>）</w:t>
      </w:r>
      <w:r>
        <w:rPr>
          <w:b/>
          <w:bCs/>
        </w:rPr>
        <w:t>项目供货：</w:t>
      </w:r>
      <w:r>
        <w:t>我公司与采购方签订合同后，将立即完成备货的工作。在供货期间，我公司将密切跟踪货物生产、运输情况，到货情况跟踪表格式如下：</w:t>
      </w:r>
    </w:p>
    <w:tbl>
      <w:tblPr>
        <w:tblStyle w:val="33"/>
        <w:tblW w:w="83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
        <w:gridCol w:w="1600"/>
        <w:gridCol w:w="952"/>
        <w:gridCol w:w="1461"/>
        <w:gridCol w:w="1663"/>
        <w:gridCol w:w="1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3" w:type="dxa"/>
            <w:shd w:val="clear" w:color="auto" w:fill="C5E0B3" w:themeFill="accent6" w:themeFillTint="66"/>
          </w:tcPr>
          <w:p>
            <w:pPr>
              <w:pStyle w:val="53"/>
              <w:rPr>
                <w:b/>
                <w:bCs w:val="0"/>
              </w:rPr>
            </w:pPr>
            <w:r>
              <w:rPr>
                <w:b/>
              </w:rPr>
              <w:t>名称</w:t>
            </w:r>
          </w:p>
        </w:tc>
        <w:tc>
          <w:tcPr>
            <w:tcW w:w="1600" w:type="dxa"/>
            <w:shd w:val="clear" w:color="auto" w:fill="C5E0B3" w:themeFill="accent6" w:themeFillTint="66"/>
          </w:tcPr>
          <w:p>
            <w:pPr>
              <w:pStyle w:val="53"/>
              <w:rPr>
                <w:b/>
                <w:bCs w:val="0"/>
              </w:rPr>
            </w:pPr>
            <w:r>
              <w:rPr>
                <w:b/>
              </w:rPr>
              <w:t>到货情况</w:t>
            </w:r>
          </w:p>
        </w:tc>
        <w:tc>
          <w:tcPr>
            <w:tcW w:w="952" w:type="dxa"/>
            <w:shd w:val="clear" w:color="auto" w:fill="C5E0B3" w:themeFill="accent6" w:themeFillTint="66"/>
          </w:tcPr>
          <w:p>
            <w:pPr>
              <w:pStyle w:val="53"/>
              <w:rPr>
                <w:b/>
                <w:bCs w:val="0"/>
              </w:rPr>
            </w:pPr>
            <w:r>
              <w:rPr>
                <w:b/>
              </w:rPr>
              <w:t>问题</w:t>
            </w:r>
          </w:p>
        </w:tc>
        <w:tc>
          <w:tcPr>
            <w:tcW w:w="1461" w:type="dxa"/>
            <w:shd w:val="clear" w:color="auto" w:fill="C5E0B3" w:themeFill="accent6" w:themeFillTint="66"/>
          </w:tcPr>
          <w:p>
            <w:pPr>
              <w:pStyle w:val="53"/>
              <w:rPr>
                <w:b/>
                <w:bCs w:val="0"/>
              </w:rPr>
            </w:pPr>
            <w:r>
              <w:rPr>
                <w:b/>
              </w:rPr>
              <w:t>原因</w:t>
            </w:r>
          </w:p>
        </w:tc>
        <w:tc>
          <w:tcPr>
            <w:tcW w:w="1663" w:type="dxa"/>
            <w:shd w:val="clear" w:color="auto" w:fill="C5E0B3" w:themeFill="accent6" w:themeFillTint="66"/>
          </w:tcPr>
          <w:p>
            <w:pPr>
              <w:pStyle w:val="53"/>
              <w:rPr>
                <w:b/>
                <w:bCs w:val="0"/>
              </w:rPr>
            </w:pPr>
            <w:r>
              <w:rPr>
                <w:b/>
              </w:rPr>
              <w:t>报告时间</w:t>
            </w:r>
          </w:p>
        </w:tc>
        <w:tc>
          <w:tcPr>
            <w:tcW w:w="1663" w:type="dxa"/>
            <w:shd w:val="clear" w:color="auto" w:fill="C5E0B3" w:themeFill="accent6" w:themeFillTint="66"/>
          </w:tcPr>
          <w:p>
            <w:pPr>
              <w:pStyle w:val="53"/>
              <w:rPr>
                <w:b/>
                <w:bCs w:val="0"/>
              </w:rPr>
            </w:pPr>
            <w:r>
              <w:rPr>
                <w:b/>
              </w:rPr>
              <w:t>报告人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3" w:type="dxa"/>
          </w:tcPr>
          <w:p>
            <w:pPr>
              <w:pStyle w:val="53"/>
            </w:pPr>
          </w:p>
        </w:tc>
        <w:tc>
          <w:tcPr>
            <w:tcW w:w="1600" w:type="dxa"/>
          </w:tcPr>
          <w:p>
            <w:pPr>
              <w:pStyle w:val="53"/>
            </w:pPr>
          </w:p>
        </w:tc>
        <w:tc>
          <w:tcPr>
            <w:tcW w:w="952" w:type="dxa"/>
          </w:tcPr>
          <w:p>
            <w:pPr>
              <w:pStyle w:val="53"/>
            </w:pPr>
          </w:p>
        </w:tc>
        <w:tc>
          <w:tcPr>
            <w:tcW w:w="1461" w:type="dxa"/>
          </w:tcPr>
          <w:p>
            <w:pPr>
              <w:pStyle w:val="53"/>
            </w:pPr>
          </w:p>
        </w:tc>
        <w:tc>
          <w:tcPr>
            <w:tcW w:w="1663" w:type="dxa"/>
          </w:tcPr>
          <w:p>
            <w:pPr>
              <w:pStyle w:val="53"/>
            </w:pPr>
          </w:p>
        </w:tc>
        <w:tc>
          <w:tcPr>
            <w:tcW w:w="1663" w:type="dxa"/>
          </w:tcPr>
          <w:p>
            <w:pPr>
              <w:pStyle w:val="5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3" w:type="dxa"/>
          </w:tcPr>
          <w:p>
            <w:pPr>
              <w:pStyle w:val="53"/>
            </w:pPr>
          </w:p>
        </w:tc>
        <w:tc>
          <w:tcPr>
            <w:tcW w:w="1600" w:type="dxa"/>
          </w:tcPr>
          <w:p>
            <w:pPr>
              <w:pStyle w:val="53"/>
            </w:pPr>
          </w:p>
        </w:tc>
        <w:tc>
          <w:tcPr>
            <w:tcW w:w="952" w:type="dxa"/>
          </w:tcPr>
          <w:p>
            <w:pPr>
              <w:pStyle w:val="53"/>
            </w:pPr>
          </w:p>
        </w:tc>
        <w:tc>
          <w:tcPr>
            <w:tcW w:w="1461" w:type="dxa"/>
          </w:tcPr>
          <w:p>
            <w:pPr>
              <w:pStyle w:val="53"/>
            </w:pPr>
          </w:p>
        </w:tc>
        <w:tc>
          <w:tcPr>
            <w:tcW w:w="1663" w:type="dxa"/>
          </w:tcPr>
          <w:p>
            <w:pPr>
              <w:pStyle w:val="53"/>
            </w:pPr>
          </w:p>
        </w:tc>
        <w:tc>
          <w:tcPr>
            <w:tcW w:w="1663" w:type="dxa"/>
          </w:tcPr>
          <w:p>
            <w:pPr>
              <w:pStyle w:val="5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3" w:type="dxa"/>
          </w:tcPr>
          <w:p>
            <w:pPr>
              <w:pStyle w:val="53"/>
            </w:pPr>
          </w:p>
        </w:tc>
        <w:tc>
          <w:tcPr>
            <w:tcW w:w="1600" w:type="dxa"/>
          </w:tcPr>
          <w:p>
            <w:pPr>
              <w:pStyle w:val="53"/>
            </w:pPr>
          </w:p>
        </w:tc>
        <w:tc>
          <w:tcPr>
            <w:tcW w:w="952" w:type="dxa"/>
          </w:tcPr>
          <w:p>
            <w:pPr>
              <w:pStyle w:val="53"/>
            </w:pPr>
          </w:p>
        </w:tc>
        <w:tc>
          <w:tcPr>
            <w:tcW w:w="1461" w:type="dxa"/>
          </w:tcPr>
          <w:p>
            <w:pPr>
              <w:pStyle w:val="53"/>
            </w:pPr>
          </w:p>
        </w:tc>
        <w:tc>
          <w:tcPr>
            <w:tcW w:w="1663" w:type="dxa"/>
          </w:tcPr>
          <w:p>
            <w:pPr>
              <w:pStyle w:val="53"/>
            </w:pPr>
          </w:p>
        </w:tc>
        <w:tc>
          <w:tcPr>
            <w:tcW w:w="1663" w:type="dxa"/>
          </w:tcPr>
          <w:p>
            <w:pPr>
              <w:pStyle w:val="5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3" w:type="dxa"/>
          </w:tcPr>
          <w:p>
            <w:pPr>
              <w:pStyle w:val="53"/>
            </w:pPr>
          </w:p>
        </w:tc>
        <w:tc>
          <w:tcPr>
            <w:tcW w:w="1600" w:type="dxa"/>
          </w:tcPr>
          <w:p>
            <w:pPr>
              <w:pStyle w:val="53"/>
            </w:pPr>
          </w:p>
        </w:tc>
        <w:tc>
          <w:tcPr>
            <w:tcW w:w="952" w:type="dxa"/>
          </w:tcPr>
          <w:p>
            <w:pPr>
              <w:pStyle w:val="53"/>
            </w:pPr>
          </w:p>
        </w:tc>
        <w:tc>
          <w:tcPr>
            <w:tcW w:w="1461" w:type="dxa"/>
          </w:tcPr>
          <w:p>
            <w:pPr>
              <w:pStyle w:val="53"/>
            </w:pPr>
          </w:p>
        </w:tc>
        <w:tc>
          <w:tcPr>
            <w:tcW w:w="1663" w:type="dxa"/>
          </w:tcPr>
          <w:p>
            <w:pPr>
              <w:pStyle w:val="53"/>
            </w:pPr>
          </w:p>
        </w:tc>
        <w:tc>
          <w:tcPr>
            <w:tcW w:w="1663" w:type="dxa"/>
          </w:tcPr>
          <w:p>
            <w:pPr>
              <w:pStyle w:val="5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3" w:type="dxa"/>
          </w:tcPr>
          <w:p>
            <w:pPr>
              <w:pStyle w:val="53"/>
            </w:pPr>
          </w:p>
        </w:tc>
        <w:tc>
          <w:tcPr>
            <w:tcW w:w="1600" w:type="dxa"/>
          </w:tcPr>
          <w:p>
            <w:pPr>
              <w:pStyle w:val="53"/>
            </w:pPr>
          </w:p>
        </w:tc>
        <w:tc>
          <w:tcPr>
            <w:tcW w:w="952" w:type="dxa"/>
          </w:tcPr>
          <w:p>
            <w:pPr>
              <w:pStyle w:val="53"/>
            </w:pPr>
          </w:p>
        </w:tc>
        <w:tc>
          <w:tcPr>
            <w:tcW w:w="1461" w:type="dxa"/>
          </w:tcPr>
          <w:p>
            <w:pPr>
              <w:pStyle w:val="53"/>
            </w:pPr>
          </w:p>
        </w:tc>
        <w:tc>
          <w:tcPr>
            <w:tcW w:w="1663" w:type="dxa"/>
          </w:tcPr>
          <w:p>
            <w:pPr>
              <w:pStyle w:val="53"/>
            </w:pPr>
          </w:p>
        </w:tc>
        <w:tc>
          <w:tcPr>
            <w:tcW w:w="1663" w:type="dxa"/>
          </w:tcPr>
          <w:p>
            <w:pPr>
              <w:pStyle w:val="5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3" w:type="dxa"/>
          </w:tcPr>
          <w:p>
            <w:pPr>
              <w:pStyle w:val="53"/>
            </w:pPr>
          </w:p>
        </w:tc>
        <w:tc>
          <w:tcPr>
            <w:tcW w:w="1600" w:type="dxa"/>
          </w:tcPr>
          <w:p>
            <w:pPr>
              <w:pStyle w:val="53"/>
            </w:pPr>
          </w:p>
        </w:tc>
        <w:tc>
          <w:tcPr>
            <w:tcW w:w="952" w:type="dxa"/>
          </w:tcPr>
          <w:p>
            <w:pPr>
              <w:pStyle w:val="53"/>
            </w:pPr>
          </w:p>
        </w:tc>
        <w:tc>
          <w:tcPr>
            <w:tcW w:w="1461" w:type="dxa"/>
          </w:tcPr>
          <w:p>
            <w:pPr>
              <w:pStyle w:val="53"/>
            </w:pPr>
          </w:p>
        </w:tc>
        <w:tc>
          <w:tcPr>
            <w:tcW w:w="1663" w:type="dxa"/>
          </w:tcPr>
          <w:p>
            <w:pPr>
              <w:pStyle w:val="53"/>
            </w:pPr>
          </w:p>
        </w:tc>
        <w:tc>
          <w:tcPr>
            <w:tcW w:w="1663" w:type="dxa"/>
          </w:tcPr>
          <w:p>
            <w:pPr>
              <w:pStyle w:val="53"/>
            </w:pPr>
          </w:p>
        </w:tc>
      </w:tr>
    </w:tbl>
    <w:p>
      <w:pPr>
        <w:ind w:firstLine="480"/>
      </w:pPr>
      <w:r>
        <w:rPr>
          <w:rFonts w:hint="eastAsia"/>
        </w:rPr>
        <w:t>在供货阶段，公司遵循以下原则：</w:t>
      </w:r>
    </w:p>
    <w:p>
      <w:pPr>
        <w:ind w:firstLine="480"/>
      </w:pPr>
      <w:r>
        <w:rPr>
          <w:rFonts w:hint="eastAsia"/>
          <w:lang w:val="en-US" w:eastAsia="zh-CN"/>
        </w:rPr>
        <w:t>1、</w:t>
      </w:r>
      <w:r>
        <w:t>在所有产品的运输过程中，公司将严格按标准加以保护措施，以符合远距离运输、防潮、防震和防野蛮装卸等要求，能确保货物安全无损地运抵目的地。</w:t>
      </w:r>
    </w:p>
    <w:p>
      <w:pPr>
        <w:ind w:firstLine="480"/>
      </w:pPr>
      <w:r>
        <w:rPr>
          <w:rFonts w:hint="eastAsia"/>
          <w:lang w:val="en-US" w:eastAsia="zh-CN"/>
        </w:rPr>
        <w:t>2、</w:t>
      </w:r>
      <w:r>
        <w:t>我公司负责国内运输和支付运费、保险费，确保按照合同规定的交货期交货。</w:t>
      </w:r>
    </w:p>
    <w:p>
      <w:pPr>
        <w:ind w:firstLine="480"/>
      </w:pPr>
      <w:r>
        <w:rPr>
          <w:rFonts w:hint="eastAsia"/>
          <w:lang w:val="en-US" w:eastAsia="zh-CN"/>
        </w:rPr>
        <w:t>3、</w:t>
      </w:r>
      <w:r>
        <w:t>货物收据签收日期视为实际交货日期。</w:t>
      </w:r>
    </w:p>
    <w:p>
      <w:pPr>
        <w:ind w:firstLine="480"/>
      </w:pPr>
      <w:r>
        <w:rPr>
          <w:rFonts w:hint="eastAsia"/>
          <w:lang w:val="en-US" w:eastAsia="zh-CN"/>
        </w:rPr>
        <w:t>4、</w:t>
      </w:r>
      <w:r>
        <w:t>项目现场以合同条款资料表中规定为准。</w:t>
      </w:r>
    </w:p>
    <w:p>
      <w:pPr>
        <w:ind w:firstLine="480"/>
      </w:pPr>
      <w:r>
        <w:rPr>
          <w:rFonts w:hint="eastAsia"/>
          <w:b/>
          <w:bCs/>
          <w:lang w:eastAsia="zh-CN"/>
        </w:rPr>
        <w:t>（</w:t>
      </w:r>
      <w:r>
        <w:rPr>
          <w:rFonts w:hint="eastAsia"/>
          <w:b/>
          <w:bCs/>
          <w:lang w:val="en-US" w:eastAsia="zh-CN"/>
        </w:rPr>
        <w:t>二</w:t>
      </w:r>
      <w:r>
        <w:rPr>
          <w:rFonts w:hint="eastAsia"/>
          <w:b/>
          <w:bCs/>
          <w:lang w:eastAsia="zh-CN"/>
        </w:rPr>
        <w:t>）</w:t>
      </w:r>
      <w:r>
        <w:rPr>
          <w:b/>
          <w:bCs/>
        </w:rPr>
        <w:t>制定详细运输方案：</w:t>
      </w:r>
      <w:r>
        <w:t>由项目经理、运输部门和项目单位技术人员共同对运输方案的运输方式、运输路线等内容进行分析、探讨和引证，并确认运输方案。运输部门制订一份具体的《项目运输计划》，计划应包含运输的方式、运输路线、批次及进度控制。运输实施小组根据运输计划要求准备运输设备及装卸工具、人员（如：运输车辆、装卸叉车等），确保以最快的速度完成产品的运输工作。</w:t>
      </w:r>
    </w:p>
    <w:p>
      <w:pPr>
        <w:ind w:firstLine="480"/>
      </w:pPr>
      <w:r>
        <w:rPr>
          <w:rFonts w:hint="eastAsia"/>
          <w:b/>
          <w:bCs/>
          <w:lang w:eastAsia="zh-CN"/>
        </w:rPr>
        <w:t>（</w:t>
      </w:r>
      <w:r>
        <w:rPr>
          <w:rFonts w:hint="eastAsia"/>
          <w:b/>
          <w:bCs/>
          <w:lang w:val="en-US" w:eastAsia="zh-CN"/>
        </w:rPr>
        <w:t>三</w:t>
      </w:r>
      <w:r>
        <w:rPr>
          <w:rFonts w:hint="eastAsia"/>
          <w:b/>
          <w:bCs/>
          <w:lang w:eastAsia="zh-CN"/>
        </w:rPr>
        <w:t>）</w:t>
      </w:r>
      <w:r>
        <w:rPr>
          <w:b/>
          <w:bCs/>
        </w:rPr>
        <w:t>产品到货验收：</w:t>
      </w:r>
      <w:r>
        <w:t>运输小组及随车人员在抵达客户现场后，与客户一同组织产品验收，包括确认货物是否符合合同规格要求及开箱检验是否有质量问题的过程，如发现货物的质量、规格或数量与合同不符，则报项目经理处理。如果检测与验收合格，则请客户在相应产品验收表单上签字验收。产品的清点是指对开箱后的产品情况，数量进行检查和清点，确保货物没有遗失。主要针对所到的产品性能、指标及规格是否符合产品性能要求。其中运输包装检查和产品清点两个环节由采购方执行，如果采购方通知我公司，而我公司有指派相应人员到场，则由双方共同进行。</w:t>
      </w:r>
    </w:p>
    <w:p>
      <w:pPr>
        <w:ind w:firstLine="480"/>
      </w:pPr>
      <w:r>
        <w:rPr>
          <w:rFonts w:hint="eastAsia"/>
          <w:b/>
          <w:bCs/>
          <w:lang w:eastAsia="zh-CN"/>
        </w:rPr>
        <w:t>（</w:t>
      </w:r>
      <w:r>
        <w:rPr>
          <w:rFonts w:hint="eastAsia"/>
          <w:b/>
          <w:bCs/>
          <w:lang w:val="en-US" w:eastAsia="zh-CN"/>
        </w:rPr>
        <w:t>四</w:t>
      </w:r>
      <w:r>
        <w:rPr>
          <w:rFonts w:hint="eastAsia"/>
          <w:b/>
          <w:bCs/>
          <w:lang w:eastAsia="zh-CN"/>
        </w:rPr>
        <w:t>）</w:t>
      </w:r>
      <w:r>
        <w:rPr>
          <w:b/>
          <w:bCs/>
        </w:rPr>
        <w:t>验收工作：</w:t>
      </w:r>
      <w:r>
        <w:t>到货后，通知采购方相关人员到现场进行验收，验收合格后，把所有的货物交采购方保管和使用。</w:t>
      </w:r>
    </w:p>
    <w:p>
      <w:pPr>
        <w:spacing w:before="0" w:after="0" w:line="240" w:lineRule="auto"/>
        <w:ind w:firstLine="0" w:firstLineChars="0"/>
        <w:jc w:val="left"/>
      </w:pPr>
      <w:r>
        <w:br w:type="page"/>
      </w:r>
    </w:p>
    <w:p>
      <w:pPr>
        <w:pStyle w:val="5"/>
        <w:bidi w:val="0"/>
      </w:pPr>
      <w:bookmarkStart w:id="67" w:name="_Toc117181871"/>
      <w:bookmarkStart w:id="68" w:name="_Toc118293195"/>
      <w:bookmarkStart w:id="69" w:name="_Toc25441"/>
      <w:bookmarkStart w:id="70" w:name="_Toc115352607"/>
      <w:bookmarkStart w:id="71" w:name="_Toc116226165"/>
      <w:r>
        <w:rPr>
          <w:rFonts w:hint="eastAsia"/>
          <w:lang w:val="en-US" w:eastAsia="zh-CN"/>
        </w:rPr>
        <w:t>六、</w:t>
      </w:r>
      <w:r>
        <w:rPr>
          <w:rFonts w:hint="eastAsia"/>
        </w:rPr>
        <w:t>供货实施方案</w:t>
      </w:r>
      <w:bookmarkEnd w:id="67"/>
      <w:bookmarkEnd w:id="68"/>
      <w:bookmarkEnd w:id="69"/>
      <w:bookmarkEnd w:id="70"/>
      <w:bookmarkEnd w:id="71"/>
    </w:p>
    <w:p>
      <w:pPr>
        <w:pStyle w:val="52"/>
      </w:pPr>
      <w:r>
        <w:drawing>
          <wp:inline distT="0" distB="0" distL="0" distR="0">
            <wp:extent cx="4168140" cy="3700145"/>
            <wp:effectExtent l="9525" t="9525" r="13335" b="24130"/>
            <wp:docPr id="11" name="图片 11" descr="未命名文件(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未命名文件(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168140" cy="3700145"/>
                    </a:xfrm>
                    <a:prstGeom prst="rect">
                      <a:avLst/>
                    </a:prstGeom>
                    <a:noFill/>
                    <a:ln>
                      <a:solidFill>
                        <a:srgbClr val="0000FF"/>
                      </a:solidFill>
                    </a:ln>
                    <a:effectLst/>
                  </pic:spPr>
                </pic:pic>
              </a:graphicData>
            </a:graphic>
          </wp:inline>
        </w:drawing>
      </w:r>
    </w:p>
    <w:p>
      <w:pPr>
        <w:ind w:firstLine="480"/>
      </w:pPr>
      <w:r>
        <w:rPr>
          <w:rFonts w:hint="eastAsia"/>
        </w:rPr>
        <w:t>中标后，我单位将把本项目作为我单位的“重点项目”，我公司将按照重点项目的处理模式，圆满完成供货服务的技术工作。根据我公司的实际及产品特点，以“顾客为关注点”的原则，建立了与顾客服务相关的及直接为顾客服务的管理文件，高效、优质、及时、有序地进行一切服务活动，具体说明如下：</w:t>
      </w:r>
    </w:p>
    <w:p>
      <w:pPr>
        <w:pStyle w:val="6"/>
        <w:bidi w:val="0"/>
      </w:pPr>
      <w:bookmarkStart w:id="72" w:name="_Toc17370"/>
      <w:r>
        <w:rPr>
          <w:rFonts w:hint="eastAsia"/>
          <w:lang w:val="en-US" w:eastAsia="zh-CN"/>
        </w:rPr>
        <w:t>（一）</w:t>
      </w:r>
      <w:r>
        <w:rPr>
          <w:rFonts w:hint="eastAsia"/>
        </w:rPr>
        <w:t>生产计划</w:t>
      </w:r>
      <w:bookmarkEnd w:id="72"/>
    </w:p>
    <w:p>
      <w:pPr>
        <w:ind w:firstLine="480"/>
      </w:pPr>
      <w:r>
        <w:rPr>
          <w:rFonts w:hint="eastAsia"/>
          <w:lang w:eastAsia="zh-CN"/>
        </w:rPr>
        <w:t>（</w:t>
      </w:r>
      <w:r>
        <w:rPr>
          <w:rFonts w:hint="eastAsia"/>
          <w:lang w:val="en-US" w:eastAsia="zh-CN"/>
        </w:rPr>
        <w:t>一</w:t>
      </w:r>
      <w:r>
        <w:rPr>
          <w:rFonts w:hint="eastAsia"/>
          <w:lang w:eastAsia="zh-CN"/>
        </w:rPr>
        <w:t>）</w:t>
      </w:r>
      <w:r>
        <w:t>业务部：订单产品报价成本分析，提供材料（定额）清单，样品制作和确认，下达采购指令，签发生产通知单，协调产品发货。</w:t>
      </w:r>
    </w:p>
    <w:p>
      <w:pPr>
        <w:ind w:firstLine="480"/>
      </w:pPr>
      <w:r>
        <w:rPr>
          <w:rFonts w:hint="eastAsia"/>
          <w:lang w:eastAsia="zh-CN"/>
        </w:rPr>
        <w:t>（</w:t>
      </w:r>
      <w:r>
        <w:rPr>
          <w:rFonts w:hint="eastAsia"/>
          <w:lang w:val="en-US" w:eastAsia="zh-CN"/>
        </w:rPr>
        <w:t>二</w:t>
      </w:r>
      <w:r>
        <w:rPr>
          <w:rFonts w:hint="eastAsia"/>
          <w:lang w:eastAsia="zh-CN"/>
        </w:rPr>
        <w:t>）</w:t>
      </w:r>
      <w:r>
        <w:t>生产部：参与订单评审，审核业务部提交的生产通知单、材料定额，审定工序流程和工时定额及生产指令，协调督导采购、车间、生产、检验包装落实职能工作，按期保质保量完成生产任务。</w:t>
      </w:r>
    </w:p>
    <w:p>
      <w:pPr>
        <w:ind w:firstLine="480"/>
      </w:pPr>
      <w:r>
        <w:rPr>
          <w:rFonts w:hint="eastAsia"/>
          <w:lang w:eastAsia="zh-CN"/>
        </w:rPr>
        <w:t>（</w:t>
      </w:r>
      <w:r>
        <w:rPr>
          <w:rFonts w:hint="eastAsia"/>
          <w:lang w:val="en-US" w:eastAsia="zh-CN"/>
        </w:rPr>
        <w:t>三</w:t>
      </w:r>
      <w:r>
        <w:rPr>
          <w:rFonts w:hint="eastAsia"/>
          <w:lang w:eastAsia="zh-CN"/>
        </w:rPr>
        <w:t>）</w:t>
      </w:r>
      <w:r>
        <w:t>采购部：根据材料定额和业务部下达的采购指令组织原辅材料的采购，保证质量，按期入库，确保生产用料。</w:t>
      </w:r>
    </w:p>
    <w:p>
      <w:pPr>
        <w:ind w:firstLine="480"/>
      </w:pPr>
      <w:r>
        <w:rPr>
          <w:rFonts w:hint="eastAsia"/>
          <w:lang w:eastAsia="zh-CN"/>
        </w:rPr>
        <w:t>（</w:t>
      </w:r>
      <w:r>
        <w:rPr>
          <w:rFonts w:hint="eastAsia"/>
          <w:lang w:val="en-US" w:eastAsia="zh-CN"/>
        </w:rPr>
        <w:t>四</w:t>
      </w:r>
      <w:r>
        <w:rPr>
          <w:rFonts w:hint="eastAsia"/>
          <w:lang w:eastAsia="zh-CN"/>
        </w:rPr>
        <w:t>）</w:t>
      </w:r>
      <w:r>
        <w:t>质检部：根据程序执行进料检验、成品检验和出货检验，确保出货产品的品质。</w:t>
      </w:r>
    </w:p>
    <w:p>
      <w:pPr>
        <w:ind w:firstLine="480"/>
      </w:pPr>
      <w:r>
        <w:rPr>
          <w:rFonts w:hint="eastAsia"/>
          <w:lang w:eastAsia="zh-CN"/>
        </w:rPr>
        <w:t>（</w:t>
      </w:r>
      <w:r>
        <w:rPr>
          <w:rFonts w:hint="eastAsia"/>
          <w:lang w:val="en-US" w:eastAsia="zh-CN"/>
        </w:rPr>
        <w:t>五</w:t>
      </w:r>
      <w:r>
        <w:rPr>
          <w:rFonts w:hint="eastAsia"/>
          <w:lang w:eastAsia="zh-CN"/>
        </w:rPr>
        <w:t>）</w:t>
      </w:r>
      <w:r>
        <w:t>生产车间：执行生产部下达的周生产进度计划，分解工序，调配生产要素（人员、材料、机台等），组织均衡生产，督导落实制作工艺流程，按期完成生产任务。</w:t>
      </w:r>
    </w:p>
    <w:p>
      <w:pPr>
        <w:ind w:firstLine="480"/>
      </w:pPr>
      <w:r>
        <w:rPr>
          <w:rFonts w:hint="eastAsia"/>
          <w:lang w:eastAsia="zh-CN"/>
        </w:rPr>
        <w:t>（</w:t>
      </w:r>
      <w:r>
        <w:rPr>
          <w:rFonts w:hint="eastAsia"/>
          <w:lang w:val="en-US" w:eastAsia="zh-CN"/>
        </w:rPr>
        <w:t>六</w:t>
      </w:r>
      <w:r>
        <w:rPr>
          <w:rFonts w:hint="eastAsia"/>
          <w:lang w:eastAsia="zh-CN"/>
        </w:rPr>
        <w:t>）</w:t>
      </w:r>
      <w:r>
        <w:t>仓管部：负责物料的进库、保管和发放管理。</w:t>
      </w:r>
    </w:p>
    <w:p>
      <w:pPr>
        <w:ind w:firstLine="480"/>
      </w:pPr>
      <w:r>
        <w:rPr>
          <w:rFonts w:hint="eastAsia"/>
          <w:lang w:eastAsia="zh-CN"/>
        </w:rPr>
        <w:t>（</w:t>
      </w:r>
      <w:r>
        <w:rPr>
          <w:rFonts w:hint="eastAsia"/>
          <w:lang w:val="en-US" w:eastAsia="zh-CN"/>
        </w:rPr>
        <w:t>七</w:t>
      </w:r>
      <w:r>
        <w:rPr>
          <w:rFonts w:hint="eastAsia"/>
          <w:lang w:eastAsia="zh-CN"/>
        </w:rPr>
        <w:t>）</w:t>
      </w:r>
      <w:r>
        <w:t>项目部统筹安排好生产计划和生产准备协调工作。</w:t>
      </w:r>
    </w:p>
    <w:p>
      <w:pPr>
        <w:ind w:firstLine="480"/>
      </w:pPr>
      <w:r>
        <w:rPr>
          <w:rFonts w:hint="eastAsia"/>
          <w:lang w:eastAsia="zh-CN"/>
        </w:rPr>
        <w:t>（</w:t>
      </w:r>
      <w:r>
        <w:rPr>
          <w:rFonts w:hint="eastAsia"/>
          <w:lang w:val="en-US" w:eastAsia="zh-CN"/>
        </w:rPr>
        <w:t>八</w:t>
      </w:r>
      <w:r>
        <w:rPr>
          <w:rFonts w:hint="eastAsia"/>
          <w:lang w:eastAsia="zh-CN"/>
        </w:rPr>
        <w:t>）</w:t>
      </w:r>
      <w:r>
        <w:t>各部门应按规定期限落实生产准备工作，为车间生产创造良好条件，业务部提供材料采购清单及耗用定额，经生产经理审核，报总经理审定，交采购部采购。</w:t>
      </w:r>
    </w:p>
    <w:p>
      <w:pPr>
        <w:ind w:firstLine="480"/>
      </w:pPr>
      <w:r>
        <w:rPr>
          <w:rFonts w:hint="eastAsia"/>
          <w:lang w:eastAsia="zh-CN"/>
        </w:rPr>
        <w:t>（</w:t>
      </w:r>
      <w:r>
        <w:rPr>
          <w:rFonts w:hint="eastAsia"/>
          <w:lang w:val="en-US" w:eastAsia="zh-CN"/>
        </w:rPr>
        <w:t>九</w:t>
      </w:r>
      <w:r>
        <w:rPr>
          <w:rFonts w:hint="eastAsia"/>
          <w:lang w:eastAsia="zh-CN"/>
        </w:rPr>
        <w:t>）</w:t>
      </w:r>
      <w:r>
        <w:t>车间主管应对拟批量投产的产品进行工步分解和工序划分，编制生产工序流程，拟定工序，报生产部审核。</w:t>
      </w:r>
    </w:p>
    <w:p>
      <w:pPr>
        <w:ind w:firstLine="480"/>
      </w:pPr>
      <w:r>
        <w:rPr>
          <w:rFonts w:hint="eastAsia"/>
          <w:lang w:eastAsia="zh-CN"/>
        </w:rPr>
        <w:t>（</w:t>
      </w:r>
      <w:r>
        <w:rPr>
          <w:rFonts w:hint="eastAsia"/>
          <w:lang w:val="en-US" w:eastAsia="zh-CN"/>
        </w:rPr>
        <w:t>十</w:t>
      </w:r>
      <w:r>
        <w:rPr>
          <w:rFonts w:hint="eastAsia"/>
          <w:lang w:eastAsia="zh-CN"/>
        </w:rPr>
        <w:t>）</w:t>
      </w:r>
      <w:r>
        <w:t>生产部根据订单合同和车间的实际产能，编制周生产计划，经周例会审定，下达各部门、车间执行。</w:t>
      </w:r>
    </w:p>
    <w:p>
      <w:pPr>
        <w:ind w:firstLine="480"/>
      </w:pPr>
      <w:r>
        <w:rPr>
          <w:rFonts w:hint="eastAsia"/>
          <w:lang w:eastAsia="zh-CN"/>
        </w:rPr>
        <w:t>（</w:t>
      </w:r>
      <w:r>
        <w:rPr>
          <w:rFonts w:hint="eastAsia"/>
          <w:lang w:val="en-US" w:eastAsia="zh-CN"/>
        </w:rPr>
        <w:t>十一</w:t>
      </w:r>
      <w:r>
        <w:rPr>
          <w:rFonts w:hint="eastAsia"/>
          <w:lang w:eastAsia="zh-CN"/>
        </w:rPr>
        <w:t>）</w:t>
      </w:r>
      <w:r>
        <w:t>生产过程控制：新订单投料后，车间应对每道工序进行首件确认，确认的内容包括材料质地颜色、样式结构、加工质量和外观效果（参照业务部提供的样品）。</w:t>
      </w:r>
    </w:p>
    <w:p>
      <w:pPr>
        <w:ind w:firstLine="480"/>
      </w:pPr>
      <w:r>
        <w:rPr>
          <w:rFonts w:hint="eastAsia"/>
          <w:lang w:eastAsia="zh-CN"/>
        </w:rPr>
        <w:t>（</w:t>
      </w:r>
      <w:r>
        <w:rPr>
          <w:rFonts w:hint="eastAsia"/>
          <w:lang w:val="en-US" w:eastAsia="zh-CN"/>
        </w:rPr>
        <w:t>十二</w:t>
      </w:r>
      <w:r>
        <w:rPr>
          <w:rFonts w:hint="eastAsia"/>
          <w:lang w:eastAsia="zh-CN"/>
        </w:rPr>
        <w:t>）</w:t>
      </w:r>
      <w:r>
        <w:t>首件确认由组长组织，本工序作业人员参加，首件确认必须要有记录。</w:t>
      </w:r>
    </w:p>
    <w:p>
      <w:pPr>
        <w:pStyle w:val="6"/>
        <w:bidi w:val="0"/>
      </w:pPr>
      <w:bookmarkStart w:id="73" w:name="_Toc13664"/>
      <w:r>
        <w:rPr>
          <w:rFonts w:hint="eastAsia"/>
          <w:lang w:val="en-US" w:eastAsia="zh-CN"/>
        </w:rPr>
        <w:t>（二）</w:t>
      </w:r>
      <w:r>
        <w:rPr>
          <w:rFonts w:hint="eastAsia"/>
        </w:rPr>
        <w:t>供货方案</w:t>
      </w:r>
      <w:bookmarkEnd w:id="73"/>
    </w:p>
    <w:p>
      <w:pPr>
        <w:ind w:firstLine="480"/>
      </w:pPr>
      <w:r>
        <w:rPr>
          <w:rFonts w:hint="eastAsia"/>
          <w:lang w:eastAsia="zh-CN"/>
        </w:rPr>
        <w:t>（</w:t>
      </w:r>
      <w:r>
        <w:rPr>
          <w:rFonts w:hint="eastAsia"/>
          <w:lang w:val="en-US" w:eastAsia="zh-CN"/>
        </w:rPr>
        <w:t>一</w:t>
      </w:r>
      <w:r>
        <w:rPr>
          <w:rFonts w:hint="eastAsia"/>
          <w:lang w:eastAsia="zh-CN"/>
        </w:rPr>
        <w:t>）</w:t>
      </w:r>
      <w:r>
        <w:t>交货地点、交货时间、交货方式、运输条件及验收时间：</w:t>
      </w:r>
    </w:p>
    <w:p>
      <w:pPr>
        <w:ind w:firstLine="480"/>
      </w:pPr>
      <w:r>
        <w:rPr>
          <w:rFonts w:hint="eastAsia"/>
          <w:lang w:val="en-US" w:eastAsia="zh-CN"/>
        </w:rPr>
        <w:t>1、</w:t>
      </w:r>
      <w:r>
        <w:t>交货地点：</w:t>
      </w:r>
      <w:r>
        <w:rPr>
          <w:rFonts w:hint="eastAsia"/>
        </w:rPr>
        <w:t>采购人指定地点</w:t>
      </w:r>
      <w:r>
        <w:t>。</w:t>
      </w:r>
    </w:p>
    <w:p>
      <w:pPr>
        <w:ind w:firstLine="480"/>
      </w:pPr>
      <w:r>
        <w:rPr>
          <w:rFonts w:hint="eastAsia"/>
          <w:lang w:val="en-US" w:eastAsia="zh-CN"/>
        </w:rPr>
        <w:t>2、</w:t>
      </w:r>
      <w:r>
        <w:t>交货时间：</w:t>
      </w:r>
      <w:r>
        <w:rPr>
          <w:rFonts w:hint="eastAsia"/>
        </w:rPr>
        <w:t>合同签订后，</w:t>
      </w:r>
      <w:r>
        <w:t>15日历天内全部交清。</w:t>
      </w:r>
    </w:p>
    <w:p>
      <w:pPr>
        <w:ind w:firstLine="480"/>
      </w:pPr>
      <w:r>
        <w:rPr>
          <w:rFonts w:hint="eastAsia"/>
          <w:lang w:val="en-US" w:eastAsia="zh-CN"/>
        </w:rPr>
        <w:t>3、</w:t>
      </w:r>
      <w:r>
        <w:t>交货方式：产品到达指定的场所后经双方检验合格后方可交货。</w:t>
      </w:r>
    </w:p>
    <w:p>
      <w:pPr>
        <w:ind w:firstLine="480"/>
      </w:pPr>
      <w:r>
        <w:rPr>
          <w:rFonts w:hint="eastAsia"/>
          <w:lang w:val="en-US" w:eastAsia="zh-CN"/>
        </w:rPr>
        <w:t>4、</w:t>
      </w:r>
      <w:r>
        <w:t>运输条件：专车汽运，运费由我方承担。</w:t>
      </w:r>
    </w:p>
    <w:p>
      <w:pPr>
        <w:ind w:firstLine="480"/>
      </w:pPr>
      <w:r>
        <w:rPr>
          <w:rFonts w:hint="eastAsia"/>
          <w:lang w:eastAsia="zh-CN"/>
        </w:rPr>
        <w:t>（</w:t>
      </w:r>
      <w:r>
        <w:rPr>
          <w:rFonts w:hint="eastAsia"/>
          <w:lang w:val="en-US" w:eastAsia="zh-CN"/>
        </w:rPr>
        <w:t>二</w:t>
      </w:r>
      <w:r>
        <w:rPr>
          <w:rFonts w:hint="eastAsia"/>
          <w:lang w:eastAsia="zh-CN"/>
        </w:rPr>
        <w:t>）</w:t>
      </w:r>
      <w:r>
        <w:t>投标货物的质量标准及验收方式说明：</w:t>
      </w:r>
    </w:p>
    <w:p>
      <w:pPr>
        <w:ind w:firstLine="480"/>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产品到达用户指定地点后，由双方组织对产品进行验收。</w:t>
      </w:r>
    </w:p>
    <w:p>
      <w:pPr>
        <w:ind w:firstLine="480"/>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验收标准：有效活菌数≥0.2亿/g；有机质（以干计）≥40%，水分≤30%；PH值5.5-8.5；粪大肠菌群数≤100个/g；蛔虫卵死亡率≥95%；总AS≤15mg/kg；总Cd≤3mg/kg；总Pb≤50mg/kg；总Cr≤150mg/kg；总Hg≤2mg/kg；种子发芽成活率≥70%；规格为40kg/袋。按NY884_2012的标准执行。保质期：12个月</w:t>
      </w:r>
    </w:p>
    <w:p>
      <w:pPr>
        <w:ind w:firstLine="480"/>
      </w:pPr>
      <w:r>
        <w:rPr>
          <w:rFonts w:hint="eastAsia"/>
        </w:rPr>
        <w:t>生物有机肥原料为植物源，杜绝使用水库、河道、池塘和有机城市垃圾等作为原料，不存在添加“褐煤”“畜禽粪便”的情况，确保重金属含量不超标，长期使用无残留、无毒、无副作用</w:t>
      </w:r>
      <w:r>
        <w:t>。</w:t>
      </w:r>
    </w:p>
    <w:p>
      <w:pPr>
        <w:ind w:firstLine="480"/>
      </w:pPr>
      <w:r>
        <w:rPr>
          <w:rFonts w:hint="eastAsia"/>
          <w:lang w:eastAsia="zh-CN"/>
        </w:rPr>
        <w:t>（</w:t>
      </w:r>
      <w:r>
        <w:rPr>
          <w:rFonts w:hint="eastAsia"/>
          <w:lang w:val="en-US" w:eastAsia="zh-CN"/>
        </w:rPr>
        <w:t>三</w:t>
      </w:r>
      <w:r>
        <w:rPr>
          <w:rFonts w:hint="eastAsia"/>
          <w:lang w:eastAsia="zh-CN"/>
        </w:rPr>
        <w:t>）</w:t>
      </w:r>
      <w:r>
        <w:t>质量保证期内发生问题的处理期限：产品使用过程中遇到问题时，我方保证在30</w:t>
      </w:r>
      <w:r>
        <w:rPr>
          <w:rFonts w:hint="eastAsia"/>
        </w:rPr>
        <w:t>分钟</w:t>
      </w:r>
      <w:r>
        <w:t>内给予答复。</w:t>
      </w:r>
    </w:p>
    <w:p>
      <w:pPr>
        <w:widowControl/>
        <w:spacing w:before="0" w:after="0" w:line="240" w:lineRule="auto"/>
        <w:ind w:firstLine="0" w:firstLineChars="0"/>
        <w:jc w:val="left"/>
      </w:pPr>
      <w:r>
        <w:br w:type="page"/>
      </w:r>
    </w:p>
    <w:p>
      <w:pPr>
        <w:pStyle w:val="5"/>
        <w:bidi w:val="0"/>
      </w:pPr>
      <w:bookmarkStart w:id="74" w:name="_Toc116226166"/>
      <w:bookmarkStart w:id="75" w:name="_Toc25264"/>
      <w:bookmarkStart w:id="76" w:name="_Toc115352608"/>
      <w:bookmarkStart w:id="77" w:name="_Toc118293196"/>
      <w:bookmarkStart w:id="78" w:name="_Toc117181872"/>
      <w:r>
        <w:rPr>
          <w:rFonts w:hint="eastAsia"/>
          <w:lang w:val="en-US" w:eastAsia="zh-CN"/>
        </w:rPr>
        <w:t>七、</w:t>
      </w:r>
      <w:r>
        <w:rPr>
          <w:rFonts w:hint="eastAsia"/>
        </w:rPr>
        <w:t>供货响应方案</w:t>
      </w:r>
      <w:bookmarkEnd w:id="74"/>
      <w:bookmarkEnd w:id="75"/>
      <w:bookmarkEnd w:id="76"/>
      <w:bookmarkEnd w:id="77"/>
      <w:bookmarkEnd w:id="78"/>
    </w:p>
    <w:p>
      <w:pPr>
        <w:pStyle w:val="6"/>
        <w:bidi w:val="0"/>
      </w:pPr>
      <w:bookmarkStart w:id="79" w:name="_Toc25861"/>
      <w:r>
        <w:rPr>
          <w:rFonts w:hint="eastAsia"/>
          <w:lang w:val="en-US" w:eastAsia="zh-CN"/>
        </w:rPr>
        <w:t>（一）</w:t>
      </w:r>
      <w:r>
        <w:rPr>
          <w:rFonts w:hint="eastAsia"/>
        </w:rPr>
        <w:t>响应程序</w:t>
      </w:r>
      <w:bookmarkEnd w:id="79"/>
    </w:p>
    <w:p>
      <w:pPr>
        <w:ind w:firstLine="480"/>
      </w:pPr>
      <w:r>
        <w:rPr>
          <w:rFonts w:hint="eastAsia"/>
          <w:lang w:eastAsia="zh-CN"/>
        </w:rPr>
        <w:t>（</w:t>
      </w:r>
      <w:r>
        <w:rPr>
          <w:rFonts w:hint="eastAsia"/>
          <w:lang w:val="en-US" w:eastAsia="zh-CN"/>
        </w:rPr>
        <w:t>一</w:t>
      </w:r>
      <w:r>
        <w:rPr>
          <w:rFonts w:hint="eastAsia"/>
          <w:lang w:eastAsia="zh-CN"/>
        </w:rPr>
        <w:t>）</w:t>
      </w:r>
      <w:r>
        <w:t>当客服专员接到客户投诉或服务需求时，应当立即将相关信息整理上报项目经理。</w:t>
      </w:r>
    </w:p>
    <w:p>
      <w:pPr>
        <w:ind w:firstLine="480"/>
      </w:pPr>
      <w:r>
        <w:rPr>
          <w:rFonts w:hint="eastAsia"/>
          <w:lang w:eastAsia="zh-CN"/>
        </w:rPr>
        <w:t>（</w:t>
      </w:r>
      <w:r>
        <w:rPr>
          <w:rFonts w:hint="eastAsia"/>
          <w:lang w:val="en-US" w:eastAsia="zh-CN"/>
        </w:rPr>
        <w:t>二</w:t>
      </w:r>
      <w:r>
        <w:rPr>
          <w:rFonts w:hint="eastAsia"/>
          <w:lang w:eastAsia="zh-CN"/>
        </w:rPr>
        <w:t>）</w:t>
      </w:r>
      <w:r>
        <w:t>项目经理接到整理报告后，立即通知调度员和车队负责人做好货物装运前的准备工作。</w:t>
      </w:r>
    </w:p>
    <w:p>
      <w:pPr>
        <w:ind w:firstLine="480"/>
      </w:pPr>
      <w:r>
        <w:rPr>
          <w:rFonts w:hint="eastAsia"/>
          <w:lang w:eastAsia="zh-CN"/>
        </w:rPr>
        <w:t>（</w:t>
      </w:r>
      <w:r>
        <w:rPr>
          <w:rFonts w:hint="eastAsia"/>
          <w:lang w:val="en-US" w:eastAsia="zh-CN"/>
        </w:rPr>
        <w:t>三</w:t>
      </w:r>
      <w:r>
        <w:rPr>
          <w:rFonts w:hint="eastAsia"/>
          <w:lang w:eastAsia="zh-CN"/>
        </w:rPr>
        <w:t>）</w:t>
      </w:r>
      <w:r>
        <w:t>由项目经理带队，与招标方业务人员及时联系，准确掌握发运时间、发运数量、货物流向及相关信息。</w:t>
      </w:r>
    </w:p>
    <w:p>
      <w:pPr>
        <w:ind w:firstLine="480"/>
      </w:pPr>
      <w:r>
        <w:rPr>
          <w:rFonts w:hint="eastAsia"/>
          <w:lang w:eastAsia="zh-CN"/>
        </w:rPr>
        <w:t>（</w:t>
      </w:r>
      <w:r>
        <w:rPr>
          <w:rFonts w:hint="eastAsia"/>
          <w:lang w:val="en-US" w:eastAsia="zh-CN"/>
        </w:rPr>
        <w:t>四</w:t>
      </w:r>
      <w:r>
        <w:rPr>
          <w:rFonts w:hint="eastAsia"/>
          <w:lang w:eastAsia="zh-CN"/>
        </w:rPr>
        <w:t>）</w:t>
      </w:r>
      <w:r>
        <w:t>合理地调配和使用运输车辆，提前一天向招标方业务员通报次日装运车辆的详细情况。</w:t>
      </w:r>
    </w:p>
    <w:p>
      <w:pPr>
        <w:ind w:firstLine="480"/>
      </w:pPr>
      <w:r>
        <w:rPr>
          <w:rFonts w:hint="eastAsia"/>
          <w:lang w:eastAsia="zh-CN"/>
        </w:rPr>
        <w:t>（</w:t>
      </w:r>
      <w:r>
        <w:rPr>
          <w:rFonts w:hint="eastAsia"/>
          <w:lang w:val="en-US" w:eastAsia="zh-CN"/>
        </w:rPr>
        <w:t>五</w:t>
      </w:r>
      <w:r>
        <w:rPr>
          <w:rFonts w:hint="eastAsia"/>
          <w:lang w:eastAsia="zh-CN"/>
        </w:rPr>
        <w:t>）</w:t>
      </w:r>
      <w:r>
        <w:t>车队负责人接到发运计划后，编排好《车辆安排计划表》，掌握货物发运近期的天气变化情况做好预报，详细了解运行路线。</w:t>
      </w:r>
    </w:p>
    <w:p>
      <w:pPr>
        <w:ind w:firstLine="480"/>
      </w:pPr>
      <w:r>
        <w:rPr>
          <w:rFonts w:hint="eastAsia"/>
          <w:lang w:eastAsia="zh-CN"/>
        </w:rPr>
        <w:t>（</w:t>
      </w:r>
      <w:r>
        <w:rPr>
          <w:rFonts w:hint="eastAsia"/>
          <w:lang w:val="en-US" w:eastAsia="zh-CN"/>
        </w:rPr>
        <w:t>六</w:t>
      </w:r>
      <w:r>
        <w:rPr>
          <w:rFonts w:hint="eastAsia"/>
          <w:lang w:eastAsia="zh-CN"/>
        </w:rPr>
        <w:t>）</w:t>
      </w:r>
      <w:r>
        <w:t>调度员应在接到发运计划后及时与车队负责人取得联系，组织车辆做好货物装运前的准备工作。</w:t>
      </w:r>
    </w:p>
    <w:p>
      <w:pPr>
        <w:ind w:firstLine="480"/>
      </w:pPr>
      <w:r>
        <w:rPr>
          <w:rFonts w:hint="eastAsia"/>
          <w:lang w:eastAsia="zh-CN"/>
        </w:rPr>
        <w:t>（</w:t>
      </w:r>
      <w:r>
        <w:rPr>
          <w:rFonts w:hint="eastAsia"/>
          <w:lang w:val="en-US" w:eastAsia="zh-CN"/>
        </w:rPr>
        <w:t>七</w:t>
      </w:r>
      <w:r>
        <w:rPr>
          <w:rFonts w:hint="eastAsia"/>
          <w:lang w:eastAsia="zh-CN"/>
        </w:rPr>
        <w:t>）</w:t>
      </w:r>
      <w:r>
        <w:t>对招标方下达的运输计划做到24小时响应。</w:t>
      </w:r>
    </w:p>
    <w:p>
      <w:pPr>
        <w:pStyle w:val="6"/>
        <w:bidi w:val="0"/>
        <w:rPr>
          <w:rFonts w:hint="eastAsia"/>
        </w:rPr>
      </w:pPr>
      <w:bookmarkStart w:id="80" w:name="_Toc20323"/>
      <w:r>
        <w:rPr>
          <w:rFonts w:hint="eastAsia"/>
          <w:lang w:val="en-US" w:eastAsia="zh-CN"/>
        </w:rPr>
        <w:t>（二）</w:t>
      </w:r>
      <w:r>
        <w:rPr>
          <w:rFonts w:hint="eastAsia"/>
        </w:rPr>
        <w:t>响应原则</w:t>
      </w:r>
      <w:bookmarkEnd w:id="80"/>
    </w:p>
    <w:p>
      <w:pPr>
        <w:ind w:firstLine="480"/>
      </w:pPr>
      <w:r>
        <w:rPr>
          <w:rFonts w:hint="eastAsia"/>
          <w:b/>
          <w:bCs/>
          <w:lang w:eastAsia="zh-CN"/>
        </w:rPr>
        <w:t>（</w:t>
      </w:r>
      <w:r>
        <w:rPr>
          <w:rFonts w:hint="eastAsia"/>
          <w:b/>
          <w:bCs/>
          <w:lang w:val="en-US" w:eastAsia="zh-CN"/>
        </w:rPr>
        <w:t>一</w:t>
      </w:r>
      <w:r>
        <w:rPr>
          <w:rFonts w:hint="eastAsia"/>
          <w:b/>
          <w:bCs/>
          <w:lang w:eastAsia="zh-CN"/>
        </w:rPr>
        <w:t>）</w:t>
      </w:r>
      <w:r>
        <w:rPr>
          <w:b/>
          <w:bCs/>
        </w:rPr>
        <w:t>以业务为中心的可行性原则：</w:t>
      </w:r>
      <w:r>
        <w:t>运输服务应以满足采购方的业务需求为首要目标，要保证采购单位工作正常运行，尽快为客户解决问题，避免和减少客户损失。“任何时候必须以准时准点送达货物、保证采购单位正常工作为第一要素”，本项目的最终目标是满足采购单位的工作需求。</w:t>
      </w:r>
    </w:p>
    <w:p>
      <w:pPr>
        <w:ind w:firstLine="480"/>
        <w:rPr>
          <w:b/>
          <w:bCs/>
        </w:rPr>
      </w:pPr>
      <w:r>
        <w:rPr>
          <w:rFonts w:hint="eastAsia"/>
          <w:b/>
          <w:bCs/>
          <w:lang w:eastAsia="zh-CN"/>
        </w:rPr>
        <w:t>（</w:t>
      </w:r>
      <w:r>
        <w:rPr>
          <w:rFonts w:hint="eastAsia"/>
          <w:b/>
          <w:bCs/>
          <w:lang w:val="en-US" w:eastAsia="zh-CN"/>
        </w:rPr>
        <w:t>二</w:t>
      </w:r>
      <w:r>
        <w:rPr>
          <w:rFonts w:hint="eastAsia"/>
          <w:b/>
          <w:bCs/>
          <w:lang w:eastAsia="zh-CN"/>
        </w:rPr>
        <w:t>）</w:t>
      </w:r>
      <w:r>
        <w:rPr>
          <w:b/>
          <w:bCs/>
        </w:rPr>
        <w:t>重在措施的可靠性原则：</w:t>
      </w:r>
    </w:p>
    <w:p>
      <w:pPr>
        <w:ind w:firstLine="480"/>
      </w:pPr>
      <w:r>
        <w:rPr>
          <w:rFonts w:hint="eastAsia"/>
          <w:lang w:val="en-US" w:eastAsia="zh-CN"/>
        </w:rPr>
        <w:t>1、</w:t>
      </w:r>
      <w:r>
        <w:t>注重预防：我们将在传统的被动式服务的基础上提供主动式的服务，和客户一起做好运输配送工作。采取以预防为主的策略，把故障隐患消灭在萌芽中。公司提供全天候的技术支持服务，通过预防性维护方式、应急响应等提高我公司售后服务能力。</w:t>
      </w:r>
    </w:p>
    <w:p>
      <w:pPr>
        <w:ind w:firstLine="480"/>
      </w:pPr>
      <w:r>
        <w:rPr>
          <w:rFonts w:hint="eastAsia"/>
          <w:lang w:val="en-US" w:eastAsia="zh-CN"/>
        </w:rPr>
        <w:t>2、</w:t>
      </w:r>
      <w:r>
        <w:t>服务组织管理和流程管理是项目成功的关键：我们将在项目售后服务部的统一调度下，指挥客服、售后和技术人员，在各个环节紧密与客户方配合。</w:t>
      </w:r>
    </w:p>
    <w:p>
      <w:pPr>
        <w:ind w:firstLine="480"/>
      </w:pPr>
      <w:r>
        <w:rPr>
          <w:rFonts w:hint="eastAsia"/>
          <w:b/>
          <w:bCs/>
          <w:lang w:eastAsia="zh-CN"/>
        </w:rPr>
        <w:t>（</w:t>
      </w:r>
      <w:r>
        <w:rPr>
          <w:rFonts w:hint="eastAsia"/>
          <w:b/>
          <w:bCs/>
          <w:lang w:val="en-US" w:eastAsia="zh-CN"/>
        </w:rPr>
        <w:t>三</w:t>
      </w:r>
      <w:r>
        <w:rPr>
          <w:rFonts w:hint="eastAsia"/>
          <w:b/>
          <w:bCs/>
          <w:lang w:eastAsia="zh-CN"/>
        </w:rPr>
        <w:t>）</w:t>
      </w:r>
      <w:r>
        <w:rPr>
          <w:b/>
          <w:bCs/>
        </w:rPr>
        <w:t>适应性原则：</w:t>
      </w:r>
      <w:r>
        <w:t>按照采购单位的服务要求，提供切实为从用户出发的方案，服务过程中应尊重客户的要求、接受客户的各方面的监督、积极与用户交流沟通。</w:t>
      </w:r>
    </w:p>
    <w:p>
      <w:pPr>
        <w:ind w:firstLine="480"/>
      </w:pPr>
      <w:r>
        <w:rPr>
          <w:rFonts w:hint="eastAsia"/>
          <w:b/>
          <w:bCs/>
          <w:lang w:eastAsia="zh-CN"/>
        </w:rPr>
        <w:t>（</w:t>
      </w:r>
      <w:r>
        <w:rPr>
          <w:rFonts w:hint="eastAsia"/>
          <w:b/>
          <w:bCs/>
          <w:lang w:val="en-US" w:eastAsia="zh-CN"/>
        </w:rPr>
        <w:t>四</w:t>
      </w:r>
      <w:r>
        <w:rPr>
          <w:rFonts w:hint="eastAsia"/>
          <w:b/>
          <w:bCs/>
          <w:lang w:eastAsia="zh-CN"/>
        </w:rPr>
        <w:t>）</w:t>
      </w:r>
      <w:r>
        <w:rPr>
          <w:b/>
          <w:bCs/>
        </w:rPr>
        <w:t>及时性原则：</w:t>
      </w:r>
      <w:r>
        <w:t>我公司坚持“以客户的利益优先”的宗旨，建立了与客户服务相关的售后服务前提下。高效、优质、及时、有序地进行一切服务活动。在接到服务需求时，我公司将通过最快速度解决客户的问题，为客户提供更好的服务。</w:t>
      </w:r>
    </w:p>
    <w:p>
      <w:pPr>
        <w:pStyle w:val="6"/>
        <w:bidi w:val="0"/>
        <w:rPr>
          <w:rFonts w:hint="eastAsia"/>
        </w:rPr>
      </w:pPr>
      <w:bookmarkStart w:id="81" w:name="_Toc19363"/>
      <w:r>
        <w:rPr>
          <w:rFonts w:hint="eastAsia"/>
          <w:lang w:val="en-US" w:eastAsia="zh-CN"/>
        </w:rPr>
        <w:t>（三）</w:t>
      </w:r>
      <w:r>
        <w:rPr>
          <w:rFonts w:hint="eastAsia"/>
        </w:rPr>
        <w:t>响应时间</w:t>
      </w:r>
      <w:bookmarkEnd w:id="81"/>
    </w:p>
    <w:p>
      <w:pPr>
        <w:ind w:firstLine="560" w:firstLineChars="200"/>
      </w:pPr>
      <w:r>
        <w:rPr>
          <w:rFonts w:hint="eastAsia"/>
        </w:rPr>
        <w:t>我公司制定了服务保障体系，并制定了相应的服务制度以及服务快速反应制度。若我公司中标，我公司将针对本项目的服务工作制定快速反应体系，更好地满足采购单位需求。公司设有</w:t>
      </w:r>
      <w:r>
        <w:t>7X24小时客服电话</w:t>
      </w:r>
      <w:r>
        <w:rPr>
          <w:rFonts w:hint="eastAsia"/>
          <w:lang w:val="en-US" w:eastAsia="zh-CN"/>
        </w:rPr>
        <w:t>XXX</w:t>
      </w:r>
      <w:r>
        <w:t>，提供7X24小时热线电话服务。我公司接到采购单位的运输计划后，做到24小时内响应。我公司对本次招标供货有效期内所提供的所有产品，坚持每月定期回访。保修期内，产品若发生质量问题，我公司售后服务人员将立即赶赴现场处理，若问题严重将免费进行更换。</w:t>
      </w:r>
    </w:p>
    <w:p>
      <w:pPr>
        <w:widowControl/>
        <w:spacing w:before="0" w:after="0" w:line="240" w:lineRule="auto"/>
        <w:ind w:firstLine="0" w:firstLineChars="0"/>
        <w:jc w:val="left"/>
      </w:pPr>
      <w:r>
        <w:br w:type="page"/>
      </w:r>
    </w:p>
    <w:p>
      <w:pPr>
        <w:pStyle w:val="5"/>
        <w:bidi w:val="0"/>
      </w:pPr>
      <w:bookmarkStart w:id="82" w:name="_Toc118293197"/>
      <w:bookmarkStart w:id="83" w:name="_Toc13963"/>
      <w:r>
        <w:rPr>
          <w:rFonts w:hint="eastAsia"/>
          <w:lang w:val="en-US" w:eastAsia="zh-CN"/>
        </w:rPr>
        <w:t>八、</w:t>
      </w:r>
      <w:r>
        <w:rPr>
          <w:rFonts w:hint="eastAsia"/>
        </w:rPr>
        <w:t>产品供应流程</w:t>
      </w:r>
      <w:bookmarkEnd w:id="82"/>
      <w:bookmarkEnd w:id="83"/>
    </w:p>
    <w:p>
      <w:pPr>
        <w:pStyle w:val="6"/>
        <w:bidi w:val="0"/>
      </w:pPr>
      <w:bookmarkStart w:id="84" w:name="_Toc111447407"/>
      <w:bookmarkStart w:id="85" w:name="_Toc118293198"/>
      <w:bookmarkStart w:id="86" w:name="_Toc25041"/>
      <w:bookmarkStart w:id="87" w:name="_Toc108341990"/>
      <w:bookmarkStart w:id="88" w:name="_Toc116400057"/>
      <w:bookmarkStart w:id="89" w:name="_Toc117181924"/>
      <w:r>
        <w:rPr>
          <w:rFonts w:hint="eastAsia"/>
          <w:lang w:val="en-US" w:eastAsia="zh-CN"/>
        </w:rPr>
        <w:t>（一）</w:t>
      </w:r>
      <w:r>
        <w:rPr>
          <w:rFonts w:hint="eastAsia"/>
        </w:rPr>
        <w:t>供应计划工作流程</w:t>
      </w:r>
      <w:bookmarkEnd w:id="84"/>
      <w:bookmarkEnd w:id="85"/>
      <w:bookmarkEnd w:id="86"/>
      <w:bookmarkEnd w:id="87"/>
      <w:bookmarkEnd w:id="88"/>
      <w:bookmarkEnd w:id="89"/>
    </w:p>
    <w:p>
      <w:pPr>
        <w:pStyle w:val="52"/>
        <w:rPr>
          <w:b w:val="0"/>
        </w:rPr>
      </w:pPr>
      <w:r>
        <w:drawing>
          <wp:inline distT="0" distB="0" distL="0" distR="0">
            <wp:extent cx="5273675" cy="6590665"/>
            <wp:effectExtent l="9525" t="9525" r="12700" b="10160"/>
            <wp:docPr id="945" name="图片 94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图片 945" descr="图示&#10;&#10;描述已自动生成"/>
                    <pic:cNvPicPr>
                      <a:picLocks noChangeAspect="1"/>
                    </pic:cNvPicPr>
                  </pic:nvPicPr>
                  <pic:blipFill>
                    <a:blip r:embed="rId11"/>
                    <a:stretch>
                      <a:fillRect/>
                    </a:stretch>
                  </pic:blipFill>
                  <pic:spPr>
                    <a:xfrm>
                      <a:off x="0" y="0"/>
                      <a:ext cx="5276555" cy="6594404"/>
                    </a:xfrm>
                    <a:prstGeom prst="rect">
                      <a:avLst/>
                    </a:prstGeom>
                    <a:ln>
                      <a:solidFill>
                        <a:srgbClr val="0000FF"/>
                      </a:solidFill>
                    </a:ln>
                  </pic:spPr>
                </pic:pic>
              </a:graphicData>
            </a:graphic>
          </wp:inline>
        </w:drawing>
      </w:r>
      <w:r>
        <w:br w:type="page"/>
      </w:r>
    </w:p>
    <w:p>
      <w:pPr>
        <w:pStyle w:val="6"/>
        <w:bidi w:val="0"/>
      </w:pPr>
      <w:bookmarkStart w:id="90" w:name="_Toc111447408"/>
      <w:bookmarkStart w:id="91" w:name="_Toc116400058"/>
      <w:bookmarkStart w:id="92" w:name="_Toc117181925"/>
      <w:bookmarkStart w:id="93" w:name="_Toc108341991"/>
      <w:bookmarkStart w:id="94" w:name="_Toc118293199"/>
      <w:bookmarkStart w:id="95" w:name="_Toc15156"/>
      <w:r>
        <w:rPr>
          <w:rFonts w:hint="eastAsia"/>
          <w:lang w:val="en-US" w:eastAsia="zh-CN"/>
        </w:rPr>
        <w:t>（二）</w:t>
      </w:r>
      <w:r>
        <w:rPr>
          <w:rFonts w:hint="eastAsia"/>
        </w:rPr>
        <w:t>生产过程实施流程</w:t>
      </w:r>
      <w:bookmarkEnd w:id="90"/>
      <w:bookmarkEnd w:id="91"/>
      <w:bookmarkEnd w:id="92"/>
      <w:bookmarkEnd w:id="93"/>
      <w:bookmarkEnd w:id="94"/>
      <w:bookmarkEnd w:id="95"/>
    </w:p>
    <w:p>
      <w:pPr>
        <w:pStyle w:val="52"/>
      </w:pPr>
      <w:r>
        <w:drawing>
          <wp:inline distT="0" distB="0" distL="0" distR="0">
            <wp:extent cx="4880610" cy="6828155"/>
            <wp:effectExtent l="9525" t="9525" r="24765" b="20320"/>
            <wp:docPr id="946" name="图片 94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图片 946" descr="图示&#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880610" cy="6828155"/>
                    </a:xfrm>
                    <a:prstGeom prst="rect">
                      <a:avLst/>
                    </a:prstGeom>
                    <a:noFill/>
                    <a:ln>
                      <a:solidFill>
                        <a:srgbClr val="0000FF"/>
                      </a:solidFill>
                    </a:ln>
                  </pic:spPr>
                </pic:pic>
              </a:graphicData>
            </a:graphic>
          </wp:inline>
        </w:drawing>
      </w:r>
    </w:p>
    <w:p>
      <w:pPr>
        <w:spacing w:before="0" w:after="0" w:line="240" w:lineRule="auto"/>
        <w:ind w:firstLine="0" w:firstLineChars="0"/>
        <w:jc w:val="left"/>
        <w:rPr>
          <w:b/>
          <w:sz w:val="28"/>
        </w:rPr>
      </w:pPr>
      <w:r>
        <w:br w:type="page"/>
      </w:r>
    </w:p>
    <w:p>
      <w:pPr>
        <w:pStyle w:val="6"/>
        <w:bidi w:val="0"/>
      </w:pPr>
      <w:bookmarkStart w:id="96" w:name="_Toc118293200"/>
      <w:bookmarkStart w:id="97" w:name="_Toc108341992"/>
      <w:bookmarkStart w:id="98" w:name="_Toc111447409"/>
      <w:bookmarkStart w:id="99" w:name="_Toc116400059"/>
      <w:bookmarkStart w:id="100" w:name="_Toc117181926"/>
      <w:bookmarkStart w:id="101" w:name="_Toc32729"/>
      <w:r>
        <w:rPr>
          <w:rFonts w:hint="eastAsia"/>
          <w:lang w:val="en-US" w:eastAsia="zh-CN"/>
        </w:rPr>
        <w:t>（三）</w:t>
      </w:r>
      <w:r>
        <w:t>生产过程中各职能模块配合流程</w:t>
      </w:r>
      <w:bookmarkEnd w:id="96"/>
      <w:bookmarkEnd w:id="97"/>
      <w:bookmarkEnd w:id="98"/>
      <w:bookmarkEnd w:id="99"/>
      <w:bookmarkEnd w:id="100"/>
      <w:bookmarkEnd w:id="101"/>
    </w:p>
    <w:p>
      <w:pPr>
        <w:pStyle w:val="52"/>
      </w:pPr>
      <w:r>
        <w:drawing>
          <wp:inline distT="0" distB="0" distL="0" distR="0">
            <wp:extent cx="5240655" cy="7378700"/>
            <wp:effectExtent l="9525" t="9525" r="26670" b="22225"/>
            <wp:docPr id="83" name="Drawing 7" descr="/root/apache-tomcat-baidu_catch/baiduwenkutmp/8/8af4e0a168eae009581b6bd97f1922791788be8e.pc/cfc9815e9f0c44c68949422ddc4fafc2.jpg.su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7" descr="/root/apache-tomcat-baidu_catch/baiduwenkutmp/8/8af4e0a168eae009581b6bd97f1922791788be8e.pc/cfc9815e9f0c44c68949422ddc4fafc2.jpg.sub2.png"/>
                    <pic:cNvPicPr>
                      <a:picLocks noChangeAspect="1"/>
                    </pic:cNvPicPr>
                  </pic:nvPicPr>
                  <pic:blipFill>
                    <a:blip r:embed="rId13"/>
                    <a:srcRect l="14626" r="10677"/>
                    <a:stretch>
                      <a:fillRect/>
                    </a:stretch>
                  </pic:blipFill>
                  <pic:spPr>
                    <a:xfrm>
                      <a:off x="0" y="0"/>
                      <a:ext cx="5240655" cy="7378700"/>
                    </a:xfrm>
                    <a:prstGeom prst="rect">
                      <a:avLst/>
                    </a:prstGeom>
                    <a:ln>
                      <a:solidFill>
                        <a:srgbClr val="0000FF"/>
                      </a:solidFill>
                    </a:ln>
                  </pic:spPr>
                </pic:pic>
              </a:graphicData>
            </a:graphic>
          </wp:inline>
        </w:drawing>
      </w:r>
    </w:p>
    <w:p>
      <w:pPr>
        <w:spacing w:before="0" w:after="0" w:line="240" w:lineRule="auto"/>
        <w:ind w:firstLine="0" w:firstLineChars="0"/>
        <w:jc w:val="left"/>
        <w:rPr>
          <w:b/>
          <w:sz w:val="28"/>
        </w:rPr>
      </w:pPr>
      <w:r>
        <w:br w:type="page"/>
      </w:r>
    </w:p>
    <w:p>
      <w:pPr>
        <w:pStyle w:val="6"/>
        <w:bidi w:val="0"/>
      </w:pPr>
      <w:bookmarkStart w:id="102" w:name="_Toc22575"/>
      <w:bookmarkStart w:id="103" w:name="_Toc117181927"/>
      <w:bookmarkStart w:id="104" w:name="_Toc108341993"/>
      <w:bookmarkStart w:id="105" w:name="_Toc116400060"/>
      <w:bookmarkStart w:id="106" w:name="_Toc118293201"/>
      <w:bookmarkStart w:id="107" w:name="_Toc111447410"/>
      <w:r>
        <w:rPr>
          <w:rFonts w:hint="eastAsia"/>
          <w:lang w:val="en-US" w:eastAsia="zh-CN"/>
        </w:rPr>
        <w:t>（四）</w:t>
      </w:r>
      <w:r>
        <w:t>返工处理作业流程</w:t>
      </w:r>
      <w:bookmarkEnd w:id="102"/>
      <w:bookmarkEnd w:id="103"/>
      <w:bookmarkEnd w:id="104"/>
      <w:bookmarkEnd w:id="105"/>
      <w:bookmarkEnd w:id="106"/>
      <w:bookmarkEnd w:id="107"/>
    </w:p>
    <w:p>
      <w:pPr>
        <w:pStyle w:val="52"/>
      </w:pPr>
      <w:r>
        <w:drawing>
          <wp:inline distT="0" distB="0" distL="0" distR="0">
            <wp:extent cx="5271770" cy="7315200"/>
            <wp:effectExtent l="9525" t="9525" r="14605" b="9525"/>
            <wp:docPr id="425" name="Drawing 9" descr="/root/apache-tomcat-baidu_catch/baiduwenkutmp/8/8af4e0a168eae009581b6bd97f1922791788be8e.pc/cc76dcdb475f45ba9f1b14735398d5b8.jpg.su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Drawing 9" descr="/root/apache-tomcat-baidu_catch/baiduwenkutmp/8/8af4e0a168eae009581b6bd97f1922791788be8e.pc/cc76dcdb475f45ba9f1b14735398d5b8.jpg.sub2.png"/>
                    <pic:cNvPicPr>
                      <a:picLocks noChangeAspect="1"/>
                    </pic:cNvPicPr>
                  </pic:nvPicPr>
                  <pic:blipFill>
                    <a:blip r:embed="rId14"/>
                    <a:srcRect l="14175" r="13378"/>
                    <a:stretch>
                      <a:fillRect/>
                    </a:stretch>
                  </pic:blipFill>
                  <pic:spPr>
                    <a:xfrm>
                      <a:off x="0" y="0"/>
                      <a:ext cx="5292382" cy="7343248"/>
                    </a:xfrm>
                    <a:prstGeom prst="rect">
                      <a:avLst/>
                    </a:prstGeom>
                    <a:ln>
                      <a:solidFill>
                        <a:srgbClr val="0000FF"/>
                      </a:solidFill>
                    </a:ln>
                  </pic:spPr>
                </pic:pic>
              </a:graphicData>
            </a:graphic>
          </wp:inline>
        </w:drawing>
      </w:r>
    </w:p>
    <w:p>
      <w:pPr>
        <w:spacing w:before="0" w:after="0" w:line="240" w:lineRule="auto"/>
        <w:ind w:firstLine="0" w:firstLineChars="0"/>
        <w:jc w:val="left"/>
        <w:rPr>
          <w:b/>
          <w:sz w:val="28"/>
        </w:rPr>
      </w:pPr>
      <w:r>
        <w:br w:type="page"/>
      </w:r>
    </w:p>
    <w:p>
      <w:pPr>
        <w:pStyle w:val="6"/>
        <w:bidi w:val="0"/>
      </w:pPr>
      <w:bookmarkStart w:id="108" w:name="_Toc108341994"/>
      <w:bookmarkStart w:id="109" w:name="_Toc118293202"/>
      <w:bookmarkStart w:id="110" w:name="_Toc111447411"/>
      <w:bookmarkStart w:id="111" w:name="_Toc117181928"/>
      <w:bookmarkStart w:id="112" w:name="_Toc21071"/>
      <w:bookmarkStart w:id="113" w:name="_Toc116400061"/>
      <w:r>
        <w:rPr>
          <w:rFonts w:hint="eastAsia"/>
          <w:lang w:val="en-US" w:eastAsia="zh-CN"/>
        </w:rPr>
        <w:t>（五）</w:t>
      </w:r>
      <w:r>
        <w:t>外协计划编制流程图</w:t>
      </w:r>
      <w:bookmarkEnd w:id="108"/>
      <w:bookmarkEnd w:id="109"/>
      <w:bookmarkEnd w:id="110"/>
      <w:bookmarkEnd w:id="111"/>
      <w:bookmarkEnd w:id="112"/>
      <w:bookmarkEnd w:id="113"/>
    </w:p>
    <w:p>
      <w:pPr>
        <w:pStyle w:val="52"/>
      </w:pPr>
      <w:r>
        <w:drawing>
          <wp:inline distT="0" distB="0" distL="0" distR="0">
            <wp:extent cx="5274310" cy="7738745"/>
            <wp:effectExtent l="9525" t="9525" r="12065" b="24130"/>
            <wp:docPr id="426" name="Drawing 11" descr="/root/apache-tomcat-baidu_catch/baiduwenkutmp/8/8af4e0a168eae009581b6bd97f1922791788be8e.pc/74c0fbae397a4961b92ee48b576b80fd.jpg.su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Drawing 11" descr="/root/apache-tomcat-baidu_catch/baiduwenkutmp/8/8af4e0a168eae009581b6bd97f1922791788be8e.pc/74c0fbae397a4961b92ee48b576b80fd.jpg.sub2.png"/>
                    <pic:cNvPicPr>
                      <a:picLocks noChangeAspect="1"/>
                    </pic:cNvPicPr>
                  </pic:nvPicPr>
                  <pic:blipFill>
                    <a:blip r:embed="rId15"/>
                    <a:srcRect l="17774" r="18778"/>
                    <a:stretch>
                      <a:fillRect/>
                    </a:stretch>
                  </pic:blipFill>
                  <pic:spPr>
                    <a:xfrm>
                      <a:off x="0" y="0"/>
                      <a:ext cx="5274310" cy="7738828"/>
                    </a:xfrm>
                    <a:prstGeom prst="rect">
                      <a:avLst/>
                    </a:prstGeom>
                    <a:ln>
                      <a:solidFill>
                        <a:srgbClr val="0000FF"/>
                      </a:solidFill>
                    </a:ln>
                  </pic:spPr>
                </pic:pic>
              </a:graphicData>
            </a:graphic>
          </wp:inline>
        </w:drawing>
      </w:r>
    </w:p>
    <w:p>
      <w:pPr>
        <w:spacing w:before="0" w:after="0" w:line="240" w:lineRule="auto"/>
        <w:ind w:firstLine="0" w:firstLineChars="0"/>
        <w:jc w:val="left"/>
        <w:rPr>
          <w:b/>
          <w:sz w:val="28"/>
        </w:rPr>
      </w:pPr>
      <w:r>
        <w:br w:type="page"/>
      </w:r>
    </w:p>
    <w:p>
      <w:pPr>
        <w:pStyle w:val="6"/>
        <w:bidi w:val="0"/>
      </w:pPr>
      <w:bookmarkStart w:id="114" w:name="_Toc117181929"/>
      <w:bookmarkStart w:id="115" w:name="_Toc108341995"/>
      <w:bookmarkStart w:id="116" w:name="_Toc118293203"/>
      <w:bookmarkStart w:id="117" w:name="_Toc111447412"/>
      <w:bookmarkStart w:id="118" w:name="_Toc14521"/>
      <w:bookmarkStart w:id="119" w:name="_Toc116400062"/>
      <w:r>
        <w:rPr>
          <w:rFonts w:hint="eastAsia"/>
          <w:lang w:val="en-US" w:eastAsia="zh-CN"/>
        </w:rPr>
        <w:t>（六）</w:t>
      </w:r>
      <w:r>
        <w:t>原材料验收管理流程</w:t>
      </w:r>
      <w:bookmarkEnd w:id="114"/>
      <w:bookmarkEnd w:id="115"/>
      <w:bookmarkEnd w:id="116"/>
      <w:bookmarkEnd w:id="117"/>
      <w:bookmarkEnd w:id="118"/>
      <w:bookmarkEnd w:id="119"/>
    </w:p>
    <w:p>
      <w:pPr>
        <w:pStyle w:val="52"/>
      </w:pPr>
      <w:r>
        <w:drawing>
          <wp:inline distT="0" distB="0" distL="0" distR="0">
            <wp:extent cx="5274310" cy="5950585"/>
            <wp:effectExtent l="9525" t="9525" r="12065" b="21590"/>
            <wp:docPr id="427" name="Drawing 13" descr="/root/apache-tomcat-baidu_catch/baiduwenkutmp/8/8af4e0a168eae009581b6bd97f1922791788be8e.pc/b8732375c90243c4b678a9c88f47ecfa.jpg.su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Drawing 13" descr="/root/apache-tomcat-baidu_catch/baiduwenkutmp/8/8af4e0a168eae009581b6bd97f1922791788be8e.pc/b8732375c90243c4b678a9c88f47ecfa.jpg.sub2.png"/>
                    <pic:cNvPicPr>
                      <a:picLocks noChangeAspect="1"/>
                    </pic:cNvPicPr>
                  </pic:nvPicPr>
                  <pic:blipFill>
                    <a:blip r:embed="rId16"/>
                    <a:srcRect l="13952" r="11803"/>
                    <a:stretch>
                      <a:fillRect/>
                    </a:stretch>
                  </pic:blipFill>
                  <pic:spPr>
                    <a:xfrm>
                      <a:off x="0" y="0"/>
                      <a:ext cx="5274310" cy="5950813"/>
                    </a:xfrm>
                    <a:prstGeom prst="rect">
                      <a:avLst/>
                    </a:prstGeom>
                    <a:ln>
                      <a:solidFill>
                        <a:srgbClr val="0000FF"/>
                      </a:solidFill>
                    </a:ln>
                  </pic:spPr>
                </pic:pic>
              </a:graphicData>
            </a:graphic>
          </wp:inline>
        </w:drawing>
      </w:r>
    </w:p>
    <w:p>
      <w:pPr>
        <w:spacing w:before="0" w:after="0" w:line="240" w:lineRule="auto"/>
        <w:ind w:firstLine="0" w:firstLineChars="0"/>
        <w:jc w:val="left"/>
        <w:rPr>
          <w:b/>
          <w:sz w:val="28"/>
        </w:rPr>
      </w:pPr>
      <w:r>
        <w:br w:type="page"/>
      </w:r>
    </w:p>
    <w:p>
      <w:pPr>
        <w:pStyle w:val="6"/>
        <w:bidi w:val="0"/>
      </w:pPr>
      <w:bookmarkStart w:id="120" w:name="_Toc108341996"/>
      <w:bookmarkStart w:id="121" w:name="_Toc111447413"/>
      <w:bookmarkStart w:id="122" w:name="_Toc11402"/>
      <w:bookmarkStart w:id="123" w:name="_Toc118293204"/>
      <w:bookmarkStart w:id="124" w:name="_Toc117181930"/>
      <w:bookmarkStart w:id="125" w:name="_Toc116400063"/>
      <w:r>
        <w:rPr>
          <w:rFonts w:hint="eastAsia"/>
          <w:lang w:val="en-US" w:eastAsia="zh-CN"/>
        </w:rPr>
        <w:t>（七）</w:t>
      </w:r>
      <w:r>
        <w:t>成品出货质检流程</w:t>
      </w:r>
      <w:bookmarkEnd w:id="120"/>
      <w:bookmarkEnd w:id="121"/>
      <w:bookmarkEnd w:id="122"/>
      <w:bookmarkEnd w:id="123"/>
      <w:bookmarkEnd w:id="124"/>
      <w:bookmarkEnd w:id="125"/>
    </w:p>
    <w:p>
      <w:pPr>
        <w:pStyle w:val="52"/>
      </w:pPr>
      <w:r>
        <w:drawing>
          <wp:inline distT="0" distB="0" distL="0" distR="0">
            <wp:extent cx="5274310" cy="7595870"/>
            <wp:effectExtent l="9525" t="9525" r="12065" b="14605"/>
            <wp:docPr id="428" name="Drawing 15" descr="/root/apache-tomcat-baidu_catch/baiduwenkutmp/8/8af4e0a168eae009581b6bd97f1922791788be8e.pc/17fdc9917f75441fbee3e4c640c6e2a1.jpg.su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Drawing 15" descr="/root/apache-tomcat-baidu_catch/baiduwenkutmp/8/8af4e0a168eae009581b6bd97f1922791788be8e.pc/17fdc9917f75441fbee3e4c640c6e2a1.jpg.sub2.png"/>
                    <pic:cNvPicPr>
                      <a:picLocks noChangeAspect="1"/>
                    </pic:cNvPicPr>
                  </pic:nvPicPr>
                  <pic:blipFill>
                    <a:blip r:embed="rId17"/>
                    <a:srcRect l="13949" r="17203"/>
                    <a:stretch>
                      <a:fillRect/>
                    </a:stretch>
                  </pic:blipFill>
                  <pic:spPr>
                    <a:xfrm>
                      <a:off x="0" y="0"/>
                      <a:ext cx="5274310" cy="7596022"/>
                    </a:xfrm>
                    <a:prstGeom prst="rect">
                      <a:avLst/>
                    </a:prstGeom>
                    <a:ln>
                      <a:solidFill>
                        <a:srgbClr val="0000FF"/>
                      </a:solidFill>
                    </a:ln>
                  </pic:spPr>
                </pic:pic>
              </a:graphicData>
            </a:graphic>
          </wp:inline>
        </w:drawing>
      </w:r>
    </w:p>
    <w:p>
      <w:pPr>
        <w:spacing w:before="0" w:after="0" w:line="240" w:lineRule="auto"/>
        <w:ind w:firstLine="0" w:firstLineChars="0"/>
        <w:jc w:val="left"/>
        <w:rPr>
          <w:b/>
          <w:sz w:val="28"/>
        </w:rPr>
      </w:pPr>
      <w:r>
        <w:br w:type="page"/>
      </w:r>
    </w:p>
    <w:p>
      <w:pPr>
        <w:pStyle w:val="6"/>
        <w:bidi w:val="0"/>
      </w:pPr>
      <w:bookmarkStart w:id="126" w:name="_Toc111447414"/>
      <w:bookmarkStart w:id="127" w:name="_Toc117181931"/>
      <w:bookmarkStart w:id="128" w:name="_Toc11158"/>
      <w:bookmarkStart w:id="129" w:name="_Toc116400064"/>
      <w:bookmarkStart w:id="130" w:name="_Toc108341997"/>
      <w:bookmarkStart w:id="131" w:name="_Toc118293205"/>
      <w:r>
        <w:rPr>
          <w:rFonts w:hint="eastAsia"/>
          <w:lang w:val="en-US" w:eastAsia="zh-CN"/>
        </w:rPr>
        <w:t>（八）</w:t>
      </w:r>
      <w:r>
        <w:t>产品生产质量控制流程</w:t>
      </w:r>
      <w:bookmarkEnd w:id="126"/>
      <w:bookmarkEnd w:id="127"/>
      <w:bookmarkEnd w:id="128"/>
      <w:bookmarkEnd w:id="129"/>
      <w:bookmarkEnd w:id="130"/>
      <w:bookmarkEnd w:id="131"/>
    </w:p>
    <w:p>
      <w:pPr>
        <w:pStyle w:val="52"/>
      </w:pPr>
      <w:r>
        <w:drawing>
          <wp:inline distT="0" distB="0" distL="0" distR="0">
            <wp:extent cx="5274310" cy="6820535"/>
            <wp:effectExtent l="9525" t="9525" r="12065" b="27940"/>
            <wp:docPr id="430" name="Drawing 17" descr="/root/apache-tomcat-baidu_catch/baiduwenkutmp/8/8af4e0a168eae009581b6bd97f1922791788be8e.pc/e5ae95a59f924904b80dc635cc68d3cd.jpg.su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Drawing 17" descr="/root/apache-tomcat-baidu_catch/baiduwenkutmp/8/8af4e0a168eae009581b6bd97f1922791788be8e.pc/e5ae95a59f924904b80dc635cc68d3cd.jpg.sub2.png"/>
                    <pic:cNvPicPr>
                      <a:picLocks noChangeAspect="1"/>
                    </pic:cNvPicPr>
                  </pic:nvPicPr>
                  <pic:blipFill>
                    <a:blip r:embed="rId18"/>
                    <a:srcRect l="13500" r="9779"/>
                    <a:stretch>
                      <a:fillRect/>
                    </a:stretch>
                  </pic:blipFill>
                  <pic:spPr>
                    <a:xfrm>
                      <a:off x="0" y="0"/>
                      <a:ext cx="5274310" cy="6820874"/>
                    </a:xfrm>
                    <a:prstGeom prst="rect">
                      <a:avLst/>
                    </a:prstGeom>
                    <a:ln>
                      <a:solidFill>
                        <a:srgbClr val="0000FF"/>
                      </a:solidFill>
                    </a:ln>
                  </pic:spPr>
                </pic:pic>
              </a:graphicData>
            </a:graphic>
          </wp:inline>
        </w:drawing>
      </w:r>
    </w:p>
    <w:p>
      <w:pPr>
        <w:spacing w:before="0" w:after="0" w:line="240" w:lineRule="auto"/>
        <w:ind w:firstLine="0" w:firstLineChars="0"/>
        <w:jc w:val="left"/>
        <w:rPr>
          <w:b/>
          <w:sz w:val="28"/>
        </w:rPr>
      </w:pPr>
      <w:r>
        <w:br w:type="page"/>
      </w:r>
    </w:p>
    <w:p>
      <w:pPr>
        <w:pStyle w:val="6"/>
        <w:bidi w:val="0"/>
      </w:pPr>
      <w:bookmarkStart w:id="132" w:name="_Toc118293206"/>
      <w:bookmarkStart w:id="133" w:name="_Toc28645"/>
      <w:bookmarkStart w:id="134" w:name="_Toc108341998"/>
      <w:bookmarkStart w:id="135" w:name="_Toc117181932"/>
      <w:bookmarkStart w:id="136" w:name="_Toc116400065"/>
      <w:bookmarkStart w:id="137" w:name="_Toc111447415"/>
      <w:r>
        <w:rPr>
          <w:rFonts w:hint="eastAsia"/>
          <w:lang w:val="en-US" w:eastAsia="zh-CN"/>
        </w:rPr>
        <w:t>（九）</w:t>
      </w:r>
      <w:r>
        <w:t>生产过程质量检验流程</w:t>
      </w:r>
      <w:bookmarkEnd w:id="132"/>
      <w:bookmarkEnd w:id="133"/>
      <w:bookmarkEnd w:id="134"/>
      <w:bookmarkEnd w:id="135"/>
      <w:bookmarkEnd w:id="136"/>
      <w:bookmarkEnd w:id="137"/>
    </w:p>
    <w:p>
      <w:pPr>
        <w:pStyle w:val="52"/>
      </w:pPr>
      <w:r>
        <w:drawing>
          <wp:inline distT="0" distB="0" distL="0" distR="0">
            <wp:extent cx="5274310" cy="7453630"/>
            <wp:effectExtent l="9525" t="9525" r="12065" b="23495"/>
            <wp:docPr id="431" name="Drawing 19" descr="/root/apache-tomcat-baidu_catch/baiduwenkutmp/8/8af4e0a168eae009581b6bd97f1922791788be8e.pc/bf6110ac2b194835b6d75b17739da5b1.jpg.su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Drawing 19" descr="/root/apache-tomcat-baidu_catch/baiduwenkutmp/8/8af4e0a168eae009581b6bd97f1922791788be8e.pc/bf6110ac2b194835b6d75b17739da5b1.jpg.sub2.png"/>
                    <pic:cNvPicPr>
                      <a:picLocks noChangeAspect="1"/>
                    </pic:cNvPicPr>
                  </pic:nvPicPr>
                  <pic:blipFill>
                    <a:blip r:embed="rId19"/>
                    <a:srcRect l="21377" r="21252"/>
                    <a:stretch>
                      <a:fillRect/>
                    </a:stretch>
                  </pic:blipFill>
                  <pic:spPr>
                    <a:xfrm>
                      <a:off x="0" y="0"/>
                      <a:ext cx="5274310" cy="7453850"/>
                    </a:xfrm>
                    <a:prstGeom prst="rect">
                      <a:avLst/>
                    </a:prstGeom>
                    <a:ln>
                      <a:solidFill>
                        <a:srgbClr val="0000FF"/>
                      </a:solidFill>
                    </a:ln>
                  </pic:spPr>
                </pic:pic>
              </a:graphicData>
            </a:graphic>
          </wp:inline>
        </w:drawing>
      </w:r>
    </w:p>
    <w:p>
      <w:pPr>
        <w:spacing w:before="0" w:after="0" w:line="240" w:lineRule="auto"/>
        <w:ind w:firstLine="0" w:firstLineChars="0"/>
        <w:jc w:val="left"/>
        <w:rPr>
          <w:b/>
          <w:sz w:val="28"/>
        </w:rPr>
      </w:pPr>
      <w:r>
        <w:br w:type="page"/>
      </w:r>
    </w:p>
    <w:p>
      <w:pPr>
        <w:pStyle w:val="6"/>
        <w:bidi w:val="0"/>
      </w:pPr>
      <w:bookmarkStart w:id="138" w:name="_Toc116400066"/>
      <w:bookmarkStart w:id="139" w:name="_Toc111447416"/>
      <w:bookmarkStart w:id="140" w:name="_Toc108341999"/>
      <w:bookmarkStart w:id="141" w:name="_Toc118293207"/>
      <w:bookmarkStart w:id="142" w:name="_Toc117181933"/>
      <w:bookmarkStart w:id="143" w:name="_Toc11221"/>
      <w:r>
        <w:rPr>
          <w:rFonts w:hint="eastAsia"/>
          <w:lang w:val="en-US" w:eastAsia="zh-CN"/>
        </w:rPr>
        <w:t>（十）</w:t>
      </w:r>
      <w:r>
        <w:t>进货检验不合格处理流程</w:t>
      </w:r>
      <w:bookmarkEnd w:id="138"/>
      <w:bookmarkEnd w:id="139"/>
      <w:bookmarkEnd w:id="140"/>
      <w:bookmarkEnd w:id="141"/>
      <w:bookmarkEnd w:id="142"/>
      <w:bookmarkEnd w:id="143"/>
    </w:p>
    <w:p>
      <w:pPr>
        <w:pStyle w:val="52"/>
      </w:pPr>
      <w:r>
        <w:drawing>
          <wp:inline distT="0" distB="0" distL="0" distR="0">
            <wp:extent cx="5274310" cy="5494020"/>
            <wp:effectExtent l="9525" t="9525" r="12065" b="20955"/>
            <wp:docPr id="432" name="图片 43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432" descr="图示&#10;&#10;描述已自动生成"/>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310" cy="5494522"/>
                    </a:xfrm>
                    <a:prstGeom prst="rect">
                      <a:avLst/>
                    </a:prstGeom>
                    <a:noFill/>
                    <a:ln>
                      <a:solidFill>
                        <a:srgbClr val="0000FF"/>
                      </a:solidFill>
                    </a:ln>
                  </pic:spPr>
                </pic:pic>
              </a:graphicData>
            </a:graphic>
          </wp:inline>
        </w:drawing>
      </w:r>
    </w:p>
    <w:p>
      <w:pPr>
        <w:pStyle w:val="52"/>
        <w:ind w:firstLine="480"/>
      </w:pPr>
    </w:p>
    <w:p>
      <w:pPr>
        <w:spacing w:before="0" w:after="0" w:line="240" w:lineRule="auto"/>
        <w:ind w:firstLine="0" w:firstLineChars="0"/>
        <w:jc w:val="left"/>
      </w:pPr>
      <w:r>
        <w:br w:type="page"/>
      </w:r>
    </w:p>
    <w:p>
      <w:pPr>
        <w:pStyle w:val="4"/>
        <w:bidi w:val="0"/>
      </w:pPr>
      <w:bookmarkStart w:id="144" w:name="_Toc115352610"/>
      <w:bookmarkStart w:id="145" w:name="_Toc117181874"/>
      <w:bookmarkStart w:id="146" w:name="_Toc118293208"/>
      <w:bookmarkStart w:id="147" w:name="_Toc13794"/>
      <w:bookmarkStart w:id="148" w:name="_Toc116226168"/>
      <w:r>
        <w:rPr>
          <w:rFonts w:hint="eastAsia"/>
          <w:lang w:val="en-US" w:eastAsia="zh-CN"/>
        </w:rPr>
        <w:t xml:space="preserve">第三节  </w:t>
      </w:r>
      <w:r>
        <w:rPr>
          <w:rFonts w:hint="eastAsia"/>
        </w:rPr>
        <w:t>项目保障方案</w:t>
      </w:r>
      <w:bookmarkEnd w:id="144"/>
      <w:bookmarkEnd w:id="145"/>
      <w:bookmarkEnd w:id="146"/>
      <w:bookmarkEnd w:id="147"/>
      <w:bookmarkEnd w:id="148"/>
    </w:p>
    <w:p>
      <w:pPr>
        <w:jc w:val="center"/>
        <w:rPr>
          <w:b/>
          <w:bCs/>
        </w:rPr>
      </w:pPr>
      <w:r>
        <w:rPr>
          <w:rFonts w:hint="eastAsia"/>
          <w:b/>
          <w:bCs/>
        </w:rPr>
        <w:t>项目组织机构</w:t>
      </w:r>
    </w:p>
    <w:p>
      <w:pPr>
        <w:pStyle w:val="52"/>
      </w:pPr>
      <w:r>
        <w:rPr>
          <w:rFonts w:hint="eastAsia"/>
        </w:rPr>
        <w:drawing>
          <wp:inline distT="0" distB="0" distL="0" distR="0">
            <wp:extent cx="5278120" cy="3637915"/>
            <wp:effectExtent l="0" t="38100" r="0" b="38735"/>
            <wp:docPr id="97" name="图示 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pPr>
        <w:pStyle w:val="5"/>
        <w:bidi w:val="0"/>
      </w:pPr>
      <w:bookmarkStart w:id="149" w:name="_Toc116226169"/>
      <w:bookmarkStart w:id="150" w:name="_Toc117181875"/>
      <w:bookmarkStart w:id="151" w:name="_Toc118293209"/>
      <w:bookmarkStart w:id="152" w:name="_Toc115352611"/>
      <w:bookmarkStart w:id="153" w:name="_Toc5328"/>
      <w:r>
        <w:rPr>
          <w:rFonts w:hint="eastAsia"/>
          <w:lang w:val="en-US" w:eastAsia="zh-CN"/>
        </w:rPr>
        <w:t>一、</w:t>
      </w:r>
      <w:r>
        <w:rPr>
          <w:rFonts w:hint="eastAsia"/>
        </w:rPr>
        <w:t>人员保障</w:t>
      </w:r>
      <w:bookmarkEnd w:id="149"/>
      <w:bookmarkEnd w:id="150"/>
      <w:bookmarkEnd w:id="151"/>
      <w:bookmarkEnd w:id="152"/>
      <w:bookmarkEnd w:id="153"/>
    </w:p>
    <w:p>
      <w:pPr>
        <w:ind w:firstLine="480"/>
      </w:pPr>
      <w:r>
        <w:rPr>
          <w:rFonts w:hint="eastAsia"/>
        </w:rPr>
        <w:t>我公司将抽调经验丰富的工作人员，制定详细的人员管理制度，直接参与本次肥料采购服务的工作，公司将保证项目部各成员都经过严格的挑选，保证这些人员具有良好的职业道德素质、优秀的团队协作作风，各部门正式工作开始前，项目部对参加项目的人员的资格进行审查，并填写相关记录。</w:t>
      </w:r>
    </w:p>
    <w:p>
      <w:pPr>
        <w:pStyle w:val="5"/>
        <w:bidi w:val="0"/>
      </w:pPr>
      <w:bookmarkStart w:id="154" w:name="_Toc115352612"/>
      <w:bookmarkStart w:id="155" w:name="_Toc118293210"/>
      <w:bookmarkStart w:id="156" w:name="_Toc116226170"/>
      <w:bookmarkStart w:id="157" w:name="_Toc117181876"/>
      <w:bookmarkStart w:id="158" w:name="_Toc7348"/>
      <w:r>
        <w:rPr>
          <w:rFonts w:hint="eastAsia"/>
          <w:lang w:val="en-US" w:eastAsia="zh-CN"/>
        </w:rPr>
        <w:t>二、</w:t>
      </w:r>
      <w:r>
        <w:rPr>
          <w:rFonts w:hint="eastAsia"/>
        </w:rPr>
        <w:t>组织保障</w:t>
      </w:r>
      <w:bookmarkEnd w:id="154"/>
      <w:bookmarkEnd w:id="155"/>
      <w:bookmarkEnd w:id="156"/>
      <w:bookmarkEnd w:id="157"/>
      <w:bookmarkEnd w:id="158"/>
    </w:p>
    <w:p>
      <w:pPr>
        <w:ind w:firstLine="480"/>
      </w:pPr>
      <w:r>
        <w:rPr>
          <w:rFonts w:hint="eastAsia"/>
          <w:lang w:eastAsia="zh-CN"/>
        </w:rPr>
        <w:t>（</w:t>
      </w:r>
      <w:r>
        <w:rPr>
          <w:rFonts w:hint="eastAsia"/>
          <w:lang w:val="en-US" w:eastAsia="zh-CN"/>
        </w:rPr>
        <w:t>一</w:t>
      </w:r>
      <w:r>
        <w:rPr>
          <w:rFonts w:hint="eastAsia"/>
          <w:lang w:eastAsia="zh-CN"/>
        </w:rPr>
        <w:t>）</w:t>
      </w:r>
      <w:r>
        <w:t>落实各进度控制和人员具体任务和工作责任，生产部成立以生产部经理为首的进度控制组织系统，做好劳力、设备、原料的协调准备工作，保证在生产过程中不出现窝工、浪工现象；加强对生产部的各类管理人员的教育工作，使他们到岗尽职，以有利于各项工作的有效展开。</w:t>
      </w:r>
    </w:p>
    <w:p>
      <w:pPr>
        <w:ind w:firstLine="480"/>
      </w:pPr>
      <w:r>
        <w:rPr>
          <w:rFonts w:hint="eastAsia"/>
          <w:lang w:eastAsia="zh-CN"/>
        </w:rPr>
        <w:t>（</w:t>
      </w:r>
      <w:r>
        <w:rPr>
          <w:rFonts w:hint="eastAsia"/>
          <w:lang w:val="en-US" w:eastAsia="zh-CN"/>
        </w:rPr>
        <w:t>二</w:t>
      </w:r>
      <w:r>
        <w:rPr>
          <w:rFonts w:hint="eastAsia"/>
          <w:lang w:eastAsia="zh-CN"/>
        </w:rPr>
        <w:t>）</w:t>
      </w:r>
      <w:r>
        <w:t>强化生产指导机构，在劳力安排、材料运输、机构管理、生产后勤方面一切服从生产需要。任何人必须服从分配听指挥，对作业计划完成情况。进行跟踪研究、分析，牢牢掌握生产主动权，对未完成生产计划的，及时查原因、订措施补救。加强计划管理，建立班组会、生产例会，不断对照计划检查各节点工序工期的执行情况，及时调整，动态控制，确保不延误供货。</w:t>
      </w:r>
    </w:p>
    <w:p>
      <w:pPr>
        <w:pStyle w:val="5"/>
        <w:bidi w:val="0"/>
      </w:pPr>
      <w:bookmarkStart w:id="159" w:name="_Toc115352613"/>
      <w:bookmarkStart w:id="160" w:name="_Toc118293211"/>
      <w:bookmarkStart w:id="161" w:name="_Toc116226171"/>
      <w:bookmarkStart w:id="162" w:name="_Toc117181877"/>
      <w:bookmarkStart w:id="163" w:name="_Toc816"/>
      <w:r>
        <w:rPr>
          <w:rFonts w:hint="eastAsia"/>
          <w:lang w:val="en-US" w:eastAsia="zh-CN"/>
        </w:rPr>
        <w:t>三、</w:t>
      </w:r>
      <w:r>
        <w:rPr>
          <w:rFonts w:hint="eastAsia"/>
        </w:rPr>
        <w:t>技术保障</w:t>
      </w:r>
      <w:bookmarkEnd w:id="159"/>
      <w:bookmarkEnd w:id="160"/>
      <w:bookmarkEnd w:id="161"/>
      <w:bookmarkEnd w:id="162"/>
      <w:bookmarkEnd w:id="163"/>
    </w:p>
    <w:p>
      <w:pPr>
        <w:ind w:firstLine="480"/>
      </w:pPr>
      <w:r>
        <w:rPr>
          <w:rFonts w:hint="eastAsia"/>
          <w:lang w:eastAsia="zh-CN"/>
        </w:rPr>
        <w:t>（</w:t>
      </w:r>
      <w:r>
        <w:rPr>
          <w:rFonts w:hint="eastAsia"/>
          <w:lang w:val="en-US" w:eastAsia="zh-CN"/>
        </w:rPr>
        <w:t>一</w:t>
      </w:r>
      <w:r>
        <w:rPr>
          <w:rFonts w:hint="eastAsia"/>
          <w:lang w:eastAsia="zh-CN"/>
        </w:rPr>
        <w:t>）</w:t>
      </w:r>
      <w:r>
        <w:t>根据交货期控制，逐周编制作业计划。根据计划，在生产、运输过程中加强人力、物力、技术调度，保证材料的供应，每天对照检查计划执行情况，及时调整。劳力的选用严格按单位的有关规定执行，调动本单位内部的熟练技术工人参战，注重提高操作工的技术素质，加强岗前培训工作，确保生产技术过硬，以提高工作效率。加强原材料的采购管理，多点联系，择优选购；周转材料充实供应，符合相关质量要求，制定详细的仓储制度，避免由于材料供应不及时或出现质量问题而耽误交货。</w:t>
      </w:r>
    </w:p>
    <w:p>
      <w:pPr>
        <w:ind w:firstLine="480"/>
      </w:pPr>
      <w:r>
        <w:rPr>
          <w:rFonts w:hint="eastAsia"/>
          <w:lang w:eastAsia="zh-CN"/>
        </w:rPr>
        <w:t>（</w:t>
      </w:r>
      <w:r>
        <w:rPr>
          <w:rFonts w:hint="eastAsia"/>
          <w:lang w:val="en-US" w:eastAsia="zh-CN"/>
        </w:rPr>
        <w:t>二</w:t>
      </w:r>
      <w:r>
        <w:rPr>
          <w:rFonts w:hint="eastAsia"/>
          <w:lang w:eastAsia="zh-CN"/>
        </w:rPr>
        <w:t>）</w:t>
      </w:r>
      <w:r>
        <w:t>生产前对生产设备进行检查维修，要必时购置，使用中不断加强保养和检修，以保证机具的完好性，从而保证和提高机具使用率，以免机械器具故障或短缺而影响生产进度。</w:t>
      </w:r>
    </w:p>
    <w:p>
      <w:pPr>
        <w:ind w:firstLine="480"/>
      </w:pPr>
      <w:r>
        <w:rPr>
          <w:rFonts w:hint="eastAsia"/>
          <w:lang w:eastAsia="zh-CN"/>
        </w:rPr>
        <w:t>（</w:t>
      </w:r>
      <w:r>
        <w:rPr>
          <w:rFonts w:hint="eastAsia"/>
          <w:lang w:val="en-US" w:eastAsia="zh-CN"/>
        </w:rPr>
        <w:t>三</w:t>
      </w:r>
      <w:r>
        <w:rPr>
          <w:rFonts w:hint="eastAsia"/>
          <w:lang w:eastAsia="zh-CN"/>
        </w:rPr>
        <w:t>）</w:t>
      </w:r>
      <w:r>
        <w:t>加强技术管理，各工序前要审图，进行详细技术交底。生产过程中执行三检制，对每一道工序的质量进行跟踪检查把关，发现质量问题及时整改，以免影响一下道工序。</w:t>
      </w:r>
    </w:p>
    <w:p>
      <w:pPr>
        <w:ind w:firstLine="480"/>
      </w:pPr>
      <w:r>
        <w:rPr>
          <w:rFonts w:hint="eastAsia"/>
          <w:lang w:eastAsia="zh-CN"/>
        </w:rPr>
        <w:t>（</w:t>
      </w:r>
      <w:r>
        <w:rPr>
          <w:rFonts w:hint="eastAsia"/>
          <w:lang w:val="en-US" w:eastAsia="zh-CN"/>
        </w:rPr>
        <w:t>四</w:t>
      </w:r>
      <w:r>
        <w:rPr>
          <w:rFonts w:hint="eastAsia"/>
          <w:lang w:eastAsia="zh-CN"/>
        </w:rPr>
        <w:t>）</w:t>
      </w:r>
      <w:r>
        <w:t>加强质量管理，严格按质量保证措施进行质量控制，做到操作有法，跟班检查，确保各工序质量合格，杜绝因产品质量引起返工、停工而延误工期。</w:t>
      </w:r>
    </w:p>
    <w:p>
      <w:pPr>
        <w:pStyle w:val="5"/>
        <w:bidi w:val="0"/>
      </w:pPr>
      <w:bookmarkStart w:id="164" w:name="_Toc118293212"/>
      <w:bookmarkStart w:id="165" w:name="_Toc115352614"/>
      <w:bookmarkStart w:id="166" w:name="_Toc20658"/>
      <w:bookmarkStart w:id="167" w:name="_Toc116226172"/>
      <w:bookmarkStart w:id="168" w:name="_Toc117181878"/>
      <w:r>
        <w:rPr>
          <w:rFonts w:hint="eastAsia"/>
          <w:lang w:val="en-US" w:eastAsia="zh-CN"/>
        </w:rPr>
        <w:t>四、</w:t>
      </w:r>
      <w:r>
        <w:rPr>
          <w:rFonts w:hint="eastAsia"/>
        </w:rPr>
        <w:t>经济保障</w:t>
      </w:r>
      <w:bookmarkEnd w:id="164"/>
      <w:bookmarkEnd w:id="165"/>
      <w:bookmarkEnd w:id="166"/>
      <w:bookmarkEnd w:id="167"/>
      <w:bookmarkEnd w:id="168"/>
    </w:p>
    <w:p>
      <w:pPr>
        <w:ind w:firstLine="480"/>
      </w:pPr>
      <w:r>
        <w:rPr>
          <w:rFonts w:hint="eastAsia"/>
        </w:rPr>
        <w:t>为保证按期交货，必须有资金保证，我公司为本项目准备了一定资金，并实行专款专用制，以确保我公司不影响生产进度，从而保证生产进度不受资金的影响。</w:t>
      </w:r>
    </w:p>
    <w:p>
      <w:pPr>
        <w:pStyle w:val="5"/>
        <w:bidi w:val="0"/>
      </w:pPr>
      <w:bookmarkStart w:id="169" w:name="_Toc118293213"/>
      <w:bookmarkStart w:id="170" w:name="_Toc115352615"/>
      <w:bookmarkStart w:id="171" w:name="_Toc116226173"/>
      <w:bookmarkStart w:id="172" w:name="_Toc117181879"/>
      <w:bookmarkStart w:id="173" w:name="_Toc13046"/>
      <w:r>
        <w:rPr>
          <w:rFonts w:hint="eastAsia"/>
          <w:lang w:val="en-US" w:eastAsia="zh-CN"/>
        </w:rPr>
        <w:t>五、</w:t>
      </w:r>
      <w:r>
        <w:rPr>
          <w:rFonts w:hint="eastAsia"/>
        </w:rPr>
        <w:t>合同保障</w:t>
      </w:r>
      <w:bookmarkEnd w:id="169"/>
      <w:bookmarkEnd w:id="170"/>
      <w:bookmarkEnd w:id="171"/>
      <w:bookmarkEnd w:id="172"/>
      <w:bookmarkEnd w:id="173"/>
    </w:p>
    <w:p>
      <w:pPr>
        <w:ind w:firstLine="480"/>
      </w:pPr>
      <w:r>
        <w:rPr>
          <w:rFonts w:hint="eastAsia"/>
        </w:rPr>
        <w:t>在生产过程中全面推承包责任制，层层落实生产指标，开展班组之间的竞争，设立“进度计划完成奖以及质量信得过奖”，制定奖惩制度，做到奖罚分明，消灭大锅饭，奖励先进，充分调动积极性，把质量进度搞上去，对完不成计划而造成经济损失的，追究其责任。</w:t>
      </w:r>
    </w:p>
    <w:p>
      <w:pPr>
        <w:pStyle w:val="5"/>
        <w:bidi w:val="0"/>
      </w:pPr>
      <w:bookmarkStart w:id="174" w:name="_Toc115352616"/>
      <w:bookmarkStart w:id="175" w:name="_Toc116226174"/>
      <w:bookmarkStart w:id="176" w:name="_Toc118293214"/>
      <w:bookmarkStart w:id="177" w:name="_Toc704"/>
      <w:bookmarkStart w:id="178" w:name="_Toc117181880"/>
      <w:r>
        <w:rPr>
          <w:rFonts w:hint="eastAsia"/>
          <w:lang w:val="en-US" w:eastAsia="zh-CN"/>
        </w:rPr>
        <w:t>六、</w:t>
      </w:r>
      <w:r>
        <w:rPr>
          <w:rFonts w:hint="eastAsia"/>
        </w:rPr>
        <w:t>信息管理</w:t>
      </w:r>
      <w:bookmarkEnd w:id="174"/>
      <w:bookmarkEnd w:id="175"/>
      <w:bookmarkEnd w:id="176"/>
      <w:bookmarkEnd w:id="177"/>
      <w:bookmarkEnd w:id="178"/>
    </w:p>
    <w:p>
      <w:pPr>
        <w:ind w:firstLine="480"/>
      </w:pPr>
      <w:r>
        <w:rPr>
          <w:rFonts w:hint="eastAsia"/>
        </w:rPr>
        <w:t>在生产过程中，不断地收集实际进度的有关资料进行整理统计，与计划进度比较，定期提供比较报告。在其控制下编制周作业计划，并做好进度记录，填好进度统计表，协调各方面关系，及时、灵活、准确、果断地采取措施，排除各种矛盾，加强各薄弱环节，实现动态平衡，保证完成交货期目标。</w:t>
      </w:r>
    </w:p>
    <w:p>
      <w:pPr>
        <w:pStyle w:val="5"/>
        <w:bidi w:val="0"/>
      </w:pPr>
      <w:bookmarkStart w:id="179" w:name="_Toc115352617"/>
      <w:bookmarkStart w:id="180" w:name="_Toc27347"/>
      <w:bookmarkStart w:id="181" w:name="_Toc117181881"/>
      <w:bookmarkStart w:id="182" w:name="_Toc118293215"/>
      <w:bookmarkStart w:id="183" w:name="_Toc116226175"/>
      <w:r>
        <w:rPr>
          <w:rFonts w:hint="eastAsia"/>
          <w:lang w:val="en-US" w:eastAsia="zh-CN"/>
        </w:rPr>
        <w:t>七、</w:t>
      </w:r>
      <w:r>
        <w:rPr>
          <w:rFonts w:hint="eastAsia"/>
        </w:rPr>
        <w:t>运输保障</w:t>
      </w:r>
      <w:bookmarkEnd w:id="179"/>
      <w:bookmarkEnd w:id="180"/>
      <w:bookmarkEnd w:id="181"/>
      <w:bookmarkEnd w:id="182"/>
      <w:bookmarkEnd w:id="183"/>
    </w:p>
    <w:p>
      <w:pPr>
        <w:ind w:firstLine="480"/>
      </w:pPr>
      <w:r>
        <w:rPr>
          <w:rFonts w:hint="eastAsia"/>
        </w:rPr>
        <w:t>公司位于</w:t>
      </w:r>
      <w:r>
        <w:rPr>
          <w:rFonts w:hint="eastAsia"/>
          <w:lang w:eastAsia="zh-CN"/>
        </w:rPr>
        <w:t>XXX</w:t>
      </w:r>
      <w:r>
        <w:rPr>
          <w:rFonts w:hint="eastAsia"/>
        </w:rPr>
        <w:t>市</w:t>
      </w:r>
      <w:r>
        <w:t>，交通十分便利，所在地离招标方仅2</w:t>
      </w:r>
      <w:r>
        <w:rPr>
          <w:rFonts w:hint="eastAsia"/>
        </w:rPr>
        <w:t>个半小时左右车程</w:t>
      </w:r>
      <w:r>
        <w:t>，且公司配备运输车辆9辆，且与当地运输公司达成合作模式，在运输方面上可以做到随时到货，同时，公司有与大型公司合作的经验，同时公司配备有陆运车辆等多种运输工具，在运输方面上可以做到安全、快速运抵项目指定收货现场。</w:t>
      </w:r>
    </w:p>
    <w:p>
      <w:pPr>
        <w:pStyle w:val="5"/>
        <w:bidi w:val="0"/>
      </w:pPr>
      <w:bookmarkStart w:id="184" w:name="_Toc116226176"/>
      <w:bookmarkStart w:id="185" w:name="_Toc118293216"/>
      <w:bookmarkStart w:id="186" w:name="_Toc117181882"/>
      <w:bookmarkStart w:id="187" w:name="_Toc115352618"/>
      <w:bookmarkStart w:id="188" w:name="_Toc15032"/>
      <w:r>
        <w:rPr>
          <w:rFonts w:hint="eastAsia"/>
          <w:lang w:val="en-US" w:eastAsia="zh-CN"/>
        </w:rPr>
        <w:t>八、</w:t>
      </w:r>
      <w:r>
        <w:rPr>
          <w:rFonts w:hint="eastAsia"/>
        </w:rPr>
        <w:t>应急保障</w:t>
      </w:r>
      <w:bookmarkEnd w:id="184"/>
      <w:bookmarkEnd w:id="185"/>
      <w:bookmarkEnd w:id="186"/>
      <w:bookmarkEnd w:id="187"/>
      <w:bookmarkEnd w:id="188"/>
    </w:p>
    <w:p>
      <w:pPr>
        <w:ind w:firstLine="480"/>
      </w:pPr>
      <w:r>
        <w:rPr>
          <w:rFonts w:hint="eastAsia"/>
        </w:rPr>
        <w:t>公司集中人力、物力、财力全面保障招标方项目的实施，备有一定库存量的产品，为了不影响招标方货物供应，如遇特殊产品需求的情况下提前一至二天通知我公司，我公司可为采购方提前调拨货物并按指定地点送达，公司为招标方按时按质按量交付货物。</w:t>
      </w:r>
    </w:p>
    <w:p>
      <w:pPr>
        <w:pStyle w:val="5"/>
        <w:bidi w:val="0"/>
      </w:pPr>
      <w:bookmarkStart w:id="189" w:name="_Toc116226177"/>
      <w:bookmarkStart w:id="190" w:name="_Toc118293217"/>
      <w:bookmarkStart w:id="191" w:name="_Toc18272"/>
      <w:bookmarkStart w:id="192" w:name="_Toc115352619"/>
      <w:bookmarkStart w:id="193" w:name="_Toc117181883"/>
      <w:r>
        <w:rPr>
          <w:rFonts w:hint="eastAsia"/>
          <w:lang w:val="en-US" w:eastAsia="zh-CN"/>
        </w:rPr>
        <w:t>九、</w:t>
      </w:r>
      <w:r>
        <w:rPr>
          <w:rFonts w:hint="eastAsia"/>
        </w:rPr>
        <w:t>沟通保障</w:t>
      </w:r>
      <w:bookmarkEnd w:id="189"/>
      <w:bookmarkEnd w:id="190"/>
      <w:bookmarkEnd w:id="191"/>
      <w:bookmarkEnd w:id="192"/>
      <w:bookmarkEnd w:id="193"/>
    </w:p>
    <w:p>
      <w:pPr>
        <w:ind w:firstLine="480"/>
      </w:pPr>
      <w:r>
        <w:rPr>
          <w:rFonts w:hint="eastAsia"/>
        </w:rPr>
        <w:t>本公司在加强与招标方沟通，加强内部沟通，并指定专人及时与招标方沟通和联系，及时汇总沟通情况，内部供货环节实行日报，加强调控，确保按时按质按量供货。</w:t>
      </w:r>
    </w:p>
    <w:p>
      <w:pPr>
        <w:rPr>
          <w:rFonts w:hint="eastAsia"/>
          <w:lang w:eastAsia="zh-CN"/>
        </w:rPr>
      </w:pPr>
      <w:bookmarkStart w:id="194" w:name="_Toc117181884"/>
      <w:bookmarkStart w:id="195" w:name="_Toc116121414"/>
      <w:bookmarkStart w:id="196" w:name="_Toc118293218"/>
      <w:r>
        <w:rPr>
          <w:rFonts w:hint="eastAsia"/>
          <w:lang w:eastAsia="zh-CN"/>
        </w:rPr>
        <w:br w:type="page"/>
      </w:r>
    </w:p>
    <w:p>
      <w:pPr>
        <w:pStyle w:val="4"/>
        <w:bidi w:val="0"/>
      </w:pPr>
      <w:bookmarkStart w:id="197" w:name="_Toc11857"/>
      <w:r>
        <w:rPr>
          <w:rFonts w:hint="eastAsia"/>
          <w:lang w:val="en-US" w:eastAsia="zh-CN"/>
        </w:rPr>
        <w:t xml:space="preserve">第四节  </w:t>
      </w:r>
      <w:r>
        <w:rPr>
          <w:rFonts w:hint="eastAsia"/>
        </w:rPr>
        <w:t>项目实施的承诺</w:t>
      </w:r>
      <w:bookmarkEnd w:id="194"/>
      <w:bookmarkEnd w:id="195"/>
      <w:bookmarkEnd w:id="196"/>
      <w:bookmarkEnd w:id="197"/>
    </w:p>
    <w:p>
      <w:pPr>
        <w:pStyle w:val="5"/>
        <w:bidi w:val="0"/>
      </w:pPr>
      <w:bookmarkStart w:id="198" w:name="_Toc116121415"/>
      <w:bookmarkStart w:id="199" w:name="_Toc117181885"/>
      <w:bookmarkStart w:id="200" w:name="_Toc118293219"/>
      <w:bookmarkStart w:id="201" w:name="_Toc3314"/>
      <w:r>
        <w:rPr>
          <w:rFonts w:hint="eastAsia"/>
          <w:lang w:val="en-US" w:eastAsia="zh-CN"/>
        </w:rPr>
        <w:t>一、</w:t>
      </w:r>
      <w:r>
        <w:rPr>
          <w:rFonts w:hint="eastAsia"/>
        </w:rPr>
        <w:t>项目管理承诺</w:t>
      </w:r>
      <w:bookmarkEnd w:id="198"/>
      <w:bookmarkEnd w:id="199"/>
      <w:bookmarkEnd w:id="200"/>
      <w:bookmarkEnd w:id="201"/>
    </w:p>
    <w:p>
      <w:pPr>
        <w:ind w:firstLine="480"/>
      </w:pPr>
      <w:r>
        <w:rPr>
          <w:rFonts w:hint="eastAsia"/>
        </w:rPr>
        <w:t>本项目通过下列活动对项目服务的质量、环境和职业健康安全管理体系的建立、实施和保持并持续改进作出承诺：</w:t>
      </w:r>
    </w:p>
    <w:p>
      <w:pPr>
        <w:ind w:firstLine="480"/>
      </w:pPr>
      <w:r>
        <w:rPr>
          <w:rFonts w:hint="eastAsia"/>
          <w:lang w:eastAsia="zh-CN"/>
        </w:rPr>
        <w:t>（</w:t>
      </w:r>
      <w:r>
        <w:rPr>
          <w:rFonts w:hint="eastAsia"/>
          <w:lang w:val="en-US" w:eastAsia="zh-CN"/>
        </w:rPr>
        <w:t>一</w:t>
      </w:r>
      <w:r>
        <w:rPr>
          <w:rFonts w:hint="eastAsia"/>
          <w:lang w:eastAsia="zh-CN"/>
        </w:rPr>
        <w:t>）</w:t>
      </w:r>
      <w:r>
        <w:t>采用会议、下达文件、宣传栏、标牌等形式，向项目全体员工传达满足采购方要求和遵守法律、法规要求的重要性，增强市场经济的竞争意识，增强公司依存于顾客的意识，增强环境保护意识，增强消除和减少风险的意识。</w:t>
      </w:r>
    </w:p>
    <w:p>
      <w:pPr>
        <w:ind w:firstLine="480"/>
      </w:pPr>
      <w:r>
        <w:rPr>
          <w:rFonts w:hint="eastAsia"/>
          <w:lang w:eastAsia="zh-CN"/>
        </w:rPr>
        <w:t>（</w:t>
      </w:r>
      <w:r>
        <w:rPr>
          <w:rFonts w:hint="eastAsia"/>
          <w:lang w:val="en-US" w:eastAsia="zh-CN"/>
        </w:rPr>
        <w:t>二</w:t>
      </w:r>
      <w:r>
        <w:rPr>
          <w:rFonts w:hint="eastAsia"/>
          <w:lang w:eastAsia="zh-CN"/>
        </w:rPr>
        <w:t>）</w:t>
      </w:r>
      <w:r>
        <w:t>依据本公司“诚信、守法、求实、创新、关爱生命、奉献精品、保护环境”的一体化管理方针，制定符合本项目实施和运行的，适应发展和采购方要求的管理目标和指标，使全体职工认同和理解并努力实现。</w:t>
      </w:r>
    </w:p>
    <w:p>
      <w:pPr>
        <w:ind w:firstLine="480"/>
      </w:pPr>
      <w:r>
        <w:rPr>
          <w:rFonts w:hint="eastAsia"/>
          <w:lang w:eastAsia="zh-CN"/>
        </w:rPr>
        <w:t>（</w:t>
      </w:r>
      <w:r>
        <w:rPr>
          <w:rFonts w:hint="eastAsia"/>
          <w:lang w:val="en-US" w:eastAsia="zh-CN"/>
        </w:rPr>
        <w:t>三</w:t>
      </w:r>
      <w:r>
        <w:rPr>
          <w:rFonts w:hint="eastAsia"/>
          <w:lang w:eastAsia="zh-CN"/>
        </w:rPr>
        <w:t>）</w:t>
      </w:r>
      <w:r>
        <w:t>建立健全项目一体化管理体系，并确保管理体系的持续适宜、充分和有效，确保项目获得必要的人力、设施、技术和财力资源，以保证管理体系的有效运转和持续改进。</w:t>
      </w:r>
    </w:p>
    <w:p>
      <w:pPr>
        <w:spacing w:before="0" w:after="0" w:line="240" w:lineRule="auto"/>
        <w:ind w:firstLine="0" w:firstLineChars="0"/>
        <w:jc w:val="left"/>
      </w:pPr>
      <w:r>
        <w:br w:type="page"/>
      </w:r>
    </w:p>
    <w:p>
      <w:pPr>
        <w:pStyle w:val="5"/>
        <w:bidi w:val="0"/>
      </w:pPr>
      <w:bookmarkStart w:id="202" w:name="_Toc118293220"/>
      <w:bookmarkStart w:id="203" w:name="_Toc116121416"/>
      <w:bookmarkStart w:id="204" w:name="_Toc117181886"/>
      <w:bookmarkStart w:id="205" w:name="_Toc18464"/>
      <w:r>
        <w:rPr>
          <w:rFonts w:hint="eastAsia"/>
          <w:lang w:val="en-US" w:eastAsia="zh-CN"/>
        </w:rPr>
        <w:t>二、</w:t>
      </w:r>
      <w:r>
        <w:rPr>
          <w:rFonts w:hint="eastAsia"/>
        </w:rPr>
        <w:t>项目进度承诺</w:t>
      </w:r>
      <w:bookmarkEnd w:id="202"/>
      <w:bookmarkEnd w:id="203"/>
      <w:bookmarkEnd w:id="204"/>
      <w:bookmarkEnd w:id="205"/>
    </w:p>
    <w:p>
      <w:pPr>
        <w:ind w:firstLine="480"/>
      </w:pPr>
      <w:r>
        <w:rPr>
          <w:rFonts w:hint="eastAsia"/>
          <w:lang w:eastAsia="zh-CN"/>
        </w:rPr>
        <w:t>XXX生物有机肥采购项目</w:t>
      </w:r>
      <w:r>
        <w:t>由我公司负责供货，根据招标文件及合同提出的交货时间要求，我公司将配备精兵良将，严格按照相应进度计划，为你方服务。</w:t>
      </w:r>
    </w:p>
    <w:p>
      <w:pPr>
        <w:ind w:firstLine="480"/>
      </w:pPr>
      <w:r>
        <w:rPr>
          <w:rFonts w:hint="eastAsia"/>
          <w:lang w:eastAsia="zh-CN"/>
        </w:rPr>
        <w:t>（</w:t>
      </w:r>
      <w:r>
        <w:rPr>
          <w:rFonts w:hint="eastAsia"/>
          <w:lang w:val="en-US" w:eastAsia="zh-CN"/>
        </w:rPr>
        <w:t>一</w:t>
      </w:r>
      <w:r>
        <w:rPr>
          <w:rFonts w:hint="eastAsia"/>
          <w:lang w:eastAsia="zh-CN"/>
        </w:rPr>
        <w:t>）</w:t>
      </w:r>
      <w:r>
        <w:t>从</w:t>
      </w:r>
      <w:r>
        <w:rPr>
          <w:rFonts w:hint="eastAsia"/>
        </w:rPr>
        <w:t>合同签订之日起</w:t>
      </w:r>
      <w:r>
        <w:t>，按照供货进度合理有效地安排供货运输工作，保证满足在</w:t>
      </w:r>
      <w:r>
        <w:rPr>
          <w:rFonts w:hint="eastAsia"/>
        </w:rPr>
        <w:t>合同签订后</w:t>
      </w:r>
      <w:r>
        <w:t>5日历天内全部交清，如我公司延误，给你方造成损失的，我公司将严格承担赔偿责任。</w:t>
      </w:r>
    </w:p>
    <w:p>
      <w:pPr>
        <w:ind w:firstLine="480"/>
      </w:pPr>
      <w:r>
        <w:rPr>
          <w:rFonts w:hint="eastAsia"/>
          <w:lang w:eastAsia="zh-CN"/>
        </w:rPr>
        <w:t>（</w:t>
      </w:r>
      <w:r>
        <w:rPr>
          <w:rFonts w:hint="eastAsia"/>
          <w:lang w:val="en-US" w:eastAsia="zh-CN"/>
        </w:rPr>
        <w:t>二</w:t>
      </w:r>
      <w:r>
        <w:rPr>
          <w:rFonts w:hint="eastAsia"/>
          <w:lang w:eastAsia="zh-CN"/>
        </w:rPr>
        <w:t>）</w:t>
      </w:r>
      <w:r>
        <w:t>因我公司原因拖延供货期自愿接受1000元/天的罚款，罚款总额不超过合同总</w:t>
      </w:r>
      <w:r>
        <w:rPr>
          <w:rFonts w:hint="eastAsia"/>
        </w:rPr>
        <w:t>总价</w:t>
      </w:r>
      <w:r>
        <w:t>的5％，严格按照贵单位制定的节点供货期进行供货，由于我公司原因导致总供货期延误超过5个日历天的（雨雪天及不可抗力条件下不能供货时，供货期顺延），贵方可单方解除合同并重新更换单位。</w:t>
      </w:r>
    </w:p>
    <w:p>
      <w:pPr>
        <w:ind w:firstLine="480"/>
      </w:pPr>
      <w:r>
        <w:rPr>
          <w:rFonts w:hint="eastAsia"/>
        </w:rPr>
        <w:t>以上是我公司对本项目的进度承诺，若我公司达不到贵公司要求或我公司承诺标准，或是我公司在服务中给贵方造成了巨额损失，我公司甘愿受法律法规处罚，承担由此造成的责任，并赔偿由此造成的一切经济损失。</w:t>
      </w:r>
    </w:p>
    <w:p>
      <w:pPr>
        <w:spacing w:before="0" w:after="0" w:line="240" w:lineRule="auto"/>
        <w:ind w:firstLine="0" w:firstLineChars="0"/>
        <w:jc w:val="left"/>
      </w:pPr>
      <w:r>
        <w:br w:type="page"/>
      </w:r>
    </w:p>
    <w:p>
      <w:pPr>
        <w:pStyle w:val="4"/>
        <w:bidi w:val="0"/>
        <w:spacing w:line="360" w:lineRule="auto"/>
      </w:pPr>
      <w:bookmarkStart w:id="206" w:name="_Toc7447"/>
      <w:bookmarkStart w:id="207" w:name="_Toc118293221"/>
      <w:bookmarkStart w:id="208" w:name="_Toc115429263"/>
      <w:bookmarkStart w:id="209" w:name="_Toc106727838"/>
      <w:bookmarkStart w:id="210" w:name="_Ref118206576"/>
      <w:bookmarkStart w:id="211" w:name="_Toc118223541"/>
      <w:bookmarkStart w:id="212" w:name="_Ref118206573"/>
      <w:bookmarkStart w:id="213" w:name="_Toc116121417"/>
      <w:bookmarkStart w:id="214" w:name="_Toc105600264"/>
      <w:bookmarkStart w:id="215" w:name="_Toc117181891"/>
      <w:bookmarkStart w:id="216" w:name="_Toc106727827"/>
      <w:r>
        <w:rPr>
          <w:rFonts w:hint="eastAsia"/>
          <w:lang w:val="en-US" w:eastAsia="zh-CN"/>
        </w:rPr>
        <w:t xml:space="preserve">第五节  </w:t>
      </w:r>
      <w:r>
        <w:rPr>
          <w:rFonts w:hint="eastAsia"/>
        </w:rPr>
        <w:t>供货组织方案</w:t>
      </w:r>
      <w:bookmarkEnd w:id="206"/>
      <w:bookmarkEnd w:id="207"/>
    </w:p>
    <w:p>
      <w:pPr>
        <w:pStyle w:val="5"/>
        <w:bidi w:val="0"/>
        <w:spacing w:line="360" w:lineRule="auto"/>
      </w:pPr>
      <w:bookmarkStart w:id="217" w:name="_Toc105600265"/>
      <w:bookmarkStart w:id="218" w:name="_Toc10138"/>
      <w:bookmarkStart w:id="219" w:name="_Toc117181892"/>
      <w:bookmarkStart w:id="220" w:name="_Toc106727828"/>
      <w:bookmarkStart w:id="221" w:name="_Toc116121418"/>
      <w:bookmarkStart w:id="222" w:name="_Toc118293222"/>
      <w:r>
        <w:rPr>
          <w:rFonts w:hint="eastAsia"/>
          <w:lang w:val="en-US" w:eastAsia="zh-CN"/>
        </w:rPr>
        <w:t>一、</w:t>
      </w:r>
      <w:r>
        <w:rPr>
          <w:rFonts w:hint="eastAsia"/>
        </w:rPr>
        <w:t>供货流程图</w:t>
      </w:r>
      <w:bookmarkEnd w:id="217"/>
      <w:bookmarkEnd w:id="218"/>
      <w:bookmarkEnd w:id="219"/>
      <w:bookmarkEnd w:id="220"/>
      <w:bookmarkEnd w:id="221"/>
      <w:bookmarkEnd w:id="222"/>
    </w:p>
    <w:p>
      <w:pPr>
        <w:pStyle w:val="57"/>
      </w:pPr>
      <w:r>
        <w:rPr>
          <w:rFonts w:hint="eastAsia"/>
        </w:rPr>
        <mc:AlternateContent>
          <mc:Choice Requires="wpc">
            <w:drawing>
              <wp:inline distT="0" distB="0" distL="0" distR="0">
                <wp:extent cx="5280660" cy="7719060"/>
                <wp:effectExtent l="4445" t="4445" r="10795" b="10795"/>
                <wp:docPr id="44" name="画布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rgbClr val="0000FF"/>
                          </a:solidFill>
                        </a:ln>
                      </wpc:whole>
                      <wps:wsp>
                        <wps:cNvPr id="2" name="矩形: 圆角 2"/>
                        <wps:cNvSpPr/>
                        <wps:spPr>
                          <a:xfrm>
                            <a:off x="3194099" y="1710048"/>
                            <a:ext cx="890649" cy="35625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spacing w:before="0" w:after="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发货检查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 name="矩形: 圆角 3"/>
                        <wps:cNvSpPr/>
                        <wps:spPr>
                          <a:xfrm>
                            <a:off x="1733798" y="2268175"/>
                            <a:ext cx="1757548" cy="425758"/>
                          </a:xfrm>
                          <a:prstGeom prst="roundRect">
                            <a:avLst>
                              <a:gd name="adj" fmla="val 5000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spacing w:before="0" w:after="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运到发货准备区</w:t>
                              </w:r>
                            </w:p>
                          </w:txbxContent>
                        </wps:txbx>
                        <wps:bodyPr rot="0" spcFirstLastPara="0" vert="horz" wrap="square" lIns="91440" tIns="45720" rIns="91440" bIns="45720" numCol="1" spcCol="0" rtlCol="0" fromWordArt="0" anchor="ctr" anchorCtr="0" forceAA="0" compatLnSpc="1">
                          <a:noAutofit/>
                        </wps:bodyPr>
                      </wps:wsp>
                      <wps:wsp>
                        <wps:cNvPr id="4" name="矩形: 圆角 4"/>
                        <wps:cNvSpPr/>
                        <wps:spPr>
                          <a:xfrm>
                            <a:off x="3170603" y="1171589"/>
                            <a:ext cx="937895" cy="3562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spacing w:before="0" w:after="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分货</w:t>
                              </w:r>
                            </w:p>
                          </w:txbxContent>
                        </wps:txbx>
                        <wps:bodyPr rot="0" spcFirstLastPara="0" vert="horz" wrap="square" lIns="91440" tIns="45720" rIns="91440" bIns="45720" numCol="1" spcCol="0" rtlCol="0" fromWordArt="0" anchor="ctr" anchorCtr="0" forceAA="0" compatLnSpc="1">
                          <a:noAutofit/>
                        </wps:bodyPr>
                      </wps:wsp>
                      <wps:wsp>
                        <wps:cNvPr id="5" name="矩形: 圆角 5"/>
                        <wps:cNvSpPr/>
                        <wps:spPr>
                          <a:xfrm>
                            <a:off x="1135964" y="1171580"/>
                            <a:ext cx="937895" cy="3562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spacing w:before="0" w:after="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贴标签</w:t>
                              </w:r>
                            </w:p>
                          </w:txbxContent>
                        </wps:txbx>
                        <wps:bodyPr rot="0" spcFirstLastPara="0" vert="horz" wrap="square" lIns="91440" tIns="45720" rIns="91440" bIns="45720" numCol="1" spcCol="0" rtlCol="0" fromWordArt="0" anchor="ctr" anchorCtr="0" forceAA="0" compatLnSpc="1">
                          <a:noAutofit/>
                        </wps:bodyPr>
                      </wps:wsp>
                      <wps:wsp>
                        <wps:cNvPr id="6" name="矩形: 圆角 6"/>
                        <wps:cNvSpPr/>
                        <wps:spPr>
                          <a:xfrm>
                            <a:off x="1729730" y="5191282"/>
                            <a:ext cx="1761616" cy="3562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spacing w:before="0" w:after="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到货后采购方验货</w:t>
                              </w:r>
                            </w:p>
                          </w:txbxContent>
                        </wps:txbx>
                        <wps:bodyPr rot="0" spcFirstLastPara="0" vert="horz" wrap="square" lIns="91440" tIns="45720" rIns="91440" bIns="45720" numCol="1" spcCol="0" rtlCol="0" fromWordArt="0" anchor="ctr" anchorCtr="0" forceAA="0" compatLnSpc="1">
                          <a:noAutofit/>
                        </wps:bodyPr>
                      </wps:wsp>
                      <wps:wsp>
                        <wps:cNvPr id="7" name="矩形: 圆角 7"/>
                        <wps:cNvSpPr/>
                        <wps:spPr>
                          <a:xfrm>
                            <a:off x="1945640" y="4547870"/>
                            <a:ext cx="1327785" cy="3562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spacing w:before="0" w:after="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发货信息记录</w:t>
                              </w:r>
                            </w:p>
                          </w:txbxContent>
                        </wps:txbx>
                        <wps:bodyPr rot="0" spcFirstLastPara="0" vert="horz" wrap="square" lIns="91440" tIns="45720" rIns="91440" bIns="45720" numCol="1" spcCol="0" rtlCol="0" fromWordArt="0" anchor="ctr" anchorCtr="0" forceAA="0" compatLnSpc="1">
                          <a:noAutofit/>
                        </wps:bodyPr>
                      </wps:wsp>
                      <wps:wsp>
                        <wps:cNvPr id="8" name="矩形: 圆角 8"/>
                        <wps:cNvSpPr/>
                        <wps:spPr>
                          <a:xfrm>
                            <a:off x="2133381" y="3394221"/>
                            <a:ext cx="937895" cy="3562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spacing w:before="0" w:after="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装车</w:t>
                              </w:r>
                            </w:p>
                          </w:txbxContent>
                        </wps:txbx>
                        <wps:bodyPr rot="0" spcFirstLastPara="0" vert="horz" wrap="square" lIns="91440" tIns="45720" rIns="91440" bIns="45720" numCol="1" spcCol="0" rtlCol="0" fromWordArt="0" anchor="ctr" anchorCtr="0" forceAA="0" compatLnSpc="1">
                          <a:noAutofit/>
                        </wps:bodyPr>
                      </wps:wsp>
                      <wps:wsp>
                        <wps:cNvPr id="9" name="矩形: 圆角 21"/>
                        <wps:cNvSpPr/>
                        <wps:spPr>
                          <a:xfrm>
                            <a:off x="2133381" y="3946175"/>
                            <a:ext cx="937895" cy="3562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spacing w:before="0" w:after="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发货</w:t>
                              </w:r>
                            </w:p>
                          </w:txbxContent>
                        </wps:txbx>
                        <wps:bodyPr rot="0" spcFirstLastPara="0" vert="horz" wrap="square" lIns="91440" tIns="45720" rIns="91440" bIns="45720" numCol="1" spcCol="0" rtlCol="0" fromWordArt="0" anchor="ctr" anchorCtr="0" forceAA="0" compatLnSpc="1">
                          <a:noAutofit/>
                        </wps:bodyPr>
                      </wps:wsp>
                      <wps:wsp>
                        <wps:cNvPr id="10" name="矩形: 圆角 22"/>
                        <wps:cNvSpPr/>
                        <wps:spPr>
                          <a:xfrm>
                            <a:off x="1135964" y="2869082"/>
                            <a:ext cx="937895" cy="3562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spacing w:before="0" w:after="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堆放</w:t>
                              </w:r>
                            </w:p>
                          </w:txbxContent>
                        </wps:txbx>
                        <wps:bodyPr rot="0" spcFirstLastPara="0" vert="horz" wrap="square" lIns="91440" tIns="45720" rIns="91440" bIns="45720" numCol="1" spcCol="0" rtlCol="0" fromWordArt="0" anchor="ctr" anchorCtr="0" forceAA="0" compatLnSpc="1">
                          <a:noAutofit/>
                        </wps:bodyPr>
                      </wps:wsp>
                      <wps:wsp>
                        <wps:cNvPr id="13" name="矩形: 圆角 23"/>
                        <wps:cNvSpPr/>
                        <wps:spPr>
                          <a:xfrm>
                            <a:off x="3127059" y="2889553"/>
                            <a:ext cx="937895" cy="3562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spacing w:before="0" w:after="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发票处理</w:t>
                              </w:r>
                            </w:p>
                          </w:txbxContent>
                        </wps:txbx>
                        <wps:bodyPr rot="0" spcFirstLastPara="0" vert="horz" wrap="square" lIns="91440" tIns="45720" rIns="91440" bIns="45720" numCol="1" spcCol="0" rtlCol="0" fromWordArt="0" anchor="ctr" anchorCtr="0" forceAA="0" compatLnSpc="1">
                          <a:noAutofit/>
                        </wps:bodyPr>
                      </wps:wsp>
                      <wps:wsp>
                        <wps:cNvPr id="14" name="矩形: 圆角 24"/>
                        <wps:cNvSpPr/>
                        <wps:spPr>
                          <a:xfrm>
                            <a:off x="690245" y="5915025"/>
                            <a:ext cx="4011295" cy="3562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spacing w:before="0" w:after="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根据要求和技术标准，进行肥料使用进行培训等</w:t>
                              </w:r>
                            </w:p>
                          </w:txbxContent>
                        </wps:txbx>
                        <wps:bodyPr rot="0" spcFirstLastPara="0" vert="horz" wrap="square" lIns="91440" tIns="45720" rIns="91440" bIns="45720" numCol="1" spcCol="0" rtlCol="0" fromWordArt="0" anchor="ctr" anchorCtr="0" forceAA="0" compatLnSpc="1">
                          <a:noAutofit/>
                        </wps:bodyPr>
                      </wps:wsp>
                      <wps:wsp>
                        <wps:cNvPr id="15" name="矩形: 圆角 25"/>
                        <wps:cNvSpPr/>
                        <wps:spPr>
                          <a:xfrm>
                            <a:off x="900430" y="6699250"/>
                            <a:ext cx="1127760" cy="3562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spacing w:before="0" w:after="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整体验收</w:t>
                              </w:r>
                            </w:p>
                          </w:txbxContent>
                        </wps:txbx>
                        <wps:bodyPr rot="0" spcFirstLastPara="0" vert="horz" wrap="square" lIns="91440" tIns="45720" rIns="91440" bIns="45720" numCol="1" spcCol="0" rtlCol="0" fromWordArt="0" anchor="ctr" anchorCtr="0" forceAA="0" compatLnSpc="1">
                          <a:noAutofit/>
                        </wps:bodyPr>
                      </wps:wsp>
                      <wps:wsp>
                        <wps:cNvPr id="16" name="矩形: 圆角 26"/>
                        <wps:cNvSpPr/>
                        <wps:spPr>
                          <a:xfrm>
                            <a:off x="3495040" y="6653530"/>
                            <a:ext cx="1026160" cy="40195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spacing w:before="0" w:after="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技术培训</w:t>
                              </w:r>
                            </w:p>
                          </w:txbxContent>
                        </wps:txbx>
                        <wps:bodyPr rot="0" spcFirstLastPara="0" vert="horz" wrap="square" lIns="91440" tIns="45720" rIns="91440" bIns="45720" numCol="1" spcCol="0" rtlCol="0" fromWordArt="0" anchor="ctr" anchorCtr="0" forceAA="0" compatLnSpc="1">
                          <a:noAutofit/>
                        </wps:bodyPr>
                      </wps:wsp>
                      <wps:wsp>
                        <wps:cNvPr id="17" name="矩形: 圆角 27"/>
                        <wps:cNvSpPr/>
                        <wps:spPr>
                          <a:xfrm>
                            <a:off x="2286635" y="7352665"/>
                            <a:ext cx="1075690" cy="3562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spacing w:before="0" w:after="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交付使用</w:t>
                              </w:r>
                            </w:p>
                          </w:txbxContent>
                        </wps:txbx>
                        <wps:bodyPr rot="0" spcFirstLastPara="0" vert="horz" wrap="square" lIns="91440" tIns="45720" rIns="91440" bIns="45720" numCol="1" spcCol="0" rtlCol="0" fromWordArt="0" anchor="ctr" anchorCtr="0" forceAA="0" compatLnSpc="1">
                          <a:noAutofit/>
                        </wps:bodyPr>
                      </wps:wsp>
                      <wps:wsp>
                        <wps:cNvPr id="18" name="矩形: 圆角 28"/>
                        <wps:cNvSpPr/>
                        <wps:spPr>
                          <a:xfrm>
                            <a:off x="916271" y="181855"/>
                            <a:ext cx="1363793" cy="3562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spacing w:before="0" w:after="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领取中标通知书</w:t>
                              </w:r>
                            </w:p>
                          </w:txbxContent>
                        </wps:txbx>
                        <wps:bodyPr rot="0" spcFirstLastPara="0" vert="horz" wrap="square" lIns="91440" tIns="45720" rIns="91440" bIns="45720" numCol="1" spcCol="0" rtlCol="0" fromWordArt="0" anchor="ctr" anchorCtr="0" forceAA="0" compatLnSpc="1">
                          <a:noAutofit/>
                        </wps:bodyPr>
                      </wps:wsp>
                      <wps:wsp>
                        <wps:cNvPr id="19" name="矩形: 圆角 29"/>
                        <wps:cNvSpPr/>
                        <wps:spPr>
                          <a:xfrm>
                            <a:off x="2958827" y="181844"/>
                            <a:ext cx="937895" cy="3562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spacing w:before="0" w:after="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签订合同</w:t>
                              </w:r>
                            </w:p>
                          </w:txbxContent>
                        </wps:txbx>
                        <wps:bodyPr rot="0" spcFirstLastPara="0" vert="horz" wrap="square" lIns="91440" tIns="45720" rIns="91440" bIns="45720" numCol="1" spcCol="0" rtlCol="0" fromWordArt="0" anchor="ctr" anchorCtr="0" forceAA="0" compatLnSpc="1">
                          <a:noAutofit/>
                        </wps:bodyPr>
                      </wps:wsp>
                      <wps:wsp>
                        <wps:cNvPr id="20" name="矩形: 圆角 30"/>
                        <wps:cNvSpPr/>
                        <wps:spPr>
                          <a:xfrm>
                            <a:off x="2101850" y="763905"/>
                            <a:ext cx="1032510" cy="356235"/>
                          </a:xfrm>
                          <a:prstGeom prst="roundRect">
                            <a:avLst>
                              <a:gd name="adj" fmla="val 2000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spacing w:before="0" w:after="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肥料备货</w:t>
                              </w:r>
                            </w:p>
                          </w:txbxContent>
                        </wps:txbx>
                        <wps:bodyPr rot="0" spcFirstLastPara="0" vert="horz" wrap="square" lIns="91440" tIns="45720" rIns="91440" bIns="45720" numCol="1" spcCol="0" rtlCol="0" fromWordArt="0" anchor="ctr" anchorCtr="0" forceAA="0" compatLnSpc="1">
                          <a:noAutofit/>
                        </wps:bodyPr>
                      </wps:wsp>
                      <wps:wsp>
                        <wps:cNvPr id="21" name="直接箭头连接符 31"/>
                        <wps:cNvCnPr/>
                        <wps:spPr>
                          <a:xfrm flipV="1">
                            <a:off x="2280064" y="359952"/>
                            <a:ext cx="678763" cy="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连接符: 肘形 32"/>
                        <wps:cNvCnPr/>
                        <wps:spPr>
                          <a:xfrm rot="5400000">
                            <a:off x="2886515" y="222430"/>
                            <a:ext cx="225626" cy="856894"/>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 name="连接符: 肘形 33"/>
                        <wps:cNvCnPr/>
                        <wps:spPr>
                          <a:xfrm>
                            <a:off x="3491346" y="2480982"/>
                            <a:ext cx="104661" cy="408487"/>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 name="连接符: 肘形 34"/>
                        <wps:cNvCnPr/>
                        <wps:spPr>
                          <a:xfrm rot="10800000" flipV="1">
                            <a:off x="1604911" y="2480982"/>
                            <a:ext cx="128886" cy="388016"/>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 name="连接符: 肘形 35"/>
                        <wps:cNvCnPr/>
                        <wps:spPr>
                          <a:xfrm rot="10800000" flipV="1">
                            <a:off x="1604912" y="941802"/>
                            <a:ext cx="497021" cy="229743"/>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 name="直接箭头连接符 36"/>
                        <wps:cNvCnPr/>
                        <wps:spPr>
                          <a:xfrm>
                            <a:off x="2073859" y="1349659"/>
                            <a:ext cx="1096744" cy="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 name="直接箭头连接符 28"/>
                        <wps:cNvCnPr/>
                        <wps:spPr>
                          <a:xfrm flipH="1">
                            <a:off x="3639424" y="1527824"/>
                            <a:ext cx="127" cy="1822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 name="直接连接符 29"/>
                        <wps:cNvCnPr/>
                        <wps:spPr>
                          <a:xfrm>
                            <a:off x="2073859" y="3047111"/>
                            <a:ext cx="1053200" cy="2047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 name="直接箭头连接符 30"/>
                        <wps:cNvCnPr/>
                        <wps:spPr>
                          <a:xfrm flipH="1">
                            <a:off x="2602329" y="3067492"/>
                            <a:ext cx="10229" cy="3267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 name="直接箭头连接符 31"/>
                        <wps:cNvCnPr/>
                        <wps:spPr>
                          <a:xfrm>
                            <a:off x="2602329" y="3750456"/>
                            <a:ext cx="0" cy="19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 name="直接箭头连接符 32"/>
                        <wps:cNvCnPr/>
                        <wps:spPr>
                          <a:xfrm flipH="1">
                            <a:off x="2610538" y="4904285"/>
                            <a:ext cx="3484" cy="2869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 name="直接箭头连接符 33"/>
                        <wps:cNvCnPr/>
                        <wps:spPr>
                          <a:xfrm>
                            <a:off x="2602329" y="4302285"/>
                            <a:ext cx="11693" cy="2456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 name="直接箭头连接符 34"/>
                        <wps:cNvCnPr/>
                        <wps:spPr>
                          <a:xfrm flipH="1">
                            <a:off x="2609194" y="5547517"/>
                            <a:ext cx="1344" cy="3677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 name="直接箭头连接符 35"/>
                        <wps:cNvCnPr/>
                        <wps:spPr>
                          <a:xfrm>
                            <a:off x="1515848" y="6271299"/>
                            <a:ext cx="0" cy="4280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 name="直接箭头连接符 36"/>
                        <wps:cNvCnPr/>
                        <wps:spPr>
                          <a:xfrm>
                            <a:off x="4011433" y="6271297"/>
                            <a:ext cx="0" cy="4279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 name="直接箭头连接符 37"/>
                        <wps:cNvCnPr/>
                        <wps:spPr>
                          <a:xfrm>
                            <a:off x="1515848" y="7055583"/>
                            <a:ext cx="0" cy="1408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 name="直接箭头连接符 38"/>
                        <wps:cNvCnPr/>
                        <wps:spPr>
                          <a:xfrm>
                            <a:off x="4055424" y="7055580"/>
                            <a:ext cx="9530" cy="1052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 name="直接连接符 39"/>
                        <wps:cNvCnPr/>
                        <wps:spPr>
                          <a:xfrm>
                            <a:off x="1515848" y="7196238"/>
                            <a:ext cx="254910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 name="直接箭头连接符 40"/>
                        <wps:cNvCnPr/>
                        <wps:spPr>
                          <a:xfrm>
                            <a:off x="2802577" y="7208322"/>
                            <a:ext cx="0" cy="1781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1" name="连接符: 肘形 41"/>
                        <wps:cNvCnPr/>
                        <wps:spPr>
                          <a:xfrm rot="10800000" flipV="1">
                            <a:off x="2612573" y="1907627"/>
                            <a:ext cx="558031" cy="360547"/>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607.8pt;width:415.8pt;" coordsize="5280660,7719060" editas="canvas" o:gfxdata="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">
                <o:lock v:ext="edit" aspectratio="f"/>
                <v:shape id="_x0000_s1026" o:spid="_x0000_s1026" style="position:absolute;left:0;top:0;height:7719060;width:5280660;" fillcolor="#FFFFFF" filled="t" stroked="t" coordsize="21600,21600" o:gfxdata="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">
                  <v:fill on="t" focussize="0,0"/>
                  <v:stroke color="#0000FF" joinstyle="round"/>
                  <v:imagedata o:title=""/>
                  <o:lock v:ext="edit" aspectratio="t"/>
                </v:shape>
                <v:roundrect id="矩形: 圆角 2" o:spid="_x0000_s1026" o:spt="2" style="position:absolute;left:3194099;top:1710048;height:356259;width:890649;v-text-anchor:middle;" filled="f" stroked="t" coordsize="21600,21600" arcsize="0.166666666666667" o:gfxdata="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Mwm4NvVAAAABgEAAA8AAAAAAAAAAQAg&#10;AAAAIgAAAGRycy9kb3ducmV2LnhtbFBLAQIUABQAAAAIAIdO4kCEi0mKgwIAAMEEAAAOAAAAAAAA&#10;AAEAIAAAACQBAABkcnMvZTJvRG9jLnhtbFBLBQYAAAAABgAGAFkBAAAZBgAAAAA=&#10;">
                  <v:fill on="f" focussize="0,0"/>
                  <v:stroke weight="1pt" color="#41719C [3204]" miterlimit="8" joinstyle="miter"/>
                  <v:imagedata o:title=""/>
                  <o:lock v:ext="edit" aspectratio="f"/>
                  <v:textbox>
                    <w:txbxContent>
                      <w:p>
                        <w:pPr>
                          <w:spacing w:before="0" w:after="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发货检查</w:t>
                        </w:r>
                      </w:p>
                    </w:txbxContent>
                  </v:textbox>
                </v:roundrect>
                <v:roundrect id="矩形: 圆角 3" o:spid="_x0000_s1026" o:spt="2" style="position:absolute;left:1733798;top:2268175;height:425758;width:1757548;v-text-anchor:middle;" filled="f" stroked="t" coordsize="21600,21600" arcsize="0.5" o:gfxdata="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fykGI1AAAAAYBAAAPAAAAAAAAAAEAIAAA&#10;ACIAAABkcnMvZG93bnJldi54bWxQSwECFAAUAAAACACHTuJAaHSdTYICAAC+BAAADgAAAAAAAAAB&#10;ACAAAAAjAQAAZHJzL2Uyb0RvYy54bWxQSwUGAAAAAAYABgBZAQAAFwYAAAAA&#10;">
                  <v:fill on="f" focussize="0,0"/>
                  <v:stroke weight="1pt" color="#41719C [3204]" miterlimit="8" joinstyle="miter"/>
                  <v:imagedata o:title=""/>
                  <o:lock v:ext="edit" aspectratio="f"/>
                  <v:textbox>
                    <w:txbxContent>
                      <w:p>
                        <w:pPr>
                          <w:spacing w:before="0" w:after="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运到发货准备区</w:t>
                        </w:r>
                      </w:p>
                    </w:txbxContent>
                  </v:textbox>
                </v:roundrect>
                <v:roundrect id="矩形: 圆角 4" o:spid="_x0000_s1026" o:spt="2" style="position:absolute;left:3170603;top:1171589;height:356235;width:937895;v-text-anchor:middle;" filled="f" stroked="t" coordsize="21600,21600" arcsize="0.166666666666667" o:gfxdata="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zCbg29UAAAAGAQAADwAAAAAAAAABACAAAAAiAAAAZHJzL2Rvd25y&#10;ZXYueG1sUEsBAhQAFAAAAAgAh07iQNMjj2ZzAgAAkQQAAA4AAAAAAAAAAQAgAAAAJAEAAGRycy9l&#10;Mm9Eb2MueG1sUEsFBgAAAAAGAAYAWQEAAAkGAAAAAA==&#10;">
                  <v:fill on="f" focussize="0,0"/>
                  <v:stroke weight="1pt" color="#41719C [3204]" miterlimit="8" joinstyle="miter"/>
                  <v:imagedata o:title=""/>
                  <o:lock v:ext="edit" aspectratio="f"/>
                  <v:textbox>
                    <w:txbxContent>
                      <w:p>
                        <w:pPr>
                          <w:spacing w:before="0" w:after="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分货</w:t>
                        </w:r>
                      </w:p>
                    </w:txbxContent>
                  </v:textbox>
                </v:roundrect>
                <v:roundrect id="矩形: 圆角 5" o:spid="_x0000_s1026" o:spt="2" style="position:absolute;left:1135964;top:1171580;height:356235;width:937895;v-text-anchor:middle;" filled="f" stroked="t" coordsize="21600,21600" arcsize="0.166666666666667" o:gfxdata="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zCbg29UAAAAGAQAADwAAAAAAAAABACAAAAAiAAAAZHJzL2Rvd25yZXYu&#10;eG1sUEsBAhQAFAAAAAgAh07iQCb+Wq9wAgAAkQQAAA4AAAAAAAAAAQAgAAAAJAEAAGRycy9lMm9E&#10;b2MueG1sUEsFBgAAAAAGAAYAWQEAAAYGAAAAAA==&#10;">
                  <v:fill on="f" focussize="0,0"/>
                  <v:stroke weight="1pt" color="#41719C [3204]" miterlimit="8" joinstyle="miter"/>
                  <v:imagedata o:title=""/>
                  <o:lock v:ext="edit" aspectratio="f"/>
                  <v:textbox>
                    <w:txbxContent>
                      <w:p>
                        <w:pPr>
                          <w:spacing w:before="0" w:after="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贴标签</w:t>
                        </w:r>
                      </w:p>
                    </w:txbxContent>
                  </v:textbox>
                </v:roundrect>
                <v:roundrect id="矩形: 圆角 6" o:spid="_x0000_s1026" o:spt="2" style="position:absolute;left:1729730;top:5191282;height:356235;width:1761616;v-text-anchor:middle;" filled="f" stroked="t" coordsize="21600,21600" arcsize="0.166666666666667" o:gfxdata="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MJuDb1QAAAAYBAAAPAAAAAAAAAAEAIAAAACIAAABkcnMvZG93bnJl&#10;di54bWxQSwECFAAUAAAACACHTuJAhH395nICAACSBAAADgAAAAAAAAABACAAAAAkAQAAZHJzL2Uy&#10;b0RvYy54bWxQSwUGAAAAAAYABgBZAQAACAYAAAAA&#10;">
                  <v:fill on="f" focussize="0,0"/>
                  <v:stroke weight="1pt" color="#41719C [3204]" miterlimit="8" joinstyle="miter"/>
                  <v:imagedata o:title=""/>
                  <o:lock v:ext="edit" aspectratio="f"/>
                  <v:textbox>
                    <w:txbxContent>
                      <w:p>
                        <w:pPr>
                          <w:spacing w:before="0" w:after="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到货后采购方验货</w:t>
                        </w:r>
                      </w:p>
                    </w:txbxContent>
                  </v:textbox>
                </v:roundrect>
                <v:roundrect id="矩形: 圆角 7" o:spid="_x0000_s1026" o:spt="2" style="position:absolute;left:1945640;top:4547870;height:356235;width:1327785;v-text-anchor:middle;" filled="f" stroked="t" coordsize="21600,21600" arcsize="0.166666666666667" o:gfxdata="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zCbg29UAAAAGAQAADwAAAAAAAAABACAAAAAiAAAAZHJzL2Rvd25y&#10;ZXYueG1sUEsBAhQAFAAAAAgAh07iQP8QAyBzAgAAkgQAAA4AAAAAAAAAAQAgAAAAJAEAAGRycy9l&#10;Mm9Eb2MueG1sUEsFBgAAAAAGAAYAWQEAAAkGAAAAAA==&#10;">
                  <v:fill on="f" focussize="0,0"/>
                  <v:stroke weight="1pt" color="#41719C [3204]" miterlimit="8" joinstyle="miter"/>
                  <v:imagedata o:title=""/>
                  <o:lock v:ext="edit" aspectratio="f"/>
                  <v:textbox>
                    <w:txbxContent>
                      <w:p>
                        <w:pPr>
                          <w:spacing w:before="0" w:after="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发货信息记录</w:t>
                        </w:r>
                      </w:p>
                    </w:txbxContent>
                  </v:textbox>
                </v:roundrect>
                <v:roundrect id="矩形: 圆角 8" o:spid="_x0000_s1026" o:spt="2" style="position:absolute;left:2133381;top:3394221;height:356235;width:937895;v-text-anchor:middle;" filled="f" stroked="t" coordsize="21600,21600" arcsize="0.166666666666667" o:gfxdata="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MJuDb1QAAAAYBAAAPAAAAAAAAAAEAIAAAACIAAABkcnMvZG93bnJl&#10;di54bWxQSwECFAAUAAAACACHTuJApJvRaXICAACRBAAADgAAAAAAAAABACAAAAAkAQAAZHJzL2Uy&#10;b0RvYy54bWxQSwUGAAAAAAYABgBZAQAACAYAAAAA&#10;">
                  <v:fill on="f" focussize="0,0"/>
                  <v:stroke weight="1pt" color="#41719C [3204]" miterlimit="8" joinstyle="miter"/>
                  <v:imagedata o:title=""/>
                  <o:lock v:ext="edit" aspectratio="f"/>
                  <v:textbox>
                    <w:txbxContent>
                      <w:p>
                        <w:pPr>
                          <w:spacing w:before="0" w:after="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装车</w:t>
                        </w:r>
                      </w:p>
                    </w:txbxContent>
                  </v:textbox>
                </v:roundrect>
                <v:roundrect id="矩形: 圆角 21" o:spid="_x0000_s1026" o:spt="2" style="position:absolute;left:2133381;top:3946175;height:356235;width:937895;v-text-anchor:middle;" filled="f" stroked="t" coordsize="21600,21600" arcsize="0.166666666666667" o:gfxdata="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zCbg29UAAAAGAQAADwAAAAAAAAABACAAAAAiAAAAZHJzL2Rvd25y&#10;ZXYueG1sUEsBAhQAFAAAAAgAh07iQM8N+nRzAgAAkgQAAA4AAAAAAAAAAQAgAAAAJAEAAGRycy9l&#10;Mm9Eb2MueG1sUEsFBgAAAAAGAAYAWQEAAAkGAAAAAA==&#10;">
                  <v:fill on="f" focussize="0,0"/>
                  <v:stroke weight="1pt" color="#41719C [3204]" miterlimit="8" joinstyle="miter"/>
                  <v:imagedata o:title=""/>
                  <o:lock v:ext="edit" aspectratio="f"/>
                  <v:textbox>
                    <w:txbxContent>
                      <w:p>
                        <w:pPr>
                          <w:spacing w:before="0" w:after="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发货</w:t>
                        </w:r>
                      </w:p>
                    </w:txbxContent>
                  </v:textbox>
                </v:roundrect>
                <v:roundrect id="矩形: 圆角 22" o:spid="_x0000_s1026" o:spt="2" style="position:absolute;left:1135964;top:2869082;height:356235;width:937895;v-text-anchor:middle;" filled="f" stroked="t" coordsize="21600,21600" arcsize="0.166666666666667" o:gfxdata="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zCbg29UAAAAGAQAADwAAAAAAAAABACAAAAAiAAAAZHJzL2Rvd25y&#10;ZXYueG1sUEsBAhQAFAAAAAgAh07iQHrQX2JzAgAAkwQAAA4AAAAAAAAAAQAgAAAAJAEAAGRycy9l&#10;Mm9Eb2MueG1sUEsFBgAAAAAGAAYAWQEAAAkGAAAAAA==&#10;">
                  <v:fill on="f" focussize="0,0"/>
                  <v:stroke weight="1pt" color="#41719C [3204]" miterlimit="8" joinstyle="miter"/>
                  <v:imagedata o:title=""/>
                  <o:lock v:ext="edit" aspectratio="f"/>
                  <v:textbox>
                    <w:txbxContent>
                      <w:p>
                        <w:pPr>
                          <w:spacing w:before="0" w:after="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堆放</w:t>
                        </w:r>
                      </w:p>
                    </w:txbxContent>
                  </v:textbox>
                </v:roundrect>
                <v:roundrect id="矩形: 圆角 23" o:spid="_x0000_s1026" o:spt="2" style="position:absolute;left:3127059;top:2889553;height:356235;width:937895;v-text-anchor:middle;" filled="f" stroked="t" coordsize="21600,21600" arcsize="0.166666666666667" o:gfxdata="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wm4NvVAAAABgEAAA8AAAAAAAAAAQAgAAAAIgAAAGRycy9kb3du&#10;cmV2LnhtbFBLAQIUABQAAAAIAIdO4kCZAbdudAIAAJMEAAAOAAAAAAAAAAEAIAAAACQBAABkcnMv&#10;ZTJvRG9jLnhtbFBLBQYAAAAABgAGAFkBAAAKBgAAAAA=&#10;">
                  <v:fill on="f" focussize="0,0"/>
                  <v:stroke weight="1pt" color="#41719C [3204]" miterlimit="8" joinstyle="miter"/>
                  <v:imagedata o:title=""/>
                  <o:lock v:ext="edit" aspectratio="f"/>
                  <v:textbox>
                    <w:txbxContent>
                      <w:p>
                        <w:pPr>
                          <w:spacing w:before="0" w:after="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发票处理</w:t>
                        </w:r>
                      </w:p>
                    </w:txbxContent>
                  </v:textbox>
                </v:roundrect>
                <v:roundrect id="矩形: 圆角 24" o:spid="_x0000_s1026" o:spt="2" style="position:absolute;left:690245;top:5915025;height:356235;width:4011295;v-text-anchor:middle;" filled="f" stroked="t" coordsize="21600,21600" arcsize="0.166666666666667" o:gfxdata="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wm4NvVAAAABgEAAA8AAAAAAAAAAQAgAAAAIgAAAGRycy9kb3du&#10;cmV2LnhtbFBLAQIUABQAAAAIAIdO4kDWgRhndAIAAJMEAAAOAAAAAAAAAAEAIAAAACQBAABkcnMv&#10;ZTJvRG9jLnhtbFBLBQYAAAAABgAGAFkBAAAKBgAAAAA=&#10;">
                  <v:fill on="f" focussize="0,0"/>
                  <v:stroke weight="1pt" color="#41719C [3204]" miterlimit="8" joinstyle="miter"/>
                  <v:imagedata o:title=""/>
                  <o:lock v:ext="edit" aspectratio="f"/>
                  <v:textbox>
                    <w:txbxContent>
                      <w:p>
                        <w:pPr>
                          <w:spacing w:before="0" w:after="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根据要求和技术标准，进行肥料使用进行培训等</w:t>
                        </w:r>
                      </w:p>
                    </w:txbxContent>
                  </v:textbox>
                </v:roundrect>
                <v:roundrect id="矩形: 圆角 25" o:spid="_x0000_s1026" o:spt="2" style="position:absolute;left:900430;top:6699250;height:356235;width:1127760;v-text-anchor:middle;" filled="f" stroked="t" coordsize="21600,21600" arcsize="0.166666666666667" o:gfxdata="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zCbg29UAAAAGAQAADwAAAAAAAAABACAAAAAiAAAAZHJzL2Rvd25y&#10;ZXYueG1sUEsBAhQAFAAAAAgAh07iQBYXf1RzAgAAkwQAAA4AAAAAAAAAAQAgAAAAJAEAAGRycy9l&#10;Mm9Eb2MueG1sUEsFBgAAAAAGAAYAWQEAAAkGAAAAAA==&#10;">
                  <v:fill on="f" focussize="0,0"/>
                  <v:stroke weight="1pt" color="#41719C [3204]" miterlimit="8" joinstyle="miter"/>
                  <v:imagedata o:title=""/>
                  <o:lock v:ext="edit" aspectratio="f"/>
                  <v:textbox>
                    <w:txbxContent>
                      <w:p>
                        <w:pPr>
                          <w:spacing w:before="0" w:after="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整体验收</w:t>
                        </w:r>
                      </w:p>
                    </w:txbxContent>
                  </v:textbox>
                </v:roundrect>
                <v:roundrect id="矩形: 圆角 26" o:spid="_x0000_s1026" o:spt="2" style="position:absolute;left:3495040;top:6653530;height:401955;width:1026160;v-text-anchor:middle;" filled="f" stroked="t" coordsize="21600,21600" arcsize="0.166666666666667" o:gfxdata="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wm4NvVAAAABgEAAA8AAAAAAAAAAQAgAAAAIgAAAGRycy9kb3du&#10;cmV2LnhtbFBLAQIUABQAAAAIAIdO4kC7BLoidAIAAJQEAAAOAAAAAAAAAAEAIAAAACQBAABkcnMv&#10;ZTJvRG9jLnhtbFBLBQYAAAAABgAGAFkBAAAKBgAAAAA=&#10;">
                  <v:fill on="f" focussize="0,0"/>
                  <v:stroke weight="1pt" color="#41719C [3204]" miterlimit="8" joinstyle="miter"/>
                  <v:imagedata o:title=""/>
                  <o:lock v:ext="edit" aspectratio="f"/>
                  <v:textbox>
                    <w:txbxContent>
                      <w:p>
                        <w:pPr>
                          <w:spacing w:before="0" w:after="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技术培训</w:t>
                        </w:r>
                      </w:p>
                    </w:txbxContent>
                  </v:textbox>
                </v:roundrect>
                <v:roundrect id="矩形: 圆角 27" o:spid="_x0000_s1026" o:spt="2" style="position:absolute;left:2286635;top:7352665;height:356235;width:1075690;v-text-anchor:middle;" filled="f" stroked="t" coordsize="21600,21600" arcsize="0.166666666666667" o:gfxdata="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MJuDb1QAAAAYBAAAPAAAAAAAAAAEAIAAAACIAAABkcnMvZG93&#10;bnJldi54bWxQSwECFAAUAAAACACHTuJAhkvaSXUCAACUBAAADgAAAAAAAAABACAAAAAkAQAAZHJz&#10;L2Uyb0RvYy54bWxQSwUGAAAAAAYABgBZAQAACwYAAAAA&#10;">
                  <v:fill on="f" focussize="0,0"/>
                  <v:stroke weight="1pt" color="#41719C [3204]" miterlimit="8" joinstyle="miter"/>
                  <v:imagedata o:title=""/>
                  <o:lock v:ext="edit" aspectratio="f"/>
                  <v:textbox>
                    <w:txbxContent>
                      <w:p>
                        <w:pPr>
                          <w:spacing w:before="0" w:after="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交付使用</w:t>
                        </w:r>
                      </w:p>
                    </w:txbxContent>
                  </v:textbox>
                </v:roundrect>
                <v:roundrect id="矩形: 圆角 28" o:spid="_x0000_s1026" o:spt="2" style="position:absolute;left:916271;top:181855;height:356235;width:1363793;v-text-anchor:middle;" filled="f" stroked="t" coordsize="21600,21600" arcsize="0.166666666666667" o:gfxdata="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wm4NvVAAAABgEAAA8AAAAAAAAAAQAgAAAAIgAAAGRycy9kb3ducmV2&#10;LnhtbFBLAQIUABQAAAAIAIdO4kAKEptCcQIAAJIEAAAOAAAAAAAAAAEAIAAAACQBAABkcnMvZTJv&#10;RG9jLnhtbFBLBQYAAAAABgAGAFkBAAAHBgAAAAA=&#10;">
                  <v:fill on="f" focussize="0,0"/>
                  <v:stroke weight="1pt" color="#41719C [3204]" miterlimit="8" joinstyle="miter"/>
                  <v:imagedata o:title=""/>
                  <o:lock v:ext="edit" aspectratio="f"/>
                  <v:textbox>
                    <w:txbxContent>
                      <w:p>
                        <w:pPr>
                          <w:spacing w:before="0" w:after="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领取中标通知书</w:t>
                        </w:r>
                      </w:p>
                    </w:txbxContent>
                  </v:textbox>
                </v:roundrect>
                <v:roundrect id="矩形: 圆角 29" o:spid="_x0000_s1026" o:spt="2" style="position:absolute;left:2958827;top:181844;height:356235;width:937895;v-text-anchor:middle;" filled="f" stroked="t" coordsize="21600,21600" arcsize="0.166666666666667" o:gfxdata="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wm4NvVAAAABgEAAA8AAAAAAAAAAQAgAAAAIgAAAGRycy9kb3du&#10;cmV2LnhtbFBLAQIUABQAAAAIAIdO4kDnS1qIdAIAAJIEAAAOAAAAAAAAAAEAIAAAACQBAABkcnMv&#10;ZTJvRG9jLnhtbFBLBQYAAAAABgAGAFkBAAAKBgAAAAA=&#10;">
                  <v:fill on="f" focussize="0,0"/>
                  <v:stroke weight="1pt" color="#41719C [3204]" miterlimit="8" joinstyle="miter"/>
                  <v:imagedata o:title=""/>
                  <o:lock v:ext="edit" aspectratio="f"/>
                  <v:textbox>
                    <w:txbxContent>
                      <w:p>
                        <w:pPr>
                          <w:spacing w:before="0" w:after="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签订合同</w:t>
                        </w:r>
                      </w:p>
                    </w:txbxContent>
                  </v:textbox>
                </v:roundrect>
                <v:roundrect id="矩形: 圆角 30" o:spid="_x0000_s1026" o:spt="2" style="position:absolute;left:2101850;top:763905;height:356235;width:1032510;v-text-anchor:middle;" filled="f" stroked="t" coordsize="21600,21600" arcsize="0.2" o:gfxdata="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sj7O4dUAAAAGAQAADwAAAAAAAAAB&#10;ACAAAAAiAAAAZHJzL2Rvd25yZXYueG1sUEsBAhQAFAAAAAgAh07iQMHn5KOFAgAAvwQAAA4AAAAA&#10;AAAAAQAgAAAAJAEAAGRycy9lMm9Eb2MueG1sUEsFBgAAAAAGAAYAWQEAABsGAAAAAA==&#10;">
                  <v:fill on="f" focussize="0,0"/>
                  <v:stroke weight="1pt" color="#41719C [3204]" miterlimit="8" joinstyle="miter"/>
                  <v:imagedata o:title=""/>
                  <o:lock v:ext="edit" aspectratio="f"/>
                  <v:textbox>
                    <w:txbxContent>
                      <w:p>
                        <w:pPr>
                          <w:spacing w:before="0" w:after="0"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肥料备货</w:t>
                        </w:r>
                      </w:p>
                    </w:txbxContent>
                  </v:textbox>
                </v:roundrect>
                <v:shape id="直接箭头连接符 31" o:spid="_x0000_s1026" o:spt="32" type="#_x0000_t32" style="position:absolute;left:2280064;top:359952;flip:y;height:11;width:678763;" filled="f" stroked="t" coordsize="21600,21600" o:gfxdata="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Mo6rdUAAAAGAQAADwAAAAAAAAABACAAAAAiAAAAZHJzL2Rv&#10;d25yZXYueG1sUEsBAhQAFAAAAAgAh07iQJ4udAIEAgAAqgMAAA4AAAAAAAAAAQAgAAAAJAEAAGRy&#10;cy9lMm9Eb2MueG1sUEsFBgAAAAAGAAYAWQEAAJoFAAAAAA==&#10;">
                  <v:fill on="f" focussize="0,0"/>
                  <v:stroke weight="0.5pt" color="#5B9BD5 [3204]" miterlimit="8" joinstyle="miter" endarrow="block"/>
                  <v:imagedata o:title=""/>
                  <o:lock v:ext="edit" aspectratio="f"/>
                </v:shape>
                <v:shape id="连接符: 肘形 32" o:spid="_x0000_s1026" o:spt="34" type="#_x0000_t34" style="position:absolute;left:2886515;top:222430;height:856894;width:225626;rotation:5898240f;" filled="f" stroked="t" coordsize="21600,21600" o:gfxdata="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IiwhTXAAAABgEAAA8AAAAAAAAAAQAgAAAAIgAAAGRycy9k&#10;b3ducmV2LnhtbFBLAQIUABQAAAAIAIdO4kD/jdAGAwIAAKoDAAAOAAAAAAAAAAEAIAAAACYBAABk&#10;cnMvZTJvRG9jLnhtbFBLBQYAAAAABgAGAFkBAACbBQAAAAA=&#10;" adj="10800">
                  <v:fill on="f" focussize="0,0"/>
                  <v:stroke weight="0.5pt" color="#5B9BD5 [3204]" miterlimit="8" joinstyle="miter" endarrow="block"/>
                  <v:imagedata o:title=""/>
                  <o:lock v:ext="edit" aspectratio="f"/>
                </v:shape>
                <v:shape id="连接符: 肘形 33" o:spid="_x0000_s1026" o:spt="33" type="#_x0000_t33" style="position:absolute;left:3491346;top:2480982;height:408487;width:104661;" filled="f" stroked="t" coordsize="21600,21600" o:gfxdata="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YojFx1wAAAAYBAAAPAAAAAAAAAAEAIAAAACIAAABkcnMvZG93bnJl&#10;di54bWxQSwECFAAUAAAACACHTuJA/7fCm/4BAACdAwAADgAAAAAAAAABACAAAAAmAQAAZHJzL2Uy&#10;b0RvYy54bWxQSwUGAAAAAAYABgBZAQAAlgUAAAAA&#10;">
                  <v:fill on="f" focussize="0,0"/>
                  <v:stroke weight="0.5pt" color="#5B9BD5 [3204]" miterlimit="8" joinstyle="miter" endarrow="block"/>
                  <v:imagedata o:title=""/>
                  <o:lock v:ext="edit" aspectratio="f"/>
                </v:shape>
                <v:shape id="连接符: 肘形 34" o:spid="_x0000_s1026" o:spt="33" type="#_x0000_t33" style="position:absolute;left:1604911;top:2480982;flip:y;height:388016;width:128886;rotation:11796480f;" filled="f" stroked="t" coordsize="21600,21600" o:gfxdata="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1TaZ1AAAAAYBAAAPAAAAAAAAAAEAIAAAACIAAABk&#10;cnMvZG93bnJldi54bWxQSwECFAAUAAAACACHTuJARkJO+AoCAAC2AwAADgAAAAAAAAABACAAAAAj&#10;AQAAZHJzL2Uyb0RvYy54bWxQSwUGAAAAAAYABgBZAQAAnwUAAAAA&#10;">
                  <v:fill on="f" focussize="0,0"/>
                  <v:stroke weight="0.5pt" color="#5B9BD5 [3204]" miterlimit="8" joinstyle="miter" endarrow="block"/>
                  <v:imagedata o:title=""/>
                  <o:lock v:ext="edit" aspectratio="f"/>
                </v:shape>
                <v:shape id="连接符: 肘形 35" o:spid="_x0000_s1026" o:spt="33" type="#_x0000_t33" style="position:absolute;left:1604912;top:941802;flip:y;height:229743;width:497021;rotation:11796480f;" filled="f" stroked="t" coordsize="21600,21600" o:gfxdata="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9U2mdQAAAAGAQAADwAAAAAAAAABACAAAAAiAAAA&#10;ZHJzL2Rvd25yZXYueG1sUEsBAhQAFAAAAAgAh07iQOPbOBkLAgAAtQMAAA4AAAAAAAAAAQAgAAAA&#10;IwEAAGRycy9lMm9Eb2MueG1sUEsFBgAAAAAGAAYAWQEAAKAFAAAAAA==&#10;">
                  <v:fill on="f" focussize="0,0"/>
                  <v:stroke weight="0.5pt" color="#5B9BD5 [3204]" miterlimit="8" joinstyle="miter" endarrow="block"/>
                  <v:imagedata o:title=""/>
                  <o:lock v:ext="edit" aspectratio="f"/>
                </v:shape>
                <v:shape id="直接箭头连接符 36" o:spid="_x0000_s1026" o:spt="32" type="#_x0000_t32" style="position:absolute;left:2073859;top:1349659;height:9;width:1096744;" filled="f" stroked="t" coordsize="21600,21600" o:gfxdata="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5+Z21gAAAAYBAAAPAAAAAAAAAAEAIAAAACIAAABkcnMvZG93bnJl&#10;di54bWxQSwECFAAUAAAACACHTuJAELakB/8BAAChAwAADgAAAAAAAAABACAAAAAlAQAAZHJzL2Uy&#10;b0RvYy54bWxQSwUGAAAAAAYABgBZAQAAlgUAAAAA&#10;">
                  <v:fill on="f" focussize="0,0"/>
                  <v:stroke weight="0.5pt" color="#5B9BD5 [3204]" miterlimit="8" joinstyle="miter" endarrow="block"/>
                  <v:imagedata o:title=""/>
                  <o:lock v:ext="edit" aspectratio="f"/>
                </v:shape>
                <v:shape id="_x0000_s1026" o:spid="_x0000_s1026" o:spt="32" type="#_x0000_t32" style="position:absolute;left:3639424;top:1527824;flip:x;height:182224;width:127;" filled="f" stroked="t" coordsize="21600,21600" o:gfxdata="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TKOq3VAAAABgEAAA8AAAAAAAAAAQAgAAAAIgAAAGRycy9k&#10;b3ducmV2LnhtbFBLAQIUABQAAAAIAIdO4kBo7OfzBQIAAKwDAAAOAAAAAAAAAAEAIAAAACQBAABk&#10;cnMvZTJvRG9jLnhtbFBLBQYAAAAABgAGAFkBAACbBQAAAAA=&#10;">
                  <v:fill on="f" focussize="0,0"/>
                  <v:stroke weight="0.5pt" color="#5B9BD5 [3204]" miterlimit="8" joinstyle="miter" endarrow="block"/>
                  <v:imagedata o:title=""/>
                  <o:lock v:ext="edit" aspectratio="f"/>
                </v:shape>
                <v:line id="_x0000_s1026" o:spid="_x0000_s1026" o:spt="20" style="position:absolute;left:2073859;top:3047111;height:20471;width:1053200;" filled="f" stroked="t" coordsize="21600,21600" o:gfxdata="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6CbY7WAAAABgEAAA8AAAAA&#10;AAAAAQAgAAAAIgAAAGRycy9kb3ducmV2LnhtbFBLAQIUABQAAAAIAIdO4kAIXWGj3QEAAHUDAAAO&#10;AAAAAAAAAAEAIAAAACUBAABkcnMvZTJvRG9jLnhtbFBLBQYAAAAABgAGAFkBAAB0BQAAAAA=&#10;">
                  <v:fill on="f" focussize="0,0"/>
                  <v:stroke weight="0.5pt" color="#5B9BD5 [3204]" miterlimit="8" joinstyle="miter"/>
                  <v:imagedata o:title=""/>
                  <o:lock v:ext="edit" aspectratio="f"/>
                </v:line>
                <v:shape id="_x0000_s1026" o:spid="_x0000_s1026" o:spt="32" type="#_x0000_t32" style="position:absolute;left:2602329;top:3067492;flip:x;height:326729;width:10229;" filled="f" stroked="t" coordsize="21600,21600" o:gfxdata="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Mo6rdUAAAAGAQAADwAAAAAAAAABACAAAAAiAAAAZHJzL2Rv&#10;d25yZXYueG1sUEsBAhQAFAAAAAgAh07iQHd3hA0EAgAArgMAAA4AAAAAAAAAAQAgAAAAJAEAAGRy&#10;cy9lMm9Eb2MueG1sUEsFBgAAAAAGAAYAWQEAAJoFAAAAAA==&#10;">
                  <v:fill on="f" focussize="0,0"/>
                  <v:stroke weight="0.5pt" color="#5B9BD5 [3204]" miterlimit="8" joinstyle="miter" endarrow="block"/>
                  <v:imagedata o:title=""/>
                  <o:lock v:ext="edit" aspectratio="f"/>
                </v:shape>
                <v:shape id="_x0000_s1026" o:spid="_x0000_s1026" o:spt="32" type="#_x0000_t32" style="position:absolute;left:2602329;top:3750456;height:195719;width:0;" filled="f" stroked="t" coordsize="21600,21600" o:gfxdata="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fmdtYAAAAGAQAADwAAAAAAAAABACAAAAAiAAAAZHJzL2Rvd25yZXYu&#10;eG1sUEsBAhQAFAAAAAgAh07iQAqylW39AQAAoAMAAA4AAAAAAAAAAQAgAAAAJQEAAGRycy9lMm9E&#10;b2MueG1sUEsFBgAAAAAGAAYAWQEAAJQFAAAAAA==&#10;">
                  <v:fill on="f" focussize="0,0"/>
                  <v:stroke weight="0.5pt" color="#5B9BD5 [3204]" miterlimit="8" joinstyle="miter" endarrow="block"/>
                  <v:imagedata o:title=""/>
                  <o:lock v:ext="edit" aspectratio="f"/>
                </v:shape>
                <v:shape id="_x0000_s1026" o:spid="_x0000_s1026" o:spt="32" type="#_x0000_t32" style="position:absolute;left:2610538;top:4904285;flip:x;height:286997;width:3484;" filled="f" stroked="t" coordsize="21600,21600" o:gfxdata="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&#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TKOq3VAAAABgEAAA8AAAAAAAAAAQAgAAAAIgAAAGRy&#10;cy9kb3ducmV2LnhtbFBLAQIUABQAAAAIAIdO4kC5CdugCAIAAK0DAAAOAAAAAAAAAAEAIAAAACQB&#10;AABkcnMvZTJvRG9jLnhtbFBLBQYAAAAABgAGAFkBAACeBQAAAAA=&#10;">
                  <v:fill on="f" focussize="0,0"/>
                  <v:stroke weight="0.5pt" color="#5B9BD5 [3204]" miterlimit="8" joinstyle="miter" endarrow="block"/>
                  <v:imagedata o:title=""/>
                  <o:lock v:ext="edit" aspectratio="f"/>
                </v:shape>
                <v:shape id="_x0000_s1026" o:spid="_x0000_s1026" o:spt="32" type="#_x0000_t32" style="position:absolute;left:2602329;top:4302285;height:245633;width:11693;" filled="f" stroked="t" coordsize="21600,21600" o:gfxdata="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j5+Z21gAAAAYBAAAPAAAAAAAAAAEAIAAAACIAAABkcnMvZG93&#10;bnJldi54bWxQSwECFAAUAAAACACHTuJAgpCxZgICAACkAwAADgAAAAAAAAABACAAAAAlAQAAZHJz&#10;L2Uyb0RvYy54bWxQSwUGAAAAAAYABgBZAQAAmQUAAAAA&#10;">
                  <v:fill on="f" focussize="0,0"/>
                  <v:stroke weight="0.5pt" color="#5B9BD5 [3204]" miterlimit="8" joinstyle="miter" endarrow="block"/>
                  <v:imagedata o:title=""/>
                  <o:lock v:ext="edit" aspectratio="f"/>
                </v:shape>
                <v:shape id="_x0000_s1026" o:spid="_x0000_s1026" o:spt="32" type="#_x0000_t32" style="position:absolute;left:2609194;top:5547517;flip:x;height:367730;width:1344;" filled="f" stroked="t" coordsize="21600,21600" o:gfxdata="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Eyjqt1QAAAAYBAAAPAAAAAAAAAAEAIAAAACIAAABk&#10;cnMvZG93bnJldi54bWxQSwECFAAUAAAACACHTuJAGLpxsQkCAACtAwAADgAAAAAAAAABACAAAAAk&#10;AQAAZHJzL2Uyb0RvYy54bWxQSwUGAAAAAAYABgBZAQAAnwUAAAAA&#10;">
                  <v:fill on="f" focussize="0,0"/>
                  <v:stroke weight="0.5pt" color="#5B9BD5 [3204]" miterlimit="8" joinstyle="miter" endarrow="block"/>
                  <v:imagedata o:title=""/>
                  <o:lock v:ext="edit" aspectratio="f"/>
                </v:shape>
                <v:shape id="_x0000_s1026" o:spid="_x0000_s1026" o:spt="32" type="#_x0000_t32" style="position:absolute;left:1515848;top:6271299;height:428059;width:0;" filled="f" stroked="t" coordsize="21600,21600" o:gfxdata="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Pn5nbWAAAABgEAAA8AAAAAAAAAAQAgAAAAIgAAAGRycy9kb3ducmV2&#10;LnhtbFBLAQIUABQAAAAIAIdO4kB9YLOt/gEAAKADAAAOAAAAAAAAAAEAIAAAACUBAABkcnMvZTJv&#10;RG9jLnhtbFBLBQYAAAAABgAGAFkBAACVBQAAAAA=&#10;">
                  <v:fill on="f" focussize="0,0"/>
                  <v:stroke weight="0.5pt" color="#5B9BD5 [3204]" miterlimit="8" joinstyle="miter" endarrow="block"/>
                  <v:imagedata o:title=""/>
                  <o:lock v:ext="edit" aspectratio="f"/>
                </v:shape>
                <v:shape id="_x0000_s1026" o:spid="_x0000_s1026" o:spt="32" type="#_x0000_t32" style="position:absolute;left:4011433;top:6271297;height:427990;width:0;" filled="f" stroked="t" coordsize="21600,21600" o:gfxdata="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5+Z21gAAAAYBAAAPAAAAAAAAAAEAIAAAACIAAABkcnMvZG93bnJl&#10;di54bWxQSwECFAAUAAAACACHTuJAKMBq1/8BAACgAwAADgAAAAAAAAABACAAAAAlAQAAZHJzL2Uy&#10;b0RvYy54bWxQSwUGAAAAAAYABgBZAQAAlgUAAAAA&#10;">
                  <v:fill on="f" focussize="0,0"/>
                  <v:stroke weight="0.5pt" color="#5B9BD5 [3204]" miterlimit="8" joinstyle="miter" endarrow="block"/>
                  <v:imagedata o:title=""/>
                  <o:lock v:ext="edit" aspectratio="f"/>
                </v:shape>
                <v:shape id="_x0000_s1026" o:spid="_x0000_s1026" o:spt="32" type="#_x0000_t32" style="position:absolute;left:1515848;top:7055583;height:140864;width:0;" filled="f" stroked="t" coordsize="21600,21600" o:gfxdata="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fmdtYAAAAGAQAADwAAAAAAAAABACAAAAAiAAAAZHJzL2Rvd25yZXYu&#10;eG1sUEsBAhQAFAAAAAgAh07iQF/6ziH9AQAAoAMAAA4AAAAAAAAAAQAgAAAAJQEAAGRycy9lMm9E&#10;b2MueG1sUEsFBgAAAAAGAAYAWQEAAJQFAAAAAA==&#10;">
                  <v:fill on="f" focussize="0,0"/>
                  <v:stroke weight="0.5pt" color="#5B9BD5 [3204]" miterlimit="8" joinstyle="miter" endarrow="block"/>
                  <v:imagedata o:title=""/>
                  <o:lock v:ext="edit" aspectratio="f"/>
                </v:shape>
                <v:shape id="_x0000_s1026" o:spid="_x0000_s1026" o:spt="32" type="#_x0000_t32" style="position:absolute;left:4055424;top:7055580;height:105241;width:9530;" filled="f" stroked="t" coordsize="21600,21600" o:gfxdata="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Pn5nbWAAAABgEAAA8AAAAAAAAAAQAgAAAAIgAAAGRycy9kb3ducmV2&#10;LnhtbFBLAQIUABQAAAAIAIdO4kDTQBmo/gEAAKMDAAAOAAAAAAAAAAEAIAAAACUBAABkcnMvZTJv&#10;RG9jLnhtbFBLBQYAAAAABgAGAFkBAACVBQAAAAA=&#10;">
                  <v:fill on="f" focussize="0,0"/>
                  <v:stroke weight="0.5pt" color="#5B9BD5 [3204]" miterlimit="8" joinstyle="miter" endarrow="block"/>
                  <v:imagedata o:title=""/>
                  <o:lock v:ext="edit" aspectratio="f"/>
                </v:shape>
                <v:line id="_x0000_s1026" o:spid="_x0000_s1026" o:spt="20" style="position:absolute;left:1515848;top:7196238;height:0;width:2549106;" filled="f" stroked="t" coordsize="21600,21600" o:gfxdata="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I6CbY7WAAAABgEAAA8A&#10;AAAAAAAAAQAgAAAAIgAAAGRycy9kb3ducmV2LnhtbFBLAQIUABQAAAAIAIdO4kAQgQUN4AEAAHED&#10;AAAOAAAAAAAAAAEAIAAAACUBAABkcnMvZTJvRG9jLnhtbFBLBQYAAAAABgAGAFkBAAB3BQAAAAA=&#10;">
                  <v:fill on="f" focussize="0,0"/>
                  <v:stroke weight="0.5pt" color="#5B9BD5 [3204]" miterlimit="8" joinstyle="miter"/>
                  <v:imagedata o:title=""/>
                  <o:lock v:ext="edit" aspectratio="f"/>
                </v:line>
                <v:shape id="_x0000_s1026" o:spid="_x0000_s1026" o:spt="32" type="#_x0000_t32" style="position:absolute;left:2802577;top:7208322;height:178130;width:0;" filled="f" stroked="t" coordsize="21600,21600" o:gfxdata="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Pn5nbWAAAABgEAAA8AAAAAAAAAAQAgAAAAIgAAAGRycy9kb3ducmV2&#10;LnhtbFBLAQIUABQAAAAIAIdO4kACJ7Rh/gEAAKADAAAOAAAAAAAAAAEAIAAAACUBAABkcnMvZTJv&#10;RG9jLnhtbFBLBQYAAAAABgAGAFkBAACVBQAAAAA=&#10;">
                  <v:fill on="f" focussize="0,0"/>
                  <v:stroke weight="0.5pt" color="#5B9BD5 [3204]" miterlimit="8" joinstyle="miter" endarrow="block"/>
                  <v:imagedata o:title=""/>
                  <o:lock v:ext="edit" aspectratio="f"/>
                </v:shape>
                <v:shape id="连接符: 肘形 41" o:spid="_x0000_s1026" o:spt="33" type="#_x0000_t33" style="position:absolute;left:2612573;top:1907627;flip:y;height:360547;width:558031;rotation:11796480f;" filled="f" stroked="t" coordsize="21600,21600" o:gfxdata="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vVNpnUAAAABgEAAA8AAAAAAAAAAQAgAAAA&#10;IgAAAGRycy9kb3ducmV2LnhtbFBLAQIUABQAAAAIAIdO4kCIHk3oDwIAALYDAAAOAAAAAAAAAAEA&#10;IAAAACMBAABkcnMvZTJvRG9jLnhtbFBLBQYAAAAABgAGAFkBAACkBQAAAAA=&#10;">
                  <v:fill on="f" focussize="0,0"/>
                  <v:stroke weight="0.5pt" color="#5B9BD5 [3204]" miterlimit="8" joinstyle="miter" endarrow="block"/>
                  <v:imagedata o:title=""/>
                  <o:lock v:ext="edit" aspectratio="f"/>
                </v:shape>
                <w10:wrap type="none"/>
                <w10:anchorlock/>
              </v:group>
            </w:pict>
          </mc:Fallback>
        </mc:AlternateContent>
      </w:r>
    </w:p>
    <w:p>
      <w:pPr>
        <w:pStyle w:val="5"/>
        <w:bidi w:val="0"/>
      </w:pPr>
      <w:bookmarkStart w:id="223" w:name="_Toc117181893"/>
      <w:bookmarkStart w:id="224" w:name="_Toc106727829"/>
      <w:bookmarkStart w:id="225" w:name="_Toc118293223"/>
      <w:bookmarkStart w:id="226" w:name="_Toc21768"/>
      <w:bookmarkStart w:id="227" w:name="_Toc116121419"/>
      <w:bookmarkStart w:id="228" w:name="_Toc105600266"/>
      <w:r>
        <w:rPr>
          <w:rFonts w:hint="eastAsia"/>
          <w:lang w:val="en-US" w:eastAsia="zh-CN"/>
        </w:rPr>
        <w:t>二、</w:t>
      </w:r>
      <w:r>
        <w:rPr>
          <w:rFonts w:hint="eastAsia"/>
        </w:rPr>
        <w:t>供货实施流程</w:t>
      </w:r>
      <w:bookmarkEnd w:id="223"/>
      <w:bookmarkEnd w:id="224"/>
      <w:bookmarkEnd w:id="225"/>
      <w:bookmarkEnd w:id="226"/>
      <w:bookmarkEnd w:id="227"/>
      <w:bookmarkEnd w:id="228"/>
    </w:p>
    <w:p>
      <w:pPr>
        <w:ind w:firstLine="480"/>
        <w:rPr>
          <w:rFonts w:hint="eastAsia" w:eastAsia="宋体"/>
          <w:lang w:eastAsia="zh-CN"/>
        </w:rPr>
      </w:pPr>
      <w:r>
        <w:rPr>
          <w:rFonts w:hint="eastAsia"/>
        </w:rPr>
        <w:t>由技术支持小组和项目单位技术人员共同对有机肥运输方案的技术细节进行分析、探讨和引证，并确认运输方案。完成实施方案的设计和编写工作后，我公司将对各实施小组等人员进行内部培训，务求参加项目的有关人员都能了解、熟悉详细的路线、方案设计的详细内容、实施的具体任务，以保证货物如期交付。</w:t>
      </w:r>
    </w:p>
    <w:p>
      <w:pPr>
        <w:ind w:firstLine="480"/>
      </w:pPr>
      <w:r>
        <w:rPr>
          <w:rFonts w:hint="eastAsia"/>
        </w:rPr>
        <w:t>技术支持小组同时制订一份具体的《项目实施计划》，计划应包含各项内容及要求、装卸责任人、进度控制。</w:t>
      </w:r>
    </w:p>
    <w:p>
      <w:pPr>
        <w:pStyle w:val="52"/>
        <w:rPr>
          <w:rFonts w:hint="eastAsia"/>
        </w:rPr>
      </w:pPr>
      <w:r>
        <w:rPr>
          <w:rFonts w:hint="eastAsia"/>
        </w:rPr>
        <w:t>项目实施流程</w:t>
      </w:r>
    </w:p>
    <w:p>
      <w:pPr>
        <w:pStyle w:val="52"/>
        <w:rPr>
          <w:rFonts w:hint="eastAsia"/>
          <w:lang w:val="en-US" w:eastAsia="zh-CN"/>
        </w:rPr>
      </w:pPr>
      <w:r>
        <w:drawing>
          <wp:inline distT="0" distB="0" distL="114300" distR="114300">
            <wp:extent cx="4557395" cy="4192270"/>
            <wp:effectExtent l="9525" t="9525" r="24130" b="2730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5"/>
                    <a:stretch>
                      <a:fillRect/>
                    </a:stretch>
                  </pic:blipFill>
                  <pic:spPr>
                    <a:xfrm>
                      <a:off x="0" y="0"/>
                      <a:ext cx="4557395" cy="4192270"/>
                    </a:xfrm>
                    <a:prstGeom prst="rect">
                      <a:avLst/>
                    </a:prstGeom>
                    <a:noFill/>
                    <a:ln>
                      <a:solidFill>
                        <a:srgbClr val="0000FF"/>
                      </a:solidFill>
                    </a:ln>
                  </pic:spPr>
                </pic:pic>
              </a:graphicData>
            </a:graphic>
          </wp:inline>
        </w:drawing>
      </w:r>
      <w:bookmarkStart w:id="229" w:name="_Toc116121420"/>
      <w:bookmarkStart w:id="230" w:name="_Toc117181894"/>
      <w:bookmarkStart w:id="231" w:name="_Toc106727830"/>
      <w:bookmarkStart w:id="232" w:name="_Toc105600267"/>
      <w:bookmarkStart w:id="233" w:name="_Toc118293224"/>
      <w:r>
        <w:rPr>
          <w:rFonts w:hint="eastAsia"/>
          <w:lang w:val="en-US" w:eastAsia="zh-CN"/>
        </w:rPr>
        <w:br w:type="page"/>
      </w:r>
    </w:p>
    <w:p>
      <w:pPr>
        <w:pStyle w:val="5"/>
        <w:bidi w:val="0"/>
      </w:pPr>
      <w:bookmarkStart w:id="234" w:name="_Toc27210"/>
      <w:r>
        <w:rPr>
          <w:rFonts w:hint="eastAsia"/>
          <w:lang w:val="en-US" w:eastAsia="zh-CN"/>
        </w:rPr>
        <w:t>三、</w:t>
      </w:r>
      <w:r>
        <w:rPr>
          <w:rFonts w:hint="eastAsia"/>
        </w:rPr>
        <w:t>供货措施</w:t>
      </w:r>
      <w:bookmarkEnd w:id="229"/>
      <w:bookmarkEnd w:id="230"/>
      <w:bookmarkEnd w:id="231"/>
      <w:bookmarkEnd w:id="232"/>
      <w:bookmarkEnd w:id="233"/>
      <w:bookmarkEnd w:id="234"/>
    </w:p>
    <w:p>
      <w:pPr>
        <w:pStyle w:val="6"/>
        <w:bidi w:val="0"/>
      </w:pPr>
      <w:bookmarkStart w:id="235" w:name="_Toc1165"/>
      <w:r>
        <w:rPr>
          <w:rFonts w:hint="eastAsia"/>
          <w:lang w:eastAsia="zh-CN"/>
        </w:rPr>
        <w:t>（</w:t>
      </w:r>
      <w:r>
        <w:rPr>
          <w:rFonts w:hint="eastAsia"/>
          <w:lang w:val="en-US" w:eastAsia="zh-CN"/>
        </w:rPr>
        <w:t>一</w:t>
      </w:r>
      <w:r>
        <w:rPr>
          <w:rFonts w:hint="eastAsia"/>
          <w:lang w:eastAsia="zh-CN"/>
        </w:rPr>
        <w:t>）</w:t>
      </w:r>
      <w:r>
        <w:rPr>
          <w:rFonts w:hint="eastAsia"/>
        </w:rPr>
        <w:t>备货计划</w:t>
      </w:r>
      <w:bookmarkEnd w:id="235"/>
    </w:p>
    <w:p>
      <w:pPr>
        <w:ind w:firstLine="480"/>
      </w:pPr>
      <w:r>
        <w:rPr>
          <w:rFonts w:hint="eastAsia"/>
        </w:rPr>
        <w:t>如因需要，供货量变化超出暂定供货量的10%时，甲方以书面通知我方，此项通知甲方应充分考虑我方的合理备料和加工周期，具体增减数量以甲方书面通知为准。</w:t>
      </w:r>
    </w:p>
    <w:p>
      <w:pPr>
        <w:ind w:firstLine="480"/>
      </w:pPr>
      <w:r>
        <w:rPr>
          <w:rFonts w:hint="eastAsia"/>
        </w:rPr>
        <w:t>因甲方要求的产品加工方式及原材料品种变更而引起变更产品（即合同中约定的产品）供货期由双方另行协商确定，且供货不得影响相应进度。</w:t>
      </w:r>
    </w:p>
    <w:p>
      <w:pPr>
        <w:pStyle w:val="6"/>
        <w:bidi w:val="0"/>
      </w:pPr>
      <w:bookmarkStart w:id="236" w:name="_Toc20377"/>
      <w:r>
        <w:rPr>
          <w:rFonts w:hint="eastAsia"/>
          <w:lang w:eastAsia="zh-CN"/>
        </w:rPr>
        <w:t>（</w:t>
      </w:r>
      <w:r>
        <w:rPr>
          <w:rFonts w:hint="eastAsia"/>
          <w:lang w:val="en-US" w:eastAsia="zh-CN"/>
        </w:rPr>
        <w:t>二</w:t>
      </w:r>
      <w:r>
        <w:rPr>
          <w:rFonts w:hint="eastAsia"/>
          <w:lang w:eastAsia="zh-CN"/>
        </w:rPr>
        <w:t>）</w:t>
      </w:r>
      <w:r>
        <w:rPr>
          <w:rFonts w:hint="eastAsia"/>
        </w:rPr>
        <w:t>供货进度计划有明确的周期安排</w:t>
      </w:r>
      <w:bookmarkEnd w:id="236"/>
    </w:p>
    <w:p>
      <w:pPr>
        <w:ind w:firstLine="480"/>
      </w:pPr>
      <w:r>
        <w:rPr>
          <w:rFonts w:hint="eastAsia"/>
        </w:rPr>
        <w:t>合同履行期限：合同签订后，</w:t>
      </w:r>
      <w:r>
        <w:t>15日历天内全部交清</w:t>
      </w:r>
      <w:r>
        <w:rPr>
          <w:rFonts w:hint="eastAsia"/>
        </w:rPr>
        <w:t>。</w:t>
      </w:r>
    </w:p>
    <w:p>
      <w:pPr>
        <w:ind w:firstLine="480"/>
      </w:pPr>
      <w:r>
        <w:rPr>
          <w:rFonts w:hint="eastAsia"/>
        </w:rPr>
        <w:t>我公司与业主单位签订合同后，将立即落实有机肥生产的工作。在供货期间，我公司将密切跟踪有机肥生产、运输情况。我们将以到货情况跟踪表的形式，每周向项目单位通报一次到货情况。</w:t>
      </w:r>
    </w:p>
    <w:p>
      <w:pPr>
        <w:ind w:firstLine="480"/>
      </w:pPr>
      <w:r>
        <w:rPr>
          <w:rFonts w:hint="eastAsia"/>
        </w:rPr>
        <w:t>在供货阶段，我们遵循以下原则：</w:t>
      </w:r>
    </w:p>
    <w:p>
      <w:pPr>
        <w:ind w:firstLine="480"/>
      </w:pPr>
      <w:r>
        <w:rPr>
          <w:rFonts w:hint="eastAsia"/>
          <w:lang w:eastAsia="zh-CN"/>
        </w:rPr>
        <w:t>（</w:t>
      </w:r>
      <w:r>
        <w:rPr>
          <w:rFonts w:hint="eastAsia"/>
          <w:lang w:val="en-US" w:eastAsia="zh-CN"/>
        </w:rPr>
        <w:t>一</w:t>
      </w:r>
      <w:r>
        <w:rPr>
          <w:rFonts w:hint="eastAsia"/>
          <w:lang w:eastAsia="zh-CN"/>
        </w:rPr>
        <w:t>）</w:t>
      </w:r>
      <w:r>
        <w:rPr>
          <w:rFonts w:hint="eastAsia"/>
        </w:rPr>
        <w:t>在所有有机肥的运输过程中，我们将严格按标准保护措施进行包装，包装符合远距离运输、防潮、防水和防野蛮装卸等要求，能确保货物安全无损地运抵目的地。</w:t>
      </w:r>
    </w:p>
    <w:p>
      <w:pPr>
        <w:ind w:firstLine="480"/>
      </w:pPr>
      <w:r>
        <w:rPr>
          <w:rFonts w:hint="eastAsia"/>
          <w:lang w:eastAsia="zh-CN"/>
        </w:rPr>
        <w:t>（</w:t>
      </w:r>
      <w:r>
        <w:rPr>
          <w:rFonts w:hint="eastAsia"/>
          <w:lang w:val="en-US" w:eastAsia="zh-CN"/>
        </w:rPr>
        <w:t>二</w:t>
      </w:r>
      <w:r>
        <w:rPr>
          <w:rFonts w:hint="eastAsia"/>
          <w:lang w:eastAsia="zh-CN"/>
        </w:rPr>
        <w:t>）</w:t>
      </w:r>
      <w:r>
        <w:rPr>
          <w:rFonts w:hint="eastAsia"/>
        </w:rPr>
        <w:t>我公司负责国内运输和支付运费、保险费，确保按照合同规定的交货期交货。</w:t>
      </w:r>
    </w:p>
    <w:p>
      <w:pPr>
        <w:ind w:firstLine="480"/>
      </w:pPr>
      <w:r>
        <w:rPr>
          <w:rFonts w:hint="eastAsia"/>
          <w:lang w:eastAsia="zh-CN"/>
        </w:rPr>
        <w:t>（</w:t>
      </w:r>
      <w:r>
        <w:rPr>
          <w:rFonts w:hint="eastAsia"/>
          <w:lang w:val="en-US" w:eastAsia="zh-CN"/>
        </w:rPr>
        <w:t>三</w:t>
      </w:r>
      <w:r>
        <w:rPr>
          <w:rFonts w:hint="eastAsia"/>
          <w:lang w:eastAsia="zh-CN"/>
        </w:rPr>
        <w:t>）</w:t>
      </w:r>
      <w:r>
        <w:rPr>
          <w:rFonts w:hint="eastAsia"/>
        </w:rPr>
        <w:t>货物收据签收日期视为实际交货日期。</w:t>
      </w:r>
    </w:p>
    <w:p>
      <w:pPr>
        <w:ind w:firstLine="480"/>
      </w:pPr>
      <w:r>
        <w:rPr>
          <w:rFonts w:hint="eastAsia"/>
          <w:lang w:eastAsia="zh-CN"/>
        </w:rPr>
        <w:t>（</w:t>
      </w:r>
      <w:r>
        <w:rPr>
          <w:rFonts w:hint="eastAsia"/>
          <w:lang w:val="en-US" w:eastAsia="zh-CN"/>
        </w:rPr>
        <w:t>四</w:t>
      </w:r>
      <w:r>
        <w:rPr>
          <w:rFonts w:hint="eastAsia"/>
          <w:lang w:eastAsia="zh-CN"/>
        </w:rPr>
        <w:t>）</w:t>
      </w:r>
      <w:r>
        <w:rPr>
          <w:rFonts w:hint="eastAsia"/>
        </w:rPr>
        <w:t>项目现场以合同条款资料表中规定为准。</w:t>
      </w:r>
    </w:p>
    <w:p>
      <w:pPr>
        <w:pStyle w:val="6"/>
        <w:bidi w:val="0"/>
      </w:pPr>
      <w:bookmarkStart w:id="237" w:name="_Toc26922"/>
      <w:r>
        <w:rPr>
          <w:rFonts w:hint="eastAsia"/>
          <w:lang w:eastAsia="zh-CN"/>
        </w:rPr>
        <w:t>（</w:t>
      </w:r>
      <w:r>
        <w:rPr>
          <w:rFonts w:hint="eastAsia"/>
          <w:lang w:val="en-US" w:eastAsia="zh-CN"/>
        </w:rPr>
        <w:t>三</w:t>
      </w:r>
      <w:r>
        <w:rPr>
          <w:rFonts w:hint="eastAsia"/>
          <w:lang w:eastAsia="zh-CN"/>
        </w:rPr>
        <w:t>）</w:t>
      </w:r>
      <w:r>
        <w:rPr>
          <w:rFonts w:hint="eastAsia"/>
        </w:rPr>
        <w:t>我公司制定详细的进度安排</w:t>
      </w:r>
      <w:bookmarkEnd w:id="237"/>
    </w:p>
    <w:p>
      <w:pPr>
        <w:ind w:firstLine="480"/>
      </w:pPr>
      <w:r>
        <w:rPr>
          <w:rFonts w:hint="eastAsia"/>
        </w:rPr>
        <w:t>由技术支持小组、实施小组和项目单位技术人员共同对实施方案的技术细节进行分析、探讨和引证，并确认供货计划方案。</w:t>
      </w:r>
    </w:p>
    <w:p>
      <w:pPr>
        <w:ind w:firstLine="480"/>
      </w:pPr>
      <w:r>
        <w:rPr>
          <w:rFonts w:hint="eastAsia"/>
        </w:rPr>
        <w:t>完成实施方案的设计和编写工作后，我公司将对各实施小组等人员进行内部培训，务求参加项目的有关人员都能了解、熟悉详细的路线、方案设计的详细内容、实施的具体任务，以保证货物如期交付。我公司将根据本次有机肥采购计划各供货点的运送量，来制定详细的供货进度计划及运输车辆、跟车人员的相关安排，确保本次供货能够准确快速的完成。</w:t>
      </w:r>
    </w:p>
    <w:p>
      <w:pPr>
        <w:ind w:firstLine="480"/>
      </w:pPr>
      <w:r>
        <w:rPr>
          <w:rFonts w:hint="eastAsia"/>
        </w:rPr>
        <w:t>技术支持小组同时制订一份具体的《项目实施进度计划》，计划应包含各项内容及要求、装卸责任人、进度控制等等。</w:t>
      </w:r>
    </w:p>
    <w:p>
      <w:pPr>
        <w:pStyle w:val="52"/>
      </w:pPr>
      <w:r>
        <w:rPr>
          <w:rFonts w:hint="eastAsia"/>
        </w:rPr>
        <w:t>具体供货步骤</w:t>
      </w:r>
    </w:p>
    <w:p>
      <w:pPr>
        <w:ind w:firstLine="480"/>
      </w:pPr>
      <w:r>
        <w:rPr>
          <w:rFonts w:hint="eastAsia"/>
        </w:rPr>
        <w:t>为了使项目能够按照计划、有条不紊地进行，我公司将整个实施过程分为实施前期、实施中期、实施后期三个阶段，每个阶段根据具体任务分为多个环节。项目实施环节统计如下：</w:t>
      </w:r>
    </w:p>
    <w:tbl>
      <w:tblPr>
        <w:tblStyle w:val="56"/>
        <w:tblW w:w="83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4820"/>
        <w:gridCol w:w="1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tblHeader/>
          <w:jc w:val="center"/>
        </w:trPr>
        <w:tc>
          <w:tcPr>
            <w:tcW w:w="16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kern w:val="0"/>
              </w:rPr>
            </w:pPr>
            <w:r>
              <w:rPr>
                <w:b/>
                <w:bCs w:val="0"/>
                <w:color w:val="000000"/>
                <w:kern w:val="0"/>
              </w:rPr>
              <w:br w:type="page"/>
            </w:r>
            <w:r>
              <w:rPr>
                <w:b/>
                <w:bCs w:val="0"/>
                <w:color w:val="000000"/>
                <w:kern w:val="0"/>
              </w:rPr>
              <w:t>项目环节</w:t>
            </w:r>
          </w:p>
        </w:tc>
        <w:tc>
          <w:tcPr>
            <w:tcW w:w="48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kern w:val="0"/>
              </w:rPr>
            </w:pPr>
            <w:r>
              <w:rPr>
                <w:b/>
                <w:bCs w:val="0"/>
                <w:color w:val="000000"/>
                <w:kern w:val="0"/>
              </w:rPr>
              <w:t>任务内容简述</w:t>
            </w:r>
          </w:p>
        </w:tc>
        <w:tc>
          <w:tcPr>
            <w:tcW w:w="17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kern w:val="0"/>
              </w:rPr>
            </w:pPr>
            <w:r>
              <w:rPr>
                <w:b/>
                <w:bCs w:val="0"/>
                <w:color w:val="000000"/>
                <w:kern w:val="0"/>
              </w:rPr>
              <w:t>任务执行组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4"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kern w:val="0"/>
              </w:rPr>
            </w:pPr>
            <w:r>
              <w:rPr>
                <w:b/>
                <w:bCs w:val="0"/>
                <w:color w:val="000000"/>
                <w:kern w:val="0"/>
              </w:rPr>
              <w:t>实施前期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kern w:val="0"/>
              </w:rPr>
            </w:pPr>
            <w:r>
              <w:rPr>
                <w:rFonts w:hint="eastAsia"/>
                <w:b/>
                <w:bCs w:val="0"/>
                <w:color w:val="000000"/>
                <w:kern w:val="0"/>
              </w:rPr>
              <w:t>肥料供</w:t>
            </w:r>
            <w:r>
              <w:rPr>
                <w:b/>
                <w:bCs w:val="0"/>
                <w:color w:val="000000"/>
                <w:kern w:val="0"/>
              </w:rPr>
              <w:t>货</w:t>
            </w:r>
          </w:p>
        </w:tc>
        <w:tc>
          <w:tcPr>
            <w:tcW w:w="48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kern w:val="0"/>
              </w:rPr>
            </w:pPr>
            <w:r>
              <w:rPr>
                <w:color w:val="000000"/>
                <w:kern w:val="0"/>
              </w:rPr>
              <w:t>进行商务洽谈，确保项目中所有</w:t>
            </w:r>
            <w:r>
              <w:rPr>
                <w:rFonts w:hint="eastAsia"/>
                <w:color w:val="000000"/>
                <w:kern w:val="0"/>
              </w:rPr>
              <w:t>有机肥料</w:t>
            </w:r>
            <w:r>
              <w:rPr>
                <w:color w:val="000000"/>
                <w:kern w:val="0"/>
              </w:rPr>
              <w:t>如期、安全地到达用户</w:t>
            </w:r>
            <w:r>
              <w:rPr>
                <w:rFonts w:hint="eastAsia"/>
                <w:color w:val="000000"/>
                <w:kern w:val="0"/>
              </w:rPr>
              <w:t>各乡镇各村</w:t>
            </w:r>
            <w:r>
              <w:rPr>
                <w:color w:val="000000"/>
                <w:kern w:val="0"/>
              </w:rPr>
              <w:t>。</w:t>
            </w:r>
          </w:p>
        </w:tc>
        <w:tc>
          <w:tcPr>
            <w:tcW w:w="17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kern w:val="0"/>
              </w:rPr>
            </w:pPr>
            <w:r>
              <w:rPr>
                <w:color w:val="000000"/>
                <w:kern w:val="0"/>
              </w:rPr>
              <w:t>商务组</w:t>
            </w:r>
          </w:p>
          <w:p>
            <w:pPr>
              <w:pStyle w:val="53"/>
              <w:rPr>
                <w:color w:val="000000"/>
                <w:kern w:val="0"/>
              </w:rPr>
            </w:pPr>
            <w:r>
              <w:rPr>
                <w:rFonts w:hint="eastAsia"/>
                <w:color w:val="000000"/>
                <w:kern w:val="0"/>
              </w:rPr>
              <w:t>技术支持小</w:t>
            </w:r>
            <w:r>
              <w:rPr>
                <w:color w:val="000000"/>
                <w:kern w:val="0"/>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kern w:val="0"/>
              </w:rPr>
            </w:pPr>
            <w:r>
              <w:rPr>
                <w:b/>
                <w:bCs w:val="0"/>
                <w:color w:val="000000"/>
                <w:kern w:val="0"/>
              </w:rPr>
              <w:t>制定详细</w:t>
            </w:r>
          </w:p>
          <w:p>
            <w:pPr>
              <w:pStyle w:val="53"/>
              <w:rPr>
                <w:b/>
                <w:bCs w:val="0"/>
                <w:color w:val="000000"/>
                <w:kern w:val="0"/>
              </w:rPr>
            </w:pPr>
            <w:r>
              <w:rPr>
                <w:b/>
                <w:bCs w:val="0"/>
                <w:color w:val="000000"/>
                <w:kern w:val="0"/>
              </w:rPr>
              <w:t>实施方案</w:t>
            </w:r>
          </w:p>
        </w:tc>
        <w:tc>
          <w:tcPr>
            <w:tcW w:w="48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kern w:val="0"/>
              </w:rPr>
            </w:pPr>
            <w:r>
              <w:rPr>
                <w:color w:val="000000"/>
                <w:kern w:val="0"/>
              </w:rPr>
              <w:t>根据设计方案，协助项目单位制订</w:t>
            </w:r>
            <w:r>
              <w:rPr>
                <w:rFonts w:hint="eastAsia"/>
                <w:color w:val="000000"/>
                <w:kern w:val="0"/>
              </w:rPr>
              <w:t>运输的路线</w:t>
            </w:r>
            <w:r>
              <w:rPr>
                <w:color w:val="000000"/>
                <w:kern w:val="0"/>
              </w:rPr>
              <w:t>；</w:t>
            </w:r>
          </w:p>
          <w:p>
            <w:pPr>
              <w:pStyle w:val="53"/>
              <w:rPr>
                <w:color w:val="000000"/>
                <w:kern w:val="0"/>
              </w:rPr>
            </w:pPr>
            <w:r>
              <w:rPr>
                <w:color w:val="000000"/>
                <w:kern w:val="0"/>
              </w:rPr>
              <w:t>根据</w:t>
            </w:r>
            <w:r>
              <w:rPr>
                <w:rFonts w:hint="eastAsia"/>
                <w:color w:val="000000"/>
                <w:kern w:val="0"/>
              </w:rPr>
              <w:t>项目单位现状提供详细的单位分布环境等分配</w:t>
            </w:r>
            <w:r>
              <w:rPr>
                <w:color w:val="000000"/>
                <w:kern w:val="0"/>
              </w:rPr>
              <w:t>方案；制定详细的进度计划；</w:t>
            </w:r>
          </w:p>
          <w:p>
            <w:pPr>
              <w:pStyle w:val="53"/>
              <w:rPr>
                <w:color w:val="000000"/>
                <w:kern w:val="0"/>
              </w:rPr>
            </w:pPr>
            <w:r>
              <w:rPr>
                <w:color w:val="000000"/>
                <w:kern w:val="0"/>
              </w:rPr>
              <w:t>编制实施方案、技术参数手册</w:t>
            </w:r>
            <w:r>
              <w:rPr>
                <w:rFonts w:hint="eastAsia"/>
                <w:color w:val="000000"/>
                <w:kern w:val="0"/>
              </w:rPr>
              <w:t>。</w:t>
            </w:r>
          </w:p>
        </w:tc>
        <w:tc>
          <w:tcPr>
            <w:tcW w:w="17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kern w:val="0"/>
              </w:rPr>
            </w:pPr>
            <w:r>
              <w:rPr>
                <w:rFonts w:hint="eastAsia"/>
                <w:color w:val="000000"/>
                <w:kern w:val="0"/>
              </w:rPr>
              <w:t>运输实施小</w:t>
            </w:r>
            <w:r>
              <w:rPr>
                <w:color w:val="000000"/>
                <w:kern w:val="0"/>
              </w:rPr>
              <w:t>组</w:t>
            </w:r>
          </w:p>
          <w:p>
            <w:pPr>
              <w:pStyle w:val="53"/>
              <w:rPr>
                <w:color w:val="000000"/>
                <w:kern w:val="0"/>
              </w:rPr>
            </w:pPr>
            <w:r>
              <w:rPr>
                <w:color w:val="000000"/>
                <w:kern w:val="0"/>
              </w:rPr>
              <w:t>质量</w:t>
            </w:r>
            <w:r>
              <w:rPr>
                <w:rFonts w:hint="eastAsia"/>
                <w:color w:val="000000"/>
                <w:kern w:val="0"/>
              </w:rPr>
              <w:t>监控</w:t>
            </w:r>
            <w:r>
              <w:rPr>
                <w:color w:val="000000"/>
                <w:kern w:val="0"/>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kern w:val="0"/>
              </w:rPr>
            </w:pPr>
            <w:r>
              <w:rPr>
                <w:b/>
                <w:bCs w:val="0"/>
                <w:color w:val="000000"/>
                <w:kern w:val="0"/>
              </w:rPr>
              <w:t>内部技术培训</w:t>
            </w:r>
          </w:p>
        </w:tc>
        <w:tc>
          <w:tcPr>
            <w:tcW w:w="48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kern w:val="0"/>
              </w:rPr>
            </w:pPr>
            <w:r>
              <w:rPr>
                <w:color w:val="000000"/>
                <w:kern w:val="0"/>
              </w:rPr>
              <w:t>相关技术人员进行内部培训。</w:t>
            </w:r>
          </w:p>
        </w:tc>
        <w:tc>
          <w:tcPr>
            <w:tcW w:w="17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kern w:val="0"/>
              </w:rPr>
            </w:pPr>
            <w:r>
              <w:rPr>
                <w:rFonts w:hint="eastAsia"/>
                <w:color w:val="000000"/>
                <w:kern w:val="0"/>
              </w:rPr>
              <w:t>技术支持小</w:t>
            </w:r>
            <w:r>
              <w:rPr>
                <w:color w:val="000000"/>
                <w:kern w:val="0"/>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kern w:val="0"/>
              </w:rPr>
            </w:pPr>
            <w:r>
              <w:rPr>
                <w:b/>
                <w:bCs w:val="0"/>
                <w:color w:val="000000"/>
                <w:kern w:val="0"/>
              </w:rPr>
              <w:t>实施环境调查</w:t>
            </w:r>
          </w:p>
        </w:tc>
        <w:tc>
          <w:tcPr>
            <w:tcW w:w="48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kern w:val="0"/>
              </w:rPr>
            </w:pPr>
            <w:r>
              <w:rPr>
                <w:color w:val="000000"/>
                <w:kern w:val="0"/>
              </w:rPr>
              <w:t>检查</w:t>
            </w:r>
            <w:r>
              <w:rPr>
                <w:rFonts w:hint="eastAsia"/>
                <w:color w:val="000000"/>
                <w:kern w:val="0"/>
              </w:rPr>
              <w:t>、核实</w:t>
            </w:r>
            <w:r>
              <w:rPr>
                <w:color w:val="000000"/>
                <w:kern w:val="0"/>
              </w:rPr>
              <w:t>实施现场的环境。</w:t>
            </w:r>
          </w:p>
        </w:tc>
        <w:tc>
          <w:tcPr>
            <w:tcW w:w="17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kern w:val="0"/>
              </w:rPr>
            </w:pPr>
            <w:r>
              <w:rPr>
                <w:rFonts w:hint="eastAsia"/>
                <w:color w:val="000000"/>
                <w:kern w:val="0"/>
              </w:rPr>
              <w:t>技术支持小</w:t>
            </w:r>
            <w:r>
              <w:rPr>
                <w:color w:val="000000"/>
                <w:kern w:val="0"/>
              </w:rPr>
              <w:t>组</w:t>
            </w:r>
          </w:p>
          <w:p>
            <w:pPr>
              <w:pStyle w:val="53"/>
              <w:rPr>
                <w:color w:val="000000"/>
                <w:kern w:val="0"/>
              </w:rPr>
            </w:pPr>
            <w:r>
              <w:rPr>
                <w:rFonts w:hint="eastAsia"/>
                <w:color w:val="000000"/>
                <w:kern w:val="0"/>
              </w:rPr>
              <w:t>运输实施小</w:t>
            </w:r>
            <w:r>
              <w:rPr>
                <w:color w:val="000000"/>
                <w:kern w:val="0"/>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4"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kern w:val="0"/>
              </w:rPr>
            </w:pPr>
            <w:r>
              <w:rPr>
                <w:b/>
                <w:bCs w:val="0"/>
                <w:color w:val="000000"/>
                <w:kern w:val="0"/>
              </w:rPr>
              <w:t>实施中期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kern w:val="0"/>
              </w:rPr>
            </w:pPr>
            <w:r>
              <w:rPr>
                <w:rFonts w:hint="eastAsia"/>
                <w:b/>
                <w:bCs w:val="0"/>
                <w:color w:val="000000"/>
                <w:kern w:val="0"/>
              </w:rPr>
              <w:t>有机肥</w:t>
            </w:r>
            <w:r>
              <w:rPr>
                <w:b/>
                <w:bCs w:val="0"/>
                <w:color w:val="000000"/>
                <w:kern w:val="0"/>
              </w:rPr>
              <w:t>到货及验收</w:t>
            </w:r>
          </w:p>
        </w:tc>
        <w:tc>
          <w:tcPr>
            <w:tcW w:w="48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kern w:val="0"/>
              </w:rPr>
            </w:pPr>
            <w:r>
              <w:rPr>
                <w:rFonts w:hint="eastAsia"/>
                <w:color w:val="000000"/>
                <w:kern w:val="0"/>
              </w:rPr>
              <w:t>有机肥</w:t>
            </w:r>
            <w:r>
              <w:rPr>
                <w:color w:val="000000"/>
                <w:kern w:val="0"/>
              </w:rPr>
              <w:t>到货，并在指定的地点交货、到货验收</w:t>
            </w:r>
          </w:p>
        </w:tc>
        <w:tc>
          <w:tcPr>
            <w:tcW w:w="17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kern w:val="0"/>
              </w:rPr>
            </w:pPr>
            <w:r>
              <w:rPr>
                <w:color w:val="000000"/>
                <w:kern w:val="0"/>
              </w:rPr>
              <w:t>项目领导组</w:t>
            </w:r>
          </w:p>
          <w:p>
            <w:pPr>
              <w:pStyle w:val="53"/>
              <w:rPr>
                <w:color w:val="000000"/>
                <w:kern w:val="0"/>
              </w:rPr>
            </w:pPr>
            <w:r>
              <w:rPr>
                <w:rFonts w:hint="eastAsia"/>
                <w:color w:val="000000"/>
                <w:kern w:val="0"/>
              </w:rPr>
              <w:t>商务小组</w:t>
            </w:r>
          </w:p>
          <w:p>
            <w:pPr>
              <w:pStyle w:val="53"/>
              <w:rPr>
                <w:color w:val="000000"/>
                <w:kern w:val="0"/>
              </w:rPr>
            </w:pPr>
            <w:r>
              <w:rPr>
                <w:rFonts w:hint="eastAsia"/>
                <w:color w:val="000000"/>
                <w:kern w:val="0"/>
              </w:rPr>
              <w:t>运输实施小</w:t>
            </w:r>
            <w:r>
              <w:rPr>
                <w:color w:val="000000"/>
                <w:kern w:val="0"/>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kern w:val="0"/>
              </w:rPr>
            </w:pPr>
            <w:r>
              <w:rPr>
                <w:rFonts w:hint="eastAsia"/>
                <w:b/>
                <w:bCs w:val="0"/>
                <w:color w:val="000000"/>
                <w:kern w:val="0"/>
              </w:rPr>
              <w:t>现场卸货</w:t>
            </w:r>
          </w:p>
        </w:tc>
        <w:tc>
          <w:tcPr>
            <w:tcW w:w="48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kern w:val="0"/>
              </w:rPr>
            </w:pPr>
            <w:r>
              <w:rPr>
                <w:rFonts w:hint="eastAsia"/>
                <w:color w:val="000000"/>
                <w:kern w:val="0"/>
              </w:rPr>
              <w:t>运输小组及随车人员进行现场产品卸货、并陪同采购单位验收人员进行产品初验</w:t>
            </w:r>
          </w:p>
        </w:tc>
        <w:tc>
          <w:tcPr>
            <w:tcW w:w="17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kern w:val="0"/>
              </w:rPr>
            </w:pPr>
            <w:r>
              <w:rPr>
                <w:color w:val="000000"/>
                <w:kern w:val="0"/>
              </w:rPr>
              <w:t>项目领导组</w:t>
            </w:r>
          </w:p>
          <w:p>
            <w:pPr>
              <w:pStyle w:val="53"/>
              <w:rPr>
                <w:color w:val="000000"/>
                <w:kern w:val="0"/>
              </w:rPr>
            </w:pPr>
            <w:r>
              <w:rPr>
                <w:rFonts w:hint="eastAsia"/>
                <w:color w:val="000000"/>
                <w:kern w:val="0"/>
              </w:rPr>
              <w:t>商务小组</w:t>
            </w:r>
          </w:p>
          <w:p>
            <w:pPr>
              <w:pStyle w:val="53"/>
              <w:rPr>
                <w:color w:val="000000"/>
                <w:kern w:val="0"/>
              </w:rPr>
            </w:pPr>
            <w:r>
              <w:rPr>
                <w:rFonts w:hint="eastAsia"/>
                <w:color w:val="000000"/>
                <w:kern w:val="0"/>
              </w:rPr>
              <w:t>运输实施小</w:t>
            </w:r>
            <w:r>
              <w:rPr>
                <w:color w:val="000000"/>
                <w:kern w:val="0"/>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kern w:val="0"/>
              </w:rPr>
            </w:pPr>
            <w:r>
              <w:rPr>
                <w:rFonts w:hint="eastAsia"/>
                <w:b/>
                <w:bCs w:val="0"/>
                <w:color w:val="000000"/>
                <w:kern w:val="0"/>
              </w:rPr>
              <w:t>验收</w:t>
            </w:r>
          </w:p>
        </w:tc>
        <w:tc>
          <w:tcPr>
            <w:tcW w:w="48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kern w:val="0"/>
              </w:rPr>
            </w:pPr>
            <w:r>
              <w:rPr>
                <w:rFonts w:hint="eastAsia"/>
                <w:color w:val="000000"/>
                <w:kern w:val="0"/>
              </w:rPr>
              <w:t>根据验收方案对产品进行验收。</w:t>
            </w:r>
          </w:p>
        </w:tc>
        <w:tc>
          <w:tcPr>
            <w:tcW w:w="17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4"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kern w:val="0"/>
              </w:rPr>
            </w:pPr>
            <w:r>
              <w:rPr>
                <w:b/>
                <w:bCs w:val="0"/>
                <w:color w:val="000000"/>
                <w:kern w:val="0"/>
              </w:rPr>
              <w:t>实施后期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b/>
                <w:bCs w:val="0"/>
                <w:color w:val="000000"/>
                <w:kern w:val="0"/>
              </w:rPr>
            </w:pPr>
            <w:r>
              <w:rPr>
                <w:b/>
                <w:bCs w:val="0"/>
                <w:color w:val="000000"/>
                <w:kern w:val="0"/>
              </w:rPr>
              <w:t>技术支持与售后服务</w:t>
            </w:r>
          </w:p>
        </w:tc>
        <w:tc>
          <w:tcPr>
            <w:tcW w:w="48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jc w:val="left"/>
              <w:rPr>
                <w:color w:val="000000"/>
                <w:kern w:val="0"/>
              </w:rPr>
            </w:pPr>
            <w:r>
              <w:rPr>
                <w:rFonts w:hint="eastAsia"/>
                <w:color w:val="000000"/>
                <w:kern w:val="0"/>
              </w:rPr>
              <w:t>1、</w:t>
            </w:r>
            <w:r>
              <w:rPr>
                <w:color w:val="000000"/>
                <w:kern w:val="0"/>
              </w:rPr>
              <w:t>提供给用户及时准确的帮助，包括使用方面的热线咨询</w:t>
            </w:r>
            <w:r>
              <w:rPr>
                <w:rFonts w:hint="eastAsia"/>
                <w:color w:val="000000"/>
                <w:kern w:val="0"/>
              </w:rPr>
              <w:t>、技术培训等。</w:t>
            </w:r>
          </w:p>
          <w:p>
            <w:pPr>
              <w:pStyle w:val="53"/>
              <w:jc w:val="left"/>
              <w:rPr>
                <w:color w:val="000000"/>
                <w:kern w:val="0"/>
              </w:rPr>
            </w:pPr>
            <w:r>
              <w:rPr>
                <w:color w:val="000000"/>
                <w:kern w:val="0"/>
              </w:rPr>
              <w:t>2</w:t>
            </w:r>
            <w:r>
              <w:rPr>
                <w:rFonts w:hint="eastAsia"/>
                <w:color w:val="000000"/>
                <w:kern w:val="0"/>
              </w:rPr>
              <w:t>、提供给用户及时准确的帮助，包括使用方面的热线咨询、产品的更换、投诉等问题。</w:t>
            </w:r>
          </w:p>
        </w:tc>
        <w:tc>
          <w:tcPr>
            <w:tcW w:w="17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rPr>
                <w:color w:val="000000"/>
                <w:kern w:val="0"/>
              </w:rPr>
            </w:pPr>
            <w:r>
              <w:rPr>
                <w:rFonts w:hint="eastAsia"/>
                <w:color w:val="000000"/>
                <w:kern w:val="0"/>
              </w:rPr>
              <w:t>售后</w:t>
            </w:r>
            <w:r>
              <w:rPr>
                <w:color w:val="000000"/>
                <w:kern w:val="0"/>
              </w:rPr>
              <w:t>支持</w:t>
            </w:r>
            <w:r>
              <w:rPr>
                <w:rFonts w:hint="eastAsia"/>
                <w:color w:val="000000"/>
                <w:kern w:val="0"/>
              </w:rPr>
              <w:t>小组</w:t>
            </w:r>
          </w:p>
        </w:tc>
      </w:tr>
    </w:tbl>
    <w:p>
      <w:pPr>
        <w:ind w:firstLine="480"/>
      </w:pPr>
      <w:r>
        <w:rPr>
          <w:rFonts w:hint="eastAsia"/>
        </w:rPr>
        <w:t>具体针对每个项目的实施计划，以中标后，与采购方通结果为准。</w:t>
      </w:r>
    </w:p>
    <w:p>
      <w:pPr>
        <w:pStyle w:val="6"/>
        <w:bidi w:val="0"/>
      </w:pPr>
      <w:bookmarkStart w:id="238" w:name="_Toc5070"/>
      <w:r>
        <w:rPr>
          <w:rFonts w:hint="eastAsia"/>
          <w:lang w:val="en-US" w:eastAsia="zh-CN"/>
        </w:rPr>
        <w:t>（四）</w:t>
      </w:r>
      <w:r>
        <w:rPr>
          <w:rFonts w:hint="eastAsia"/>
        </w:rPr>
        <w:t>验收计划有具体的流程安排</w:t>
      </w:r>
      <w:bookmarkEnd w:id="238"/>
    </w:p>
    <w:p>
      <w:pPr>
        <w:pStyle w:val="55"/>
        <w:keepNext w:val="0"/>
        <w:keepLines w:val="0"/>
        <w:pageBreakBefore w:val="0"/>
        <w:widowControl w:val="0"/>
        <w:numPr>
          <w:ilvl w:val="0"/>
          <w:numId w:val="0"/>
        </w:numPr>
        <w:kinsoku/>
        <w:wordWrap/>
        <w:overflowPunct/>
        <w:topLinePunct w:val="0"/>
        <w:autoSpaceDE/>
        <w:autoSpaceDN/>
        <w:bidi w:val="0"/>
        <w:adjustRightInd w:val="0"/>
        <w:snapToGrid w:val="0"/>
        <w:ind w:firstLine="562" w:firstLineChars="200"/>
        <w:textAlignment w:val="auto"/>
        <w:rPr>
          <w:b/>
          <w:bCs/>
        </w:rPr>
      </w:pPr>
      <w:r>
        <w:rPr>
          <w:rFonts w:hint="eastAsia"/>
          <w:b/>
          <w:bCs/>
          <w:lang w:eastAsia="zh-CN"/>
        </w:rPr>
        <w:t>（</w:t>
      </w:r>
      <w:r>
        <w:rPr>
          <w:rFonts w:hint="eastAsia"/>
          <w:b/>
          <w:bCs/>
          <w:lang w:val="en-US" w:eastAsia="zh-CN"/>
        </w:rPr>
        <w:t>一</w:t>
      </w:r>
      <w:r>
        <w:rPr>
          <w:rFonts w:hint="eastAsia"/>
          <w:b/>
          <w:bCs/>
          <w:lang w:eastAsia="zh-CN"/>
        </w:rPr>
        <w:t>）</w:t>
      </w:r>
      <w:r>
        <w:rPr>
          <w:rFonts w:hint="eastAsia"/>
          <w:b/>
          <w:bCs/>
        </w:rPr>
        <w:t>有机肥到货验收</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rPr>
        <w:t>技术支持小组和实施小组在抵达客户现场后，与客户一同组织有机肥验收，包括确认货物是否符合招标文件规格要求、及开袋是否有质量问题的过程，如发现货物的质量、规格或数量与合同不符，则报商务小组处理。如果检测与验收合格，则请客户在相应有机肥验收表单上签字验收。</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rPr>
        <w:t>有机肥的开袋检验一般经过包装检查、称重、抽样送检等三个环节，包装检查必须在货物未开袋前进行，见《运输验收清单》。有机肥的清点是指对开袋后的有机肥情况进行检查，确保货物没有受潮，见《有机肥到货验收清单》。</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rPr>
        <w:t>其中主要针对所到的有机肥指标及规格是否符合招标文件相关参数要求。其中运输包装检查和有机肥清点两个环节由客户执行，如果客户通知我公司，而我公司有指派相应人员到场，则由双方共同进行。</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rPr>
        <w:t>我单位负责将有机肥送到采购方指定地点，并负责对其下货，且保证有机肥堆码整齐</w:t>
      </w:r>
    </w:p>
    <w:p>
      <w:pPr>
        <w:pStyle w:val="55"/>
        <w:keepNext w:val="0"/>
        <w:keepLines w:val="0"/>
        <w:pageBreakBefore w:val="0"/>
        <w:widowControl w:val="0"/>
        <w:numPr>
          <w:ilvl w:val="0"/>
          <w:numId w:val="0"/>
        </w:numPr>
        <w:kinsoku/>
        <w:wordWrap/>
        <w:overflowPunct/>
        <w:topLinePunct w:val="0"/>
        <w:autoSpaceDE/>
        <w:autoSpaceDN/>
        <w:bidi w:val="0"/>
        <w:adjustRightInd w:val="0"/>
        <w:snapToGrid w:val="0"/>
        <w:ind w:firstLine="562" w:firstLineChars="200"/>
        <w:textAlignment w:val="auto"/>
        <w:rPr>
          <w:b/>
          <w:bCs/>
        </w:rPr>
      </w:pPr>
      <w:r>
        <w:rPr>
          <w:rFonts w:hint="eastAsia"/>
          <w:b/>
          <w:bCs/>
          <w:lang w:eastAsia="zh-CN"/>
        </w:rPr>
        <w:t>（</w:t>
      </w:r>
      <w:r>
        <w:rPr>
          <w:rFonts w:hint="eastAsia"/>
          <w:b/>
          <w:bCs/>
          <w:lang w:val="en-US" w:eastAsia="zh-CN"/>
        </w:rPr>
        <w:t>二</w:t>
      </w:r>
      <w:r>
        <w:rPr>
          <w:rFonts w:hint="eastAsia"/>
          <w:b/>
          <w:bCs/>
          <w:lang w:eastAsia="zh-CN"/>
        </w:rPr>
        <w:t>）</w:t>
      </w:r>
      <w:r>
        <w:rPr>
          <w:rFonts w:hint="eastAsia"/>
          <w:b/>
          <w:bCs/>
        </w:rPr>
        <w:t>验收及签字</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rPr>
        <w:t>采购人组织专业人员会同我单位依据采购合同、招标文件、该批产品检验报告和技术质量标准等有关资料共同验收。我单位应物送达时，要提供有资质的检测单位出具的货物检测报告和送货清单，送货清单上注明送货人、数量、日期、车牌号码等信息。货物送达后，采购人组织相关人员对货物进行验收并随机抽样送检（委托有资质的检测机构进行检测），检测费用由我单位负责。我单位应保证送达货物质量符合采购要求，若出现送检样品质量不符合货物采购质量要求的，对所送货物判定为不合格产品，采购人有权中止合同，不予退还履约保证金，由此所产生的一切损失由我单位自行承担。</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rPr>
        <w:t>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我单位承担。</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rPr>
        <w:t>在有机肥试如期到相应地点后，有机肥无重大质量问题，由项目经理与客户一同进行验收签字。</w:t>
      </w:r>
    </w:p>
    <w:p>
      <w:pPr>
        <w:spacing w:before="0" w:after="0" w:line="240" w:lineRule="auto"/>
        <w:ind w:firstLine="0" w:firstLineChars="0"/>
        <w:jc w:val="left"/>
      </w:pPr>
      <w:r>
        <w:br w:type="page"/>
      </w:r>
    </w:p>
    <w:p>
      <w:pPr>
        <w:pStyle w:val="5"/>
        <w:bidi w:val="0"/>
      </w:pPr>
      <w:bookmarkStart w:id="239" w:name="_Toc105600268"/>
      <w:bookmarkStart w:id="240" w:name="_Toc116121421"/>
      <w:bookmarkStart w:id="241" w:name="_Toc106727831"/>
      <w:bookmarkStart w:id="242" w:name="_Toc118293225"/>
      <w:bookmarkStart w:id="243" w:name="_Toc117181895"/>
      <w:bookmarkStart w:id="244" w:name="_Toc14220"/>
      <w:r>
        <w:rPr>
          <w:rFonts w:hint="eastAsia"/>
          <w:lang w:val="en-US" w:eastAsia="zh-CN"/>
        </w:rPr>
        <w:t>四、</w:t>
      </w:r>
      <w:r>
        <w:rPr>
          <w:rFonts w:hint="eastAsia"/>
        </w:rPr>
        <w:t>供货期的服务保障</w:t>
      </w:r>
      <w:bookmarkEnd w:id="239"/>
      <w:bookmarkEnd w:id="240"/>
      <w:bookmarkEnd w:id="241"/>
      <w:bookmarkEnd w:id="242"/>
      <w:bookmarkEnd w:id="243"/>
      <w:bookmarkEnd w:id="244"/>
    </w:p>
    <w:p>
      <w:pPr>
        <w:ind w:firstLine="480"/>
      </w:pPr>
      <w:r>
        <w:rPr>
          <w:rFonts w:hint="eastAsia"/>
        </w:rPr>
        <w:t>为更好完成本次项目，我公司成立了专项项目领导小组。</w:t>
      </w:r>
    </w:p>
    <w:p>
      <w:pPr>
        <w:ind w:firstLine="480"/>
      </w:pPr>
      <w:r>
        <w:rPr>
          <w:rFonts w:hint="eastAsia"/>
          <w:lang w:eastAsia="zh-CN"/>
        </w:rPr>
        <w:t>（</w:t>
      </w:r>
      <w:r>
        <w:rPr>
          <w:rFonts w:hint="eastAsia"/>
          <w:lang w:val="en-US" w:eastAsia="zh-CN"/>
        </w:rPr>
        <w:t>一</w:t>
      </w:r>
      <w:r>
        <w:rPr>
          <w:rFonts w:hint="eastAsia"/>
          <w:lang w:eastAsia="zh-CN"/>
        </w:rPr>
        <w:t>）</w:t>
      </w:r>
      <w:r>
        <w:rPr>
          <w:rFonts w:hint="eastAsia"/>
        </w:rPr>
        <w:t>成立项目实施小组。由李云光任组长，计划部、生产部经理任副组长，及各相关部门业务骨干为成员。</w:t>
      </w:r>
    </w:p>
    <w:p>
      <w:pPr>
        <w:ind w:firstLine="480"/>
      </w:pPr>
      <w:r>
        <w:rPr>
          <w:rFonts w:hint="eastAsia"/>
          <w:lang w:eastAsia="zh-CN"/>
        </w:rPr>
        <w:t>（</w:t>
      </w:r>
      <w:r>
        <w:rPr>
          <w:rFonts w:hint="eastAsia"/>
          <w:lang w:val="en-US" w:eastAsia="zh-CN"/>
        </w:rPr>
        <w:t>二</w:t>
      </w:r>
      <w:r>
        <w:rPr>
          <w:rFonts w:hint="eastAsia"/>
          <w:lang w:eastAsia="zh-CN"/>
        </w:rPr>
        <w:t>）</w:t>
      </w:r>
      <w:r>
        <w:rPr>
          <w:rFonts w:hint="eastAsia"/>
        </w:rPr>
        <w:t>计划部已备足原辅材料满足生产需要。</w:t>
      </w:r>
    </w:p>
    <w:p>
      <w:pPr>
        <w:ind w:firstLine="480"/>
      </w:pPr>
      <w:r>
        <w:rPr>
          <w:rFonts w:hint="eastAsia"/>
          <w:lang w:eastAsia="zh-CN"/>
        </w:rPr>
        <w:t>（</w:t>
      </w:r>
      <w:r>
        <w:rPr>
          <w:rFonts w:hint="eastAsia"/>
          <w:lang w:val="en-US" w:eastAsia="zh-CN"/>
        </w:rPr>
        <w:t>三</w:t>
      </w:r>
      <w:r>
        <w:rPr>
          <w:rFonts w:hint="eastAsia"/>
          <w:lang w:eastAsia="zh-CN"/>
        </w:rPr>
        <w:t>）</w:t>
      </w:r>
      <w:r>
        <w:rPr>
          <w:rFonts w:hint="eastAsia"/>
        </w:rPr>
        <w:t>生产部的一线员工按整体生产计划积极加班加点，保质保量完成生产任务。</w:t>
      </w:r>
    </w:p>
    <w:p>
      <w:pPr>
        <w:ind w:firstLine="480"/>
      </w:pPr>
      <w:r>
        <w:rPr>
          <w:rFonts w:hint="eastAsia"/>
          <w:lang w:eastAsia="zh-CN"/>
        </w:rPr>
        <w:t>（</w:t>
      </w:r>
      <w:r>
        <w:rPr>
          <w:rFonts w:hint="eastAsia"/>
          <w:lang w:val="en-US" w:eastAsia="zh-CN"/>
        </w:rPr>
        <w:t>四</w:t>
      </w:r>
      <w:r>
        <w:rPr>
          <w:rFonts w:hint="eastAsia"/>
          <w:lang w:eastAsia="zh-CN"/>
        </w:rPr>
        <w:t>）</w:t>
      </w:r>
      <w:r>
        <w:rPr>
          <w:rFonts w:hint="eastAsia"/>
        </w:rPr>
        <w:t>物流部门做好了充分准备，为此次项目货物运输等工作做了详细预案，确保中标货物及时供应。</w:t>
      </w:r>
    </w:p>
    <w:p>
      <w:pPr>
        <w:ind w:firstLine="480"/>
      </w:pPr>
      <w:r>
        <w:rPr>
          <w:rFonts w:hint="eastAsia"/>
          <w:lang w:val="en-US" w:eastAsia="zh-CN"/>
        </w:rPr>
        <w:t>1、</w:t>
      </w:r>
      <w:r>
        <w:rPr>
          <w:rFonts w:hint="eastAsia"/>
        </w:rPr>
        <w:t>我公司承诺：</w:t>
      </w:r>
    </w:p>
    <w:p>
      <w:pPr>
        <w:ind w:firstLine="480"/>
      </w:pPr>
      <w:r>
        <w:rPr>
          <w:rFonts w:hint="eastAsia"/>
        </w:rPr>
        <w:t>★合同履行期限：合同签订后，</w:t>
      </w:r>
      <w:r>
        <w:t>15日历天内全部交清</w:t>
      </w:r>
      <w:r>
        <w:rPr>
          <w:rFonts w:hint="eastAsia"/>
        </w:rPr>
        <w:t>。</w:t>
      </w:r>
    </w:p>
    <w:p>
      <w:pPr>
        <w:ind w:firstLine="480"/>
      </w:pPr>
      <w:r>
        <w:rPr>
          <w:rFonts w:hint="eastAsia"/>
        </w:rPr>
        <w:t>★供货地点：采购人指定地点。</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★投标产品质量标准：按</w:t>
      </w:r>
      <w:r>
        <w:rPr>
          <w:color w:val="000000" w:themeColor="text1"/>
          <w14:textFill>
            <w14:solidFill>
              <w14:schemeClr w14:val="tx1"/>
            </w14:solidFill>
          </w14:textFill>
        </w:rPr>
        <w:t>NY884_2012的标准执行</w:t>
      </w:r>
      <w:r>
        <w:rPr>
          <w:rFonts w:hint="eastAsia"/>
          <w:color w:val="000000" w:themeColor="text1"/>
          <w14:textFill>
            <w14:solidFill>
              <w14:schemeClr w14:val="tx1"/>
            </w14:solidFill>
          </w14:textFill>
        </w:rPr>
        <w:t>。</w:t>
      </w:r>
    </w:p>
    <w:tbl>
      <w:tblPr>
        <w:tblStyle w:val="34"/>
        <w:tblW w:w="83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5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12" w:type="dxa"/>
            <w:gridSpan w:val="2"/>
            <w:shd w:val="clear" w:color="auto" w:fill="B4C6E7" w:themeFill="accent5" w:themeFillTint="66"/>
            <w:vAlign w:val="center"/>
          </w:tcPr>
          <w:p>
            <w:pPr>
              <w:pStyle w:val="53"/>
              <w:widowControl w:val="0"/>
              <w:ind w:firstLine="402"/>
              <w:rPr>
                <w:b/>
                <w:color w:val="F8CBAD" w:themeColor="accent2" w:themeTint="66"/>
                <w:kern w:val="0"/>
                <w14:textOutline w14:w="11112" w14:cap="flat" w14:cmpd="sng" w14:algn="ctr">
                  <w14:solidFill>
                    <w14:schemeClr w14:val="accent2"/>
                  </w14:solidFill>
                  <w14:prstDash w14:val="solid"/>
                  <w14:round/>
                </w14:textOutline>
                <w14:textFill>
                  <w14:solidFill>
                    <w14:schemeClr w14:val="accent2">
                      <w14:lumMod w14:val="40000"/>
                      <w14:lumOff w14:val="60000"/>
                    </w14:schemeClr>
                  </w14:solidFill>
                </w14:textFill>
              </w:rPr>
            </w:pPr>
            <w:r>
              <w:rPr>
                <w:rFonts w:hint="eastAsia"/>
              </w:rPr>
              <w:t>生物有机肥产品技术指标要求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ind w:firstLine="400"/>
              <w:rPr>
                <w:kern w:val="0"/>
              </w:rPr>
            </w:pPr>
            <w:r>
              <w:rPr>
                <w:rFonts w:hint="eastAsia"/>
                <w:kern w:val="0"/>
              </w:rPr>
              <w:t>项目</w:t>
            </w:r>
          </w:p>
        </w:tc>
        <w:tc>
          <w:tcPr>
            <w:tcW w:w="5198" w:type="dxa"/>
            <w:vAlign w:val="center"/>
          </w:tcPr>
          <w:p>
            <w:pPr>
              <w:pStyle w:val="53"/>
              <w:widowControl w:val="0"/>
              <w:ind w:firstLine="400"/>
              <w:rPr>
                <w:kern w:val="0"/>
              </w:rPr>
            </w:pPr>
            <w:r>
              <w:rPr>
                <w:rFonts w:hint="eastAsia"/>
                <w:kern w:val="0"/>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ind w:firstLine="400"/>
              <w:rPr>
                <w:kern w:val="0"/>
              </w:rPr>
            </w:pPr>
            <w:r>
              <w:rPr>
                <w:rFonts w:hint="eastAsia"/>
                <w:kern w:val="0"/>
              </w:rPr>
              <w:t>有效活菌数</w:t>
            </w:r>
            <w:r>
              <w:rPr>
                <w:rFonts w:hint="eastAsia"/>
                <w:kern w:val="0"/>
                <w:lang w:eastAsia="zh-CN"/>
              </w:rPr>
              <w:t>（</w:t>
            </w:r>
            <w:r>
              <w:rPr>
                <w:rFonts w:hint="eastAsia"/>
                <w:kern w:val="0"/>
              </w:rPr>
              <w:t>cfu</w:t>
            </w:r>
            <w:r>
              <w:rPr>
                <w:rFonts w:hint="eastAsia"/>
                <w:kern w:val="0"/>
                <w:lang w:eastAsia="zh-CN"/>
              </w:rPr>
              <w:t>）</w:t>
            </w:r>
            <w:r>
              <w:rPr>
                <w:rFonts w:hint="eastAsia"/>
                <w:kern w:val="0"/>
              </w:rPr>
              <w:t>，亿/g</w:t>
            </w:r>
          </w:p>
        </w:tc>
        <w:tc>
          <w:tcPr>
            <w:tcW w:w="5198" w:type="dxa"/>
            <w:vAlign w:val="center"/>
          </w:tcPr>
          <w:p>
            <w:pPr>
              <w:pStyle w:val="53"/>
              <w:widowControl w:val="0"/>
              <w:ind w:firstLine="400"/>
              <w:rPr>
                <w:kern w:val="0"/>
              </w:rPr>
            </w:pPr>
            <w:r>
              <w:rPr>
                <w:rFonts w:hint="eastAsia"/>
                <w:kern w:val="0"/>
              </w:rPr>
              <w:t>≥</w:t>
            </w:r>
            <w:r>
              <w:rPr>
                <w:kern w:val="0"/>
              </w:rPr>
              <w:t>0.2亿/g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ind w:firstLine="400"/>
              <w:rPr>
                <w:kern w:val="0"/>
              </w:rPr>
            </w:pPr>
            <w:r>
              <w:rPr>
                <w:rFonts w:hint="eastAsia"/>
                <w:kern w:val="0"/>
              </w:rPr>
              <w:t>有机质（以干基计），%</w:t>
            </w:r>
          </w:p>
        </w:tc>
        <w:tc>
          <w:tcPr>
            <w:tcW w:w="5198" w:type="dxa"/>
            <w:vAlign w:val="center"/>
          </w:tcPr>
          <w:p>
            <w:pPr>
              <w:pStyle w:val="53"/>
              <w:widowControl w:val="0"/>
              <w:ind w:firstLine="400"/>
              <w:rPr>
                <w:kern w:val="0"/>
              </w:rPr>
            </w:pPr>
            <w:r>
              <w:rPr>
                <w:rFonts w:hint="eastAsia"/>
                <w:kern w:val="0"/>
              </w:rPr>
              <w:t>≥</w:t>
            </w:r>
            <w:r>
              <w:rPr>
                <w:kern w:val="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ind w:firstLine="400"/>
              <w:rPr>
                <w:kern w:val="0"/>
              </w:rPr>
            </w:pPr>
            <w:r>
              <w:rPr>
                <w:rFonts w:hint="eastAsia"/>
                <w:kern w:val="0"/>
              </w:rPr>
              <w:t>水分，%</w:t>
            </w:r>
          </w:p>
        </w:tc>
        <w:tc>
          <w:tcPr>
            <w:tcW w:w="5198" w:type="dxa"/>
            <w:vAlign w:val="center"/>
          </w:tcPr>
          <w:p>
            <w:pPr>
              <w:pStyle w:val="53"/>
              <w:widowControl w:val="0"/>
              <w:ind w:firstLine="400"/>
              <w:rPr>
                <w:kern w:val="0"/>
              </w:rPr>
            </w:pPr>
            <w:r>
              <w:rPr>
                <w:rFonts w:hint="eastAsia"/>
                <w:kern w:val="0"/>
              </w:rPr>
              <w:t>≤</w:t>
            </w:r>
            <w:r>
              <w:rPr>
                <w:kern w:val="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ind w:firstLine="400"/>
              <w:rPr>
                <w:kern w:val="0"/>
              </w:rPr>
            </w:pPr>
            <w:r>
              <w:rPr>
                <w:rFonts w:hint="eastAsia"/>
                <w:kern w:val="0"/>
              </w:rPr>
              <w:t>pH值</w:t>
            </w:r>
          </w:p>
        </w:tc>
        <w:tc>
          <w:tcPr>
            <w:tcW w:w="5198" w:type="dxa"/>
            <w:vAlign w:val="center"/>
          </w:tcPr>
          <w:p>
            <w:pPr>
              <w:pStyle w:val="53"/>
              <w:widowControl w:val="0"/>
              <w:ind w:firstLine="400"/>
              <w:rPr>
                <w:kern w:val="0"/>
              </w:rPr>
            </w:pPr>
            <w:r>
              <w:rPr>
                <w:kern w:val="0"/>
              </w:rPr>
              <w:t>5.5-8.5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ind w:firstLine="400"/>
              <w:rPr>
                <w:kern w:val="0"/>
              </w:rPr>
            </w:pPr>
            <w:r>
              <w:rPr>
                <w:rFonts w:hint="eastAsia"/>
                <w:kern w:val="0"/>
              </w:rPr>
              <w:t>粪大肠菌群数，个/g</w:t>
            </w:r>
          </w:p>
        </w:tc>
        <w:tc>
          <w:tcPr>
            <w:tcW w:w="5198" w:type="dxa"/>
            <w:vAlign w:val="center"/>
          </w:tcPr>
          <w:p>
            <w:pPr>
              <w:pStyle w:val="53"/>
              <w:widowControl w:val="0"/>
              <w:rPr>
                <w:kern w:val="0"/>
              </w:rPr>
            </w:pPr>
            <w:r>
              <w:rPr>
                <w:rFonts w:hint="eastAsia"/>
                <w:kern w:val="0"/>
              </w:rPr>
              <w:t>≤</w:t>
            </w:r>
            <w:r>
              <w:rPr>
                <w:kern w:val="0"/>
              </w:rPr>
              <w:t>100个/g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rPr>
                <w:kern w:val="0"/>
              </w:rPr>
            </w:pPr>
            <w:r>
              <w:rPr>
                <w:rFonts w:hint="eastAsia"/>
                <w:kern w:val="0"/>
              </w:rPr>
              <w:t>蛔虫卵死亡率，%</w:t>
            </w:r>
          </w:p>
        </w:tc>
        <w:tc>
          <w:tcPr>
            <w:tcW w:w="5198" w:type="dxa"/>
            <w:vAlign w:val="center"/>
          </w:tcPr>
          <w:p>
            <w:pPr>
              <w:pStyle w:val="53"/>
              <w:widowControl w:val="0"/>
              <w:rPr>
                <w:kern w:val="0"/>
              </w:rPr>
            </w:pPr>
            <w:r>
              <w:rPr>
                <w:rFonts w:hint="eastAsia"/>
                <w:kern w:val="0"/>
              </w:rPr>
              <w:t>≥</w:t>
            </w:r>
            <w:r>
              <w:rPr>
                <w:kern w:val="0"/>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rPr>
                <w:kern w:val="0"/>
              </w:rPr>
            </w:pPr>
            <w:r>
              <w:rPr>
                <w:rFonts w:hint="eastAsia"/>
                <w:kern w:val="0"/>
              </w:rPr>
              <w:t>总</w:t>
            </w:r>
            <w:r>
              <w:rPr>
                <w:kern w:val="0"/>
              </w:rPr>
              <w:t>AS</w:t>
            </w:r>
          </w:p>
        </w:tc>
        <w:tc>
          <w:tcPr>
            <w:tcW w:w="5198" w:type="dxa"/>
            <w:vAlign w:val="center"/>
          </w:tcPr>
          <w:p>
            <w:pPr>
              <w:pStyle w:val="53"/>
              <w:widowControl w:val="0"/>
              <w:rPr>
                <w:kern w:val="0"/>
              </w:rPr>
            </w:pPr>
            <w:r>
              <w:rPr>
                <w:rFonts w:hint="eastAsia"/>
                <w:kern w:val="0"/>
              </w:rPr>
              <w:t>≤</w:t>
            </w:r>
            <w:r>
              <w:rPr>
                <w:kern w:val="0"/>
              </w:rPr>
              <w:t>15mg/kg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rPr>
                <w:kern w:val="0"/>
              </w:rPr>
            </w:pPr>
            <w:r>
              <w:rPr>
                <w:rFonts w:hint="eastAsia"/>
                <w:kern w:val="0"/>
              </w:rPr>
              <w:t>总</w:t>
            </w:r>
            <w:r>
              <w:rPr>
                <w:kern w:val="0"/>
              </w:rPr>
              <w:t>Cd</w:t>
            </w:r>
          </w:p>
        </w:tc>
        <w:tc>
          <w:tcPr>
            <w:tcW w:w="5198" w:type="dxa"/>
            <w:vAlign w:val="center"/>
          </w:tcPr>
          <w:p>
            <w:pPr>
              <w:pStyle w:val="53"/>
              <w:widowControl w:val="0"/>
              <w:rPr>
                <w:kern w:val="0"/>
              </w:rPr>
            </w:pPr>
            <w:r>
              <w:rPr>
                <w:rFonts w:hint="eastAsia"/>
                <w:kern w:val="0"/>
              </w:rPr>
              <w:t>≤</w:t>
            </w:r>
            <w:r>
              <w:rPr>
                <w:kern w:val="0"/>
              </w:rPr>
              <w:t>3mg/kg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rPr>
                <w:kern w:val="0"/>
              </w:rPr>
            </w:pPr>
            <w:r>
              <w:rPr>
                <w:rFonts w:hint="eastAsia"/>
                <w:kern w:val="0"/>
              </w:rPr>
              <w:t>总</w:t>
            </w:r>
            <w:r>
              <w:rPr>
                <w:kern w:val="0"/>
              </w:rPr>
              <w:t>Pb</w:t>
            </w:r>
          </w:p>
        </w:tc>
        <w:tc>
          <w:tcPr>
            <w:tcW w:w="5198" w:type="dxa"/>
            <w:vAlign w:val="center"/>
          </w:tcPr>
          <w:p>
            <w:pPr>
              <w:pStyle w:val="53"/>
              <w:widowControl w:val="0"/>
              <w:rPr>
                <w:kern w:val="0"/>
              </w:rPr>
            </w:pPr>
            <w:r>
              <w:rPr>
                <w:kern w:val="0"/>
              </w:rPr>
              <w:t>≤50mg/kg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rPr>
                <w:kern w:val="0"/>
              </w:rPr>
            </w:pPr>
            <w:r>
              <w:rPr>
                <w:rFonts w:hint="eastAsia"/>
                <w:kern w:val="0"/>
              </w:rPr>
              <w:t>总</w:t>
            </w:r>
            <w:r>
              <w:rPr>
                <w:kern w:val="0"/>
              </w:rPr>
              <w:t>Cr</w:t>
            </w:r>
          </w:p>
        </w:tc>
        <w:tc>
          <w:tcPr>
            <w:tcW w:w="5198" w:type="dxa"/>
            <w:vAlign w:val="center"/>
          </w:tcPr>
          <w:p>
            <w:pPr>
              <w:pStyle w:val="53"/>
              <w:widowControl w:val="0"/>
              <w:rPr>
                <w:kern w:val="0"/>
              </w:rPr>
            </w:pPr>
            <w:r>
              <w:rPr>
                <w:kern w:val="0"/>
              </w:rPr>
              <w:t>150mg/kg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rPr>
                <w:kern w:val="0"/>
              </w:rPr>
            </w:pPr>
            <w:r>
              <w:rPr>
                <w:rFonts w:hint="eastAsia"/>
                <w:kern w:val="0"/>
              </w:rPr>
              <w:t>总</w:t>
            </w:r>
            <w:r>
              <w:rPr>
                <w:kern w:val="0"/>
              </w:rPr>
              <w:t>Hg</w:t>
            </w:r>
          </w:p>
        </w:tc>
        <w:tc>
          <w:tcPr>
            <w:tcW w:w="5198" w:type="dxa"/>
            <w:vAlign w:val="center"/>
          </w:tcPr>
          <w:p>
            <w:pPr>
              <w:pStyle w:val="53"/>
              <w:widowControl w:val="0"/>
              <w:rPr>
                <w:kern w:val="0"/>
              </w:rPr>
            </w:pPr>
            <w:r>
              <w:rPr>
                <w:rFonts w:hint="eastAsia"/>
                <w:kern w:val="0"/>
              </w:rPr>
              <w:t>≤</w:t>
            </w:r>
            <w:r>
              <w:rPr>
                <w:kern w:val="0"/>
              </w:rPr>
              <w:t>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rPr>
                <w:kern w:val="0"/>
              </w:rPr>
            </w:pPr>
            <w:r>
              <w:rPr>
                <w:rFonts w:hint="eastAsia"/>
                <w:kern w:val="0"/>
              </w:rPr>
              <w:t>种子发芽成活率</w:t>
            </w:r>
          </w:p>
        </w:tc>
        <w:tc>
          <w:tcPr>
            <w:tcW w:w="5198" w:type="dxa"/>
            <w:vAlign w:val="center"/>
          </w:tcPr>
          <w:p>
            <w:pPr>
              <w:pStyle w:val="53"/>
              <w:widowControl w:val="0"/>
              <w:rPr>
                <w:kern w:val="0"/>
              </w:rPr>
            </w:pPr>
            <w:r>
              <w:rPr>
                <w:rFonts w:hint="eastAsia"/>
                <w:kern w:val="0"/>
              </w:rPr>
              <w:t>≥</w:t>
            </w:r>
            <w:r>
              <w:rPr>
                <w:kern w:val="0"/>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rPr>
                <w:kern w:val="0"/>
              </w:rPr>
            </w:pPr>
            <w:r>
              <w:rPr>
                <w:rFonts w:hint="eastAsia"/>
                <w:kern w:val="0"/>
              </w:rPr>
              <w:t>规格</w:t>
            </w:r>
          </w:p>
        </w:tc>
        <w:tc>
          <w:tcPr>
            <w:tcW w:w="5198" w:type="dxa"/>
            <w:vAlign w:val="center"/>
          </w:tcPr>
          <w:p>
            <w:pPr>
              <w:pStyle w:val="53"/>
              <w:widowControl w:val="0"/>
              <w:rPr>
                <w:kern w:val="0"/>
              </w:rPr>
            </w:pPr>
            <w:r>
              <w:rPr>
                <w:kern w:val="0"/>
              </w:rPr>
              <w:t>40kg/袋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rPr>
                <w:kern w:val="0"/>
              </w:rPr>
            </w:pPr>
            <w:r>
              <w:rPr>
                <w:rFonts w:hint="eastAsia"/>
                <w:kern w:val="0"/>
              </w:rPr>
              <w:t>有效期，月</w:t>
            </w:r>
          </w:p>
        </w:tc>
        <w:tc>
          <w:tcPr>
            <w:tcW w:w="5198" w:type="dxa"/>
            <w:vAlign w:val="center"/>
          </w:tcPr>
          <w:p>
            <w:pPr>
              <w:pStyle w:val="53"/>
              <w:widowControl w:val="0"/>
              <w:rPr>
                <w:kern w:val="0"/>
              </w:rPr>
            </w:pPr>
            <w:r>
              <w:rPr>
                <w:kern w:val="0"/>
              </w:rPr>
              <w:t>12</w:t>
            </w:r>
          </w:p>
        </w:tc>
      </w:tr>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生物有机肥原料为植物源，杜绝使用水库、河道、池塘和有机城市垃圾等作为原料，不存在添加“褐煤”“畜禽粪便”的情况，确保重金属含量不超标，长期使用无残留、无毒、无副作用。</w:t>
      </w:r>
    </w:p>
    <w:p>
      <w:pPr>
        <w:ind w:firstLine="480"/>
      </w:pPr>
      <w:r>
        <w:rPr>
          <w:rFonts w:hint="eastAsia"/>
        </w:rPr>
        <w:t>签订供货合同后，我单位将根据采购文件和合同制定供货数量进行贮备生产并库存产品，合理调配生产线，优先生产本项目所需产品，并根据提供出厂产品的检测报告、合格证书及相关技术资料。</w:t>
      </w:r>
    </w:p>
    <w:p>
      <w:pPr>
        <w:ind w:firstLine="480"/>
      </w:pPr>
      <w:r>
        <w:rPr>
          <w:rFonts w:hint="eastAsia"/>
          <w:lang w:val="en-US" w:eastAsia="zh-CN"/>
        </w:rPr>
        <w:t>2、</w:t>
      </w:r>
      <w:r>
        <w:rPr>
          <w:rFonts w:hint="eastAsia"/>
        </w:rPr>
        <w:t>产品入库计划</w:t>
      </w:r>
    </w:p>
    <w:p>
      <w:pPr>
        <w:ind w:firstLine="480"/>
      </w:pPr>
      <w:r>
        <w:rPr>
          <w:rFonts w:hint="eastAsia"/>
        </w:rPr>
        <w:t>采购产手必需经检验合格后才能入库,入时由生产间填写《产入库单》</w:t>
      </w:r>
      <w:r>
        <w:rPr>
          <w:rFonts w:hint="eastAsia"/>
          <w:lang w:eastAsia="zh-CN"/>
        </w:rPr>
        <w:t>（</w:t>
      </w:r>
      <w:r>
        <w:rPr>
          <w:rFonts w:hint="eastAsia"/>
        </w:rPr>
        <w:t>品名、型哥、规格、数量、批号</w:t>
      </w:r>
      <w:r>
        <w:rPr>
          <w:rFonts w:hint="eastAsia"/>
          <w:lang w:eastAsia="zh-CN"/>
        </w:rPr>
        <w:t>）</w:t>
      </w:r>
      <w:r>
        <w:rPr>
          <w:rFonts w:hint="eastAsia"/>
        </w:rPr>
        <w:t>,《产品入库单》上必须有生产车间的的签字，仓储部仓管人员根《产品入库单》上的内容,与突际产品进行核对,相符后将产品入库。</w:t>
      </w:r>
    </w:p>
    <w:p>
      <w:pPr>
        <w:ind w:firstLine="480"/>
      </w:pPr>
      <w:r>
        <w:rPr>
          <w:rFonts w:hint="eastAsia"/>
        </w:rPr>
        <w:t>《产品入库单》一式三联,由生产车间、仓库和营销部各保留一联。产品入库时,仓储部仓管人员必须及时将脑中的入库单进行审核。退货产品按《退货产品处理规定》办理。</w:t>
      </w:r>
    </w:p>
    <w:p>
      <w:pPr>
        <w:ind w:firstLine="480"/>
      </w:pPr>
      <w:r>
        <w:rPr>
          <w:rFonts w:hint="eastAsia"/>
        </w:rPr>
        <w:t>★对项目的理解程度：我公司已熟悉采购文件及采购单位的需求，完全响应招标单位的采购要求，保证我公司对该项目的实施做好充分充足的准备。</w:t>
      </w:r>
    </w:p>
    <w:p>
      <w:pPr>
        <w:ind w:firstLine="480"/>
      </w:pPr>
      <w:r>
        <w:rPr>
          <w:rFonts w:hint="eastAsia"/>
        </w:rPr>
        <w:t>生物有机肥生产原料繁多，按照</w:t>
      </w:r>
      <w:r>
        <w:t>NY884_2012标准中对</w:t>
      </w:r>
      <w:r>
        <w:rPr>
          <w:rFonts w:hint="eastAsia"/>
        </w:rPr>
        <w:t>生物</w:t>
      </w:r>
      <w:r>
        <w:t>有机肥生产原料应遵循“安全、卫生、稳定、有效”的基本原则及原料按目录分类管理的要求，将</w:t>
      </w:r>
      <w:r>
        <w:rPr>
          <w:rFonts w:hint="eastAsia"/>
        </w:rPr>
        <w:t>生物</w:t>
      </w:r>
      <w:r>
        <w:t>有机肥物料来源作为控制性质量指标</w:t>
      </w:r>
    </w:p>
    <w:p>
      <w:pPr>
        <w:pStyle w:val="5"/>
        <w:bidi w:val="0"/>
      </w:pPr>
      <w:bookmarkStart w:id="245" w:name="_Toc106727832"/>
      <w:bookmarkStart w:id="246" w:name="_Toc117181896"/>
      <w:bookmarkStart w:id="247" w:name="_Toc105600269"/>
      <w:bookmarkStart w:id="248" w:name="_Toc116121422"/>
      <w:bookmarkStart w:id="249" w:name="_Toc118293226"/>
      <w:bookmarkStart w:id="250" w:name="_Toc1086"/>
      <w:r>
        <w:rPr>
          <w:rFonts w:hint="eastAsia"/>
          <w:lang w:val="en-US" w:eastAsia="zh-CN"/>
        </w:rPr>
        <w:t>五、</w:t>
      </w:r>
      <w:r>
        <w:rPr>
          <w:rFonts w:hint="eastAsia"/>
        </w:rPr>
        <w:t>项目供货</w:t>
      </w:r>
      <w:bookmarkEnd w:id="245"/>
      <w:bookmarkEnd w:id="246"/>
      <w:bookmarkEnd w:id="247"/>
      <w:bookmarkEnd w:id="248"/>
      <w:bookmarkEnd w:id="249"/>
      <w:bookmarkEnd w:id="250"/>
    </w:p>
    <w:p>
      <w:pPr>
        <w:ind w:firstLine="480"/>
      </w:pPr>
      <w:r>
        <w:rPr>
          <w:rFonts w:hint="eastAsia"/>
        </w:rPr>
        <w:t>我公司与项目单位签订合同后，将立即完成备货的工作。在供货期间，我公司将密切跟踪货物生产、运输情况。我们将以到货情况跟踪表的形式，定期向项目单位通报一次到货情况。</w:t>
      </w:r>
    </w:p>
    <w:p>
      <w:pPr>
        <w:ind w:firstLine="480"/>
        <w:rPr>
          <w:rFonts w:hint="eastAsia" w:eastAsia="宋体"/>
          <w:lang w:eastAsia="zh-CN"/>
        </w:rPr>
      </w:pPr>
      <w:r>
        <w:rPr>
          <w:rFonts w:hint="eastAsia"/>
        </w:rPr>
        <w:t>在供货阶段，我们遵循以下原则：</w:t>
      </w:r>
    </w:p>
    <w:p>
      <w:pPr>
        <w:ind w:firstLine="480"/>
        <w:rPr>
          <w:rFonts w:hint="eastAsia" w:eastAsia="宋体"/>
          <w:lang w:eastAsia="zh-CN"/>
        </w:rPr>
      </w:pPr>
      <w:r>
        <w:rPr>
          <w:rFonts w:hint="eastAsia"/>
          <w:lang w:eastAsia="zh-CN"/>
        </w:rPr>
        <w:t>（</w:t>
      </w:r>
      <w:r>
        <w:rPr>
          <w:rFonts w:hint="eastAsia"/>
          <w:lang w:val="en-US" w:eastAsia="zh-CN"/>
        </w:rPr>
        <w:t>一</w:t>
      </w:r>
      <w:r>
        <w:rPr>
          <w:rFonts w:hint="eastAsia"/>
          <w:lang w:eastAsia="zh-CN"/>
        </w:rPr>
        <w:t>）</w:t>
      </w:r>
      <w:r>
        <w:rPr>
          <w:rFonts w:hint="eastAsia"/>
        </w:rPr>
        <w:t>在所有有机肥的运输过程中，我们将严格按标准保护措施进行包装，包装符合远距离运输、防潮、防水和防野蛮装卸等要求，能确保货物安全无损地运抵目的地。</w:t>
      </w:r>
    </w:p>
    <w:p>
      <w:pPr>
        <w:ind w:firstLine="480"/>
        <w:rPr>
          <w:rFonts w:hint="eastAsia" w:eastAsia="宋体"/>
          <w:lang w:eastAsia="zh-CN"/>
        </w:rPr>
      </w:pPr>
      <w:r>
        <w:rPr>
          <w:rFonts w:hint="eastAsia"/>
          <w:lang w:eastAsia="zh-CN"/>
        </w:rPr>
        <w:t>（</w:t>
      </w:r>
      <w:r>
        <w:rPr>
          <w:rFonts w:hint="eastAsia"/>
          <w:lang w:val="en-US" w:eastAsia="zh-CN"/>
        </w:rPr>
        <w:t>二</w:t>
      </w:r>
      <w:r>
        <w:rPr>
          <w:rFonts w:hint="eastAsia"/>
          <w:lang w:eastAsia="zh-CN"/>
        </w:rPr>
        <w:t>）</w:t>
      </w:r>
      <w:r>
        <w:rPr>
          <w:rFonts w:hint="eastAsia"/>
        </w:rPr>
        <w:t>我公司负责运输和支付运费、保险费，确保按照合同规定的交货期交货。</w:t>
      </w:r>
    </w:p>
    <w:p>
      <w:pPr>
        <w:ind w:firstLine="480"/>
        <w:rPr>
          <w:rFonts w:hint="eastAsia" w:eastAsia="宋体"/>
          <w:lang w:eastAsia="zh-CN"/>
        </w:rPr>
      </w:pPr>
      <w:r>
        <w:rPr>
          <w:rFonts w:hint="eastAsia"/>
          <w:lang w:eastAsia="zh-CN"/>
        </w:rPr>
        <w:t>（</w:t>
      </w:r>
      <w:r>
        <w:rPr>
          <w:rFonts w:hint="eastAsia"/>
          <w:lang w:val="en-US" w:eastAsia="zh-CN"/>
        </w:rPr>
        <w:t>三</w:t>
      </w:r>
      <w:r>
        <w:rPr>
          <w:rFonts w:hint="eastAsia"/>
          <w:lang w:eastAsia="zh-CN"/>
        </w:rPr>
        <w:t>）</w:t>
      </w:r>
      <w:r>
        <w:rPr>
          <w:rFonts w:hint="eastAsia"/>
        </w:rPr>
        <w:t>货物收据签收日期视为实际交货日期。</w:t>
      </w:r>
    </w:p>
    <w:p>
      <w:pPr>
        <w:ind w:firstLine="480"/>
      </w:pPr>
      <w:r>
        <w:rPr>
          <w:rFonts w:hint="eastAsia"/>
          <w:lang w:eastAsia="zh-CN"/>
        </w:rPr>
        <w:t>（</w:t>
      </w:r>
      <w:r>
        <w:rPr>
          <w:rFonts w:hint="eastAsia"/>
          <w:lang w:val="en-US" w:eastAsia="zh-CN"/>
        </w:rPr>
        <w:t>四</w:t>
      </w:r>
      <w:r>
        <w:rPr>
          <w:rFonts w:hint="eastAsia"/>
          <w:lang w:eastAsia="zh-CN"/>
        </w:rPr>
        <w:t>）</w:t>
      </w:r>
      <w:r>
        <w:rPr>
          <w:rFonts w:hint="eastAsia"/>
        </w:rPr>
        <w:t>项目现场以合同条款资料表中规定为准。</w:t>
      </w:r>
    </w:p>
    <w:p>
      <w:pPr>
        <w:ind w:firstLine="480"/>
      </w:pPr>
      <w:r>
        <w:rPr>
          <w:rFonts w:hint="eastAsia"/>
          <w:lang w:eastAsia="zh-CN"/>
        </w:rPr>
        <w:t>（</w:t>
      </w:r>
      <w:r>
        <w:rPr>
          <w:rFonts w:hint="eastAsia"/>
          <w:lang w:val="en-US" w:eastAsia="zh-CN"/>
        </w:rPr>
        <w:t>五</w:t>
      </w:r>
      <w:r>
        <w:rPr>
          <w:rFonts w:hint="eastAsia"/>
          <w:lang w:eastAsia="zh-CN"/>
        </w:rPr>
        <w:t>）</w:t>
      </w:r>
      <w:r>
        <w:rPr>
          <w:rFonts w:hint="eastAsia"/>
        </w:rPr>
        <w:t>业主方组织可专家到生产企业现场考察并随机对原材料及成品取样，合格后再签订供货合同。</w:t>
      </w:r>
    </w:p>
    <w:p>
      <w:pPr>
        <w:pStyle w:val="5"/>
        <w:bidi w:val="0"/>
      </w:pPr>
      <w:bookmarkStart w:id="251" w:name="_Toc118293227"/>
      <w:bookmarkStart w:id="252" w:name="_Toc117181897"/>
      <w:bookmarkStart w:id="253" w:name="_Toc19860"/>
      <w:bookmarkStart w:id="254" w:name="_Toc106727833"/>
      <w:bookmarkStart w:id="255" w:name="_Toc105600270"/>
      <w:bookmarkStart w:id="256" w:name="_Toc116121423"/>
      <w:r>
        <w:rPr>
          <w:rFonts w:hint="eastAsia"/>
          <w:lang w:val="en-US" w:eastAsia="zh-CN"/>
        </w:rPr>
        <w:t>六、</w:t>
      </w:r>
      <w:r>
        <w:rPr>
          <w:rFonts w:hint="eastAsia"/>
        </w:rPr>
        <w:t>供货与验收要求</w:t>
      </w:r>
      <w:bookmarkEnd w:id="251"/>
      <w:bookmarkEnd w:id="252"/>
      <w:bookmarkEnd w:id="253"/>
      <w:bookmarkEnd w:id="254"/>
      <w:bookmarkEnd w:id="255"/>
      <w:bookmarkEnd w:id="256"/>
    </w:p>
    <w:p>
      <w:pPr>
        <w:ind w:firstLine="480"/>
      </w:pPr>
      <w:r>
        <w:rPr>
          <w:rFonts w:hint="eastAsia"/>
        </w:rPr>
        <w:t>技术支持小组在抵达客户现场后，与客户一同组织有机肥验收，包括确认货物是否符合招标文件规格要求、及开箱是否有质量问题的过程，如发现货物的质量、规格或数量与合同不符，则报商务小组处理。如果检测与验收合格，则请客户在相应有机肥验收表单上签字验收。</w:t>
      </w:r>
    </w:p>
    <w:p>
      <w:pPr>
        <w:ind w:firstLine="480"/>
      </w:pPr>
      <w:r>
        <w:rPr>
          <w:rFonts w:hint="eastAsia"/>
        </w:rPr>
        <w:t>有机肥的开箱检验一般经过包装检查、称重验收三个环节，包装检查必须在货物未开箱前进行，见《运输装验收清单》。有机肥的清点是指对开箱后的有机肥情况进行检查和清点，确保货物没有受潮，见《有机肥到货验收清单》。其中主要针对所到的有机肥指标及规格是否符合招标文件相关参数要求。其中运输包装检查和有机肥清点两个环节由客户执行，如果客户通知我公司，而我公司有指派相应人员到场，则由双方共同进行。</w:t>
      </w:r>
    </w:p>
    <w:p>
      <w:pPr>
        <w:ind w:firstLine="480"/>
      </w:pPr>
      <w:r>
        <w:rPr>
          <w:rFonts w:hint="eastAsia"/>
        </w:rPr>
        <w:t>我单位保证按照投标文件中明确的相关承诺及产品质量进行供货，采购人也按相同的标准进行验收。采购人有权对产品进行抽检，在供货过程中随机抽取1个样品，按照《生物有机肥（</w:t>
      </w:r>
      <w:r>
        <w:t>NY884_2012</w:t>
      </w:r>
      <w:r>
        <w:rPr>
          <w:rFonts w:hint="eastAsia"/>
        </w:rPr>
        <w:t>）》送检检验相关技术指标及限量指标合格（由我单位负责送检费用），若发现存在检测结果与投标文件承诺不一致的，视为我单位质量违约，采购人拒签合同并追究我单位因此造成的损失及责任。</w:t>
      </w:r>
    </w:p>
    <w:p>
      <w:pPr>
        <w:ind w:firstLine="480"/>
      </w:pPr>
      <w:r>
        <w:rPr>
          <w:rFonts w:hint="eastAsia"/>
        </w:rPr>
        <w:t>在合同签订以后我单位根据行业标准进行供货。并按采购人要求配送到约定的交货地点。</w:t>
      </w:r>
    </w:p>
    <w:p>
      <w:pPr>
        <w:ind w:firstLine="482"/>
      </w:pPr>
      <w:r>
        <w:rPr>
          <w:rFonts w:hint="eastAsia"/>
          <w:b/>
          <w:bCs/>
        </w:rPr>
        <w:t>交货及验收</w:t>
      </w:r>
      <w:r>
        <w:rPr>
          <w:rFonts w:hint="eastAsia"/>
        </w:rPr>
        <w:t>：</w:t>
      </w:r>
      <w:bookmarkStart w:id="257" w:name="_Hlk89418004"/>
      <w:r>
        <w:rPr>
          <w:rFonts w:hint="eastAsia"/>
        </w:rPr>
        <w:t>1</w:t>
      </w:r>
      <w:r>
        <w:rPr>
          <w:rFonts w:hint="eastAsia"/>
          <w:lang w:eastAsia="zh-CN"/>
        </w:rPr>
        <w:t>、</w:t>
      </w:r>
      <w:r>
        <w:rPr>
          <w:rFonts w:hint="eastAsia"/>
        </w:rPr>
        <w:t>合同签订后，</w:t>
      </w:r>
      <w:r>
        <w:t>15日历天内全部交清</w:t>
      </w:r>
      <w:r>
        <w:rPr>
          <w:rFonts w:hint="eastAsia"/>
        </w:rPr>
        <w:t>。采购验收标准：有效活菌数≥</w:t>
      </w:r>
      <w:r>
        <w:t>0.2亿/g；有机质（以干计）≥40%，水分≤30%；PH值5.5-8.5；粪大肠菌群数≤100个/g；蛔虫卵死亡率≥95%；总AS≤15mg/kg；总Cd≤3mg/kg；总Pb≤50mg/kg；总Cr≤150mg/kg；总Hg≤2mg/kg；种子发芽成活率≥70%；规格为40kg/袋。按NY884_2012的标准执行。保质期：12个月</w:t>
      </w:r>
    </w:p>
    <w:p>
      <w:pPr>
        <w:ind w:firstLine="480"/>
      </w:pPr>
      <w:r>
        <w:rPr>
          <w:rFonts w:hint="eastAsia"/>
        </w:rPr>
        <w:t>生物有机肥原料为植物源，杜绝使用水库、河道、池塘和有机城市垃圾等作为原料，不存在添加“褐煤”“畜禽粪便”的情况，确保重金属含量不超标，长期使用无残留、无毒、无副作用。</w:t>
      </w:r>
    </w:p>
    <w:p>
      <w:pPr>
        <w:ind w:firstLine="480"/>
      </w:pPr>
      <w:r>
        <w:rPr>
          <w:rFonts w:hint="eastAsia"/>
        </w:rPr>
        <w:t>2</w:t>
      </w:r>
      <w:r>
        <w:rPr>
          <w:rFonts w:hint="eastAsia"/>
          <w:lang w:eastAsia="zh-CN"/>
        </w:rPr>
        <w:t>、</w:t>
      </w:r>
      <w:r>
        <w:rPr>
          <w:rFonts w:hint="eastAsia"/>
        </w:rPr>
        <w:t>验收由甲方组织，我单位配合进行：</w:t>
      </w:r>
    </w:p>
    <w:p>
      <w:pPr>
        <w:ind w:firstLine="480"/>
      </w:pPr>
      <w:r>
        <w:rPr>
          <w:rFonts w:hint="eastAsia"/>
          <w:lang w:eastAsia="zh-CN"/>
        </w:rPr>
        <w:t>（</w:t>
      </w:r>
      <w:r>
        <w:rPr>
          <w:rFonts w:hint="eastAsia"/>
          <w:lang w:val="en-US" w:eastAsia="zh-CN"/>
        </w:rPr>
        <w:t>1</w:t>
      </w:r>
      <w:r>
        <w:rPr>
          <w:rFonts w:hint="eastAsia"/>
          <w:lang w:eastAsia="zh-CN"/>
        </w:rPr>
        <w:t>）</w:t>
      </w:r>
      <w:r>
        <w:rPr>
          <w:rFonts w:hint="eastAsia"/>
        </w:rPr>
        <w:t>验收标准：按国家有关规定以及甲方招标文件的质量要求和技术指标、我单位的投标文件及承诺与本合同约定标准进行验收；甲乙双方如对质量要求和技术指标的约定标准有相互抵触或异议的事项，由甲方在招标文件和投标文件中按质量要求和技术指标比较优胜的原则确定该项的约定标准进行验收。</w:t>
      </w:r>
    </w:p>
    <w:p>
      <w:pPr>
        <w:ind w:firstLine="480"/>
      </w:pPr>
      <w:r>
        <w:rPr>
          <w:rFonts w:hint="eastAsia"/>
        </w:rPr>
        <w:t>（2）甲方可到我单位生产场地或供货地抽样，由我单位送到具有检测资质的第三方检测机构检测，合格后再供货，供货前随机抽检样品。投标文件提供参数报告书做为本合同附件，我单位于供货期间所供货物规格参数及质量须符合或优于投标文件提供参数及质量，否则甲方有权拒收该批次货物，所造成一切损失由我单位承担。检测费用由我单位支付。</w:t>
      </w:r>
    </w:p>
    <w:p>
      <w:pPr>
        <w:ind w:firstLine="480"/>
      </w:pPr>
      <w:r>
        <w:rPr>
          <w:rFonts w:hint="eastAsia"/>
          <w:lang w:eastAsia="zh-CN"/>
        </w:rPr>
        <w:t>（</w:t>
      </w:r>
      <w:r>
        <w:rPr>
          <w:rFonts w:hint="eastAsia"/>
          <w:lang w:val="en-US" w:eastAsia="zh-CN"/>
        </w:rPr>
        <w:t>3</w:t>
      </w:r>
      <w:r>
        <w:rPr>
          <w:rFonts w:hint="eastAsia"/>
          <w:lang w:eastAsia="zh-CN"/>
        </w:rPr>
        <w:t>）</w:t>
      </w:r>
      <w:r>
        <w:rPr>
          <w:rFonts w:hint="eastAsia"/>
        </w:rPr>
        <w:t>所交付的货物有短装、次品、损坏或其它不符合标准及本合同规定之情形者，甲方可做出详尽的现场记录，或由双方签署备忘录，此现场记录或备忘录可用作补充、缺失和更换损坏部件的有效证据，由此产生的时间延误与有关费用由我单位承担。</w:t>
      </w:r>
    </w:p>
    <w:p>
      <w:pPr>
        <w:ind w:firstLine="480"/>
      </w:pPr>
      <w:r>
        <w:rPr>
          <w:rFonts w:hint="eastAsia"/>
        </w:rPr>
        <w:t>（4）我单位会中标的有机肥进行田间跟踪指导服务，及时解决农户使用有机肥中出现的问题，如因有机肥质量问题引起作物烧根烧苗或生长缓慢，我单位将承担由此带来的所有后果。</w:t>
      </w:r>
    </w:p>
    <w:p>
      <w:pPr>
        <w:ind w:firstLine="480"/>
      </w:pPr>
      <w:r>
        <w:rPr>
          <w:rFonts w:hint="eastAsia"/>
        </w:rPr>
        <w:t>（5）货物运输到指定地点后，我单位提供随货同行的相关合格证书，由采购人进行验收；卸货及有关费用我单位负责；同时由采购人抽取的样品送到具有检测资质的单位进行检测（检测费用由我单位负责）。</w:t>
      </w:r>
    </w:p>
    <w:bookmarkEnd w:id="257"/>
    <w:p>
      <w:pPr>
        <w:ind w:firstLine="480"/>
        <w:rPr>
          <w:color w:val="000000" w:themeColor="text1"/>
          <w14:textFill>
            <w14:solidFill>
              <w14:schemeClr w14:val="tx1"/>
            </w14:solidFill>
          </w14:textFill>
        </w:rPr>
      </w:pPr>
      <w:r>
        <w:rPr>
          <w:rFonts w:hint="eastAsia"/>
        </w:rPr>
        <w:t>我单位所投产品技术参数：</w:t>
      </w:r>
      <w:r>
        <w:rPr>
          <w:rFonts w:hint="eastAsia"/>
          <w:color w:val="000000" w:themeColor="text1"/>
          <w14:textFill>
            <w14:solidFill>
              <w14:schemeClr w14:val="tx1"/>
            </w14:solidFill>
          </w14:textFill>
        </w:rPr>
        <w:t>按</w:t>
      </w:r>
      <w:r>
        <w:rPr>
          <w:color w:val="000000" w:themeColor="text1"/>
          <w14:textFill>
            <w14:solidFill>
              <w14:schemeClr w14:val="tx1"/>
            </w14:solidFill>
          </w14:textFill>
        </w:rPr>
        <w:t>NY884_2012的标准执行</w:t>
      </w:r>
      <w:r>
        <w:rPr>
          <w:rFonts w:hint="eastAsia"/>
          <w:color w:val="000000" w:themeColor="text1"/>
          <w14:textFill>
            <w14:solidFill>
              <w14:schemeClr w14:val="tx1"/>
            </w14:solidFill>
          </w14:textFill>
        </w:rPr>
        <w:t>。</w:t>
      </w:r>
    </w:p>
    <w:p>
      <w:pPr>
        <w:widowControl/>
        <w:spacing w:before="0" w:after="0" w:line="240" w:lineRule="auto"/>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br w:type="page"/>
      </w:r>
    </w:p>
    <w:tbl>
      <w:tblPr>
        <w:tblStyle w:val="34"/>
        <w:tblW w:w="83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5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12" w:type="dxa"/>
            <w:gridSpan w:val="2"/>
            <w:shd w:val="clear" w:color="auto" w:fill="B4C6E7" w:themeFill="accent5" w:themeFillTint="66"/>
            <w:vAlign w:val="center"/>
          </w:tcPr>
          <w:p>
            <w:pPr>
              <w:pStyle w:val="53"/>
              <w:widowControl w:val="0"/>
              <w:ind w:firstLine="402"/>
              <w:rPr>
                <w:b/>
                <w:color w:val="F8CBAD" w:themeColor="accent2" w:themeTint="66"/>
                <w:kern w:val="0"/>
                <w14:textOutline w14:w="11112" w14:cap="flat" w14:cmpd="sng" w14:algn="ctr">
                  <w14:solidFill>
                    <w14:schemeClr w14:val="accent2"/>
                  </w14:solidFill>
                  <w14:prstDash w14:val="solid"/>
                  <w14:round/>
                </w14:textOutline>
                <w14:textFill>
                  <w14:solidFill>
                    <w14:schemeClr w14:val="accent2">
                      <w14:lumMod w14:val="40000"/>
                      <w14:lumOff w14:val="60000"/>
                    </w14:schemeClr>
                  </w14:solidFill>
                </w14:textFill>
              </w:rPr>
            </w:pPr>
            <w:r>
              <w:rPr>
                <w:rFonts w:hint="eastAsia"/>
              </w:rPr>
              <w:t>生物有机肥产品技术指标要求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ind w:firstLine="400"/>
              <w:rPr>
                <w:kern w:val="0"/>
              </w:rPr>
            </w:pPr>
            <w:r>
              <w:rPr>
                <w:rFonts w:hint="eastAsia"/>
                <w:kern w:val="0"/>
              </w:rPr>
              <w:t>项目</w:t>
            </w:r>
          </w:p>
        </w:tc>
        <w:tc>
          <w:tcPr>
            <w:tcW w:w="5198" w:type="dxa"/>
            <w:vAlign w:val="center"/>
          </w:tcPr>
          <w:p>
            <w:pPr>
              <w:pStyle w:val="53"/>
              <w:widowControl w:val="0"/>
              <w:ind w:firstLine="400"/>
              <w:rPr>
                <w:kern w:val="0"/>
              </w:rPr>
            </w:pPr>
            <w:r>
              <w:rPr>
                <w:rFonts w:hint="eastAsia"/>
                <w:kern w:val="0"/>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ind w:firstLine="400"/>
              <w:rPr>
                <w:kern w:val="0"/>
              </w:rPr>
            </w:pPr>
            <w:r>
              <w:rPr>
                <w:rFonts w:hint="eastAsia"/>
                <w:kern w:val="0"/>
              </w:rPr>
              <w:t>有效活菌数</w:t>
            </w:r>
            <w:r>
              <w:rPr>
                <w:rFonts w:hint="eastAsia"/>
                <w:kern w:val="0"/>
                <w:lang w:eastAsia="zh-CN"/>
              </w:rPr>
              <w:t>（</w:t>
            </w:r>
            <w:r>
              <w:rPr>
                <w:rFonts w:hint="eastAsia"/>
                <w:kern w:val="0"/>
              </w:rPr>
              <w:t>cfu</w:t>
            </w:r>
            <w:r>
              <w:rPr>
                <w:rFonts w:hint="eastAsia"/>
                <w:kern w:val="0"/>
                <w:lang w:eastAsia="zh-CN"/>
              </w:rPr>
              <w:t>）</w:t>
            </w:r>
            <w:r>
              <w:rPr>
                <w:rFonts w:hint="eastAsia"/>
                <w:kern w:val="0"/>
              </w:rPr>
              <w:t>，亿/g</w:t>
            </w:r>
          </w:p>
        </w:tc>
        <w:tc>
          <w:tcPr>
            <w:tcW w:w="5198" w:type="dxa"/>
            <w:vAlign w:val="center"/>
          </w:tcPr>
          <w:p>
            <w:pPr>
              <w:pStyle w:val="53"/>
              <w:widowControl w:val="0"/>
              <w:ind w:firstLine="400"/>
              <w:rPr>
                <w:kern w:val="0"/>
              </w:rPr>
            </w:pPr>
            <w:r>
              <w:rPr>
                <w:rFonts w:hint="eastAsia"/>
                <w:kern w:val="0"/>
              </w:rPr>
              <w:t>≥</w:t>
            </w:r>
            <w:r>
              <w:rPr>
                <w:kern w:val="0"/>
              </w:rPr>
              <w:t>0.2亿/g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ind w:firstLine="400"/>
              <w:rPr>
                <w:kern w:val="0"/>
              </w:rPr>
            </w:pPr>
            <w:r>
              <w:rPr>
                <w:rFonts w:hint="eastAsia"/>
                <w:kern w:val="0"/>
              </w:rPr>
              <w:t>有机质（以干基计），%</w:t>
            </w:r>
          </w:p>
        </w:tc>
        <w:tc>
          <w:tcPr>
            <w:tcW w:w="5198" w:type="dxa"/>
            <w:vAlign w:val="center"/>
          </w:tcPr>
          <w:p>
            <w:pPr>
              <w:pStyle w:val="53"/>
              <w:widowControl w:val="0"/>
              <w:ind w:firstLine="400"/>
              <w:rPr>
                <w:kern w:val="0"/>
              </w:rPr>
            </w:pPr>
            <w:r>
              <w:rPr>
                <w:rFonts w:hint="eastAsia"/>
                <w:kern w:val="0"/>
              </w:rPr>
              <w:t>≥</w:t>
            </w:r>
            <w:r>
              <w:rPr>
                <w:kern w:val="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ind w:firstLine="400"/>
              <w:rPr>
                <w:kern w:val="0"/>
              </w:rPr>
            </w:pPr>
            <w:r>
              <w:rPr>
                <w:rFonts w:hint="eastAsia"/>
                <w:kern w:val="0"/>
              </w:rPr>
              <w:t>水分，%</w:t>
            </w:r>
          </w:p>
        </w:tc>
        <w:tc>
          <w:tcPr>
            <w:tcW w:w="5198" w:type="dxa"/>
            <w:vAlign w:val="center"/>
          </w:tcPr>
          <w:p>
            <w:pPr>
              <w:pStyle w:val="53"/>
              <w:widowControl w:val="0"/>
              <w:ind w:firstLine="400"/>
              <w:rPr>
                <w:kern w:val="0"/>
              </w:rPr>
            </w:pPr>
            <w:r>
              <w:rPr>
                <w:rFonts w:hint="eastAsia"/>
                <w:kern w:val="0"/>
              </w:rPr>
              <w:t>≤</w:t>
            </w:r>
            <w:r>
              <w:rPr>
                <w:kern w:val="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ind w:firstLine="400"/>
              <w:rPr>
                <w:kern w:val="0"/>
              </w:rPr>
            </w:pPr>
            <w:r>
              <w:rPr>
                <w:rFonts w:hint="eastAsia"/>
                <w:kern w:val="0"/>
              </w:rPr>
              <w:t>pH值</w:t>
            </w:r>
          </w:p>
        </w:tc>
        <w:tc>
          <w:tcPr>
            <w:tcW w:w="5198" w:type="dxa"/>
            <w:vAlign w:val="center"/>
          </w:tcPr>
          <w:p>
            <w:pPr>
              <w:pStyle w:val="53"/>
              <w:widowControl w:val="0"/>
              <w:ind w:firstLine="400"/>
              <w:rPr>
                <w:kern w:val="0"/>
              </w:rPr>
            </w:pPr>
            <w:r>
              <w:rPr>
                <w:kern w:val="0"/>
              </w:rPr>
              <w:t>5.5-8.5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rPr>
                <w:kern w:val="0"/>
              </w:rPr>
            </w:pPr>
            <w:r>
              <w:rPr>
                <w:rFonts w:hint="eastAsia"/>
                <w:kern w:val="0"/>
              </w:rPr>
              <w:t>粪大肠菌群数，个/g</w:t>
            </w:r>
          </w:p>
        </w:tc>
        <w:tc>
          <w:tcPr>
            <w:tcW w:w="5198" w:type="dxa"/>
            <w:vAlign w:val="center"/>
          </w:tcPr>
          <w:p>
            <w:pPr>
              <w:pStyle w:val="53"/>
              <w:widowControl w:val="0"/>
              <w:rPr>
                <w:kern w:val="0"/>
              </w:rPr>
            </w:pPr>
            <w:r>
              <w:rPr>
                <w:rFonts w:hint="eastAsia"/>
                <w:kern w:val="0"/>
              </w:rPr>
              <w:t>≤</w:t>
            </w:r>
            <w:r>
              <w:rPr>
                <w:kern w:val="0"/>
              </w:rPr>
              <w:t>100个/g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rPr>
                <w:kern w:val="0"/>
              </w:rPr>
            </w:pPr>
            <w:r>
              <w:rPr>
                <w:rFonts w:hint="eastAsia"/>
                <w:kern w:val="0"/>
              </w:rPr>
              <w:t>蛔虫卵死亡率，%</w:t>
            </w:r>
          </w:p>
        </w:tc>
        <w:tc>
          <w:tcPr>
            <w:tcW w:w="5198" w:type="dxa"/>
            <w:vAlign w:val="center"/>
          </w:tcPr>
          <w:p>
            <w:pPr>
              <w:pStyle w:val="53"/>
              <w:widowControl w:val="0"/>
              <w:rPr>
                <w:kern w:val="0"/>
              </w:rPr>
            </w:pPr>
            <w:r>
              <w:rPr>
                <w:rFonts w:hint="eastAsia"/>
                <w:kern w:val="0"/>
              </w:rPr>
              <w:t>≥</w:t>
            </w:r>
            <w:r>
              <w:rPr>
                <w:kern w:val="0"/>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rPr>
                <w:kern w:val="0"/>
              </w:rPr>
            </w:pPr>
            <w:r>
              <w:rPr>
                <w:rFonts w:hint="eastAsia"/>
                <w:kern w:val="0"/>
              </w:rPr>
              <w:t>总</w:t>
            </w:r>
            <w:r>
              <w:rPr>
                <w:kern w:val="0"/>
              </w:rPr>
              <w:t>AS</w:t>
            </w:r>
          </w:p>
        </w:tc>
        <w:tc>
          <w:tcPr>
            <w:tcW w:w="5198" w:type="dxa"/>
            <w:vAlign w:val="center"/>
          </w:tcPr>
          <w:p>
            <w:pPr>
              <w:pStyle w:val="53"/>
              <w:widowControl w:val="0"/>
              <w:rPr>
                <w:kern w:val="0"/>
              </w:rPr>
            </w:pPr>
            <w:r>
              <w:rPr>
                <w:rFonts w:hint="eastAsia"/>
                <w:kern w:val="0"/>
              </w:rPr>
              <w:t>≤</w:t>
            </w:r>
            <w:r>
              <w:rPr>
                <w:kern w:val="0"/>
              </w:rPr>
              <w:t>15mg/kg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rPr>
                <w:kern w:val="0"/>
              </w:rPr>
            </w:pPr>
            <w:r>
              <w:rPr>
                <w:rFonts w:hint="eastAsia"/>
                <w:kern w:val="0"/>
              </w:rPr>
              <w:t>总</w:t>
            </w:r>
            <w:r>
              <w:rPr>
                <w:kern w:val="0"/>
              </w:rPr>
              <w:t>Cd</w:t>
            </w:r>
          </w:p>
        </w:tc>
        <w:tc>
          <w:tcPr>
            <w:tcW w:w="5198" w:type="dxa"/>
            <w:vAlign w:val="center"/>
          </w:tcPr>
          <w:p>
            <w:pPr>
              <w:pStyle w:val="53"/>
              <w:widowControl w:val="0"/>
              <w:rPr>
                <w:kern w:val="0"/>
              </w:rPr>
            </w:pPr>
            <w:r>
              <w:rPr>
                <w:rFonts w:hint="eastAsia"/>
                <w:kern w:val="0"/>
              </w:rPr>
              <w:t>≤</w:t>
            </w:r>
            <w:r>
              <w:rPr>
                <w:kern w:val="0"/>
              </w:rPr>
              <w:t>3mg/kg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rPr>
                <w:kern w:val="0"/>
              </w:rPr>
            </w:pPr>
            <w:r>
              <w:rPr>
                <w:rFonts w:hint="eastAsia"/>
                <w:kern w:val="0"/>
              </w:rPr>
              <w:t>总</w:t>
            </w:r>
            <w:r>
              <w:rPr>
                <w:kern w:val="0"/>
              </w:rPr>
              <w:t>Pb</w:t>
            </w:r>
          </w:p>
        </w:tc>
        <w:tc>
          <w:tcPr>
            <w:tcW w:w="5198" w:type="dxa"/>
            <w:vAlign w:val="center"/>
          </w:tcPr>
          <w:p>
            <w:pPr>
              <w:pStyle w:val="53"/>
              <w:widowControl w:val="0"/>
              <w:rPr>
                <w:kern w:val="0"/>
              </w:rPr>
            </w:pPr>
            <w:r>
              <w:rPr>
                <w:kern w:val="0"/>
              </w:rPr>
              <w:t>≤50mg/kg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rPr>
                <w:kern w:val="0"/>
              </w:rPr>
            </w:pPr>
            <w:r>
              <w:rPr>
                <w:rFonts w:hint="eastAsia"/>
                <w:kern w:val="0"/>
              </w:rPr>
              <w:t>总</w:t>
            </w:r>
            <w:r>
              <w:rPr>
                <w:kern w:val="0"/>
              </w:rPr>
              <w:t>Cr</w:t>
            </w:r>
          </w:p>
        </w:tc>
        <w:tc>
          <w:tcPr>
            <w:tcW w:w="5198" w:type="dxa"/>
            <w:vAlign w:val="center"/>
          </w:tcPr>
          <w:p>
            <w:pPr>
              <w:pStyle w:val="53"/>
              <w:widowControl w:val="0"/>
              <w:rPr>
                <w:kern w:val="0"/>
              </w:rPr>
            </w:pPr>
            <w:r>
              <w:rPr>
                <w:kern w:val="0"/>
              </w:rPr>
              <w:t>150mg/kg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rPr>
                <w:kern w:val="0"/>
              </w:rPr>
            </w:pPr>
            <w:r>
              <w:rPr>
                <w:rFonts w:hint="eastAsia"/>
                <w:kern w:val="0"/>
              </w:rPr>
              <w:t>总</w:t>
            </w:r>
            <w:r>
              <w:rPr>
                <w:kern w:val="0"/>
              </w:rPr>
              <w:t>Hg</w:t>
            </w:r>
          </w:p>
        </w:tc>
        <w:tc>
          <w:tcPr>
            <w:tcW w:w="5198" w:type="dxa"/>
            <w:vAlign w:val="center"/>
          </w:tcPr>
          <w:p>
            <w:pPr>
              <w:pStyle w:val="53"/>
              <w:widowControl w:val="0"/>
              <w:rPr>
                <w:kern w:val="0"/>
              </w:rPr>
            </w:pPr>
            <w:r>
              <w:rPr>
                <w:rFonts w:hint="eastAsia"/>
                <w:kern w:val="0"/>
              </w:rPr>
              <w:t>≤</w:t>
            </w:r>
            <w:r>
              <w:rPr>
                <w:kern w:val="0"/>
              </w:rPr>
              <w:t>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rPr>
                <w:kern w:val="0"/>
              </w:rPr>
            </w:pPr>
            <w:r>
              <w:rPr>
                <w:rFonts w:hint="eastAsia"/>
                <w:kern w:val="0"/>
              </w:rPr>
              <w:t>种子发芽成活率</w:t>
            </w:r>
          </w:p>
        </w:tc>
        <w:tc>
          <w:tcPr>
            <w:tcW w:w="5198" w:type="dxa"/>
            <w:vAlign w:val="center"/>
          </w:tcPr>
          <w:p>
            <w:pPr>
              <w:pStyle w:val="53"/>
              <w:widowControl w:val="0"/>
              <w:rPr>
                <w:kern w:val="0"/>
              </w:rPr>
            </w:pPr>
            <w:r>
              <w:rPr>
                <w:rFonts w:hint="eastAsia"/>
                <w:kern w:val="0"/>
              </w:rPr>
              <w:t>≥</w:t>
            </w:r>
            <w:r>
              <w:rPr>
                <w:kern w:val="0"/>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rPr>
                <w:kern w:val="0"/>
              </w:rPr>
            </w:pPr>
            <w:r>
              <w:rPr>
                <w:rFonts w:hint="eastAsia"/>
                <w:kern w:val="0"/>
              </w:rPr>
              <w:t>规格</w:t>
            </w:r>
          </w:p>
        </w:tc>
        <w:tc>
          <w:tcPr>
            <w:tcW w:w="5198" w:type="dxa"/>
            <w:vAlign w:val="center"/>
          </w:tcPr>
          <w:p>
            <w:pPr>
              <w:pStyle w:val="53"/>
              <w:widowControl w:val="0"/>
              <w:rPr>
                <w:kern w:val="0"/>
              </w:rPr>
            </w:pPr>
            <w:r>
              <w:rPr>
                <w:kern w:val="0"/>
              </w:rPr>
              <w:t>40kg/袋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pStyle w:val="53"/>
              <w:widowControl w:val="0"/>
              <w:rPr>
                <w:kern w:val="0"/>
              </w:rPr>
            </w:pPr>
            <w:r>
              <w:rPr>
                <w:rFonts w:hint="eastAsia"/>
                <w:kern w:val="0"/>
              </w:rPr>
              <w:t>有效期，月</w:t>
            </w:r>
          </w:p>
        </w:tc>
        <w:tc>
          <w:tcPr>
            <w:tcW w:w="5198" w:type="dxa"/>
            <w:vAlign w:val="center"/>
          </w:tcPr>
          <w:p>
            <w:pPr>
              <w:pStyle w:val="53"/>
              <w:widowControl w:val="0"/>
              <w:rPr>
                <w:kern w:val="0"/>
              </w:rPr>
            </w:pPr>
            <w:r>
              <w:rPr>
                <w:kern w:val="0"/>
              </w:rPr>
              <w:t>12</w:t>
            </w:r>
          </w:p>
        </w:tc>
      </w:tr>
    </w:tbl>
    <w:p>
      <w:pPr>
        <w:ind w:firstLine="48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生物有机肥原料为植物源，杜绝使用水库、河道、池塘和有机城市垃圾等作为原料，不存在添加“褐煤”“畜禽粪便”的情况，确保重金属含量不超标，长期使用无残留、无毒、无副作用。</w:t>
      </w:r>
    </w:p>
    <w:p>
      <w:pPr>
        <w:ind w:firstLine="480"/>
      </w:pPr>
      <w:r>
        <w:rPr>
          <w:rFonts w:hint="eastAsia"/>
        </w:rPr>
        <w:t>2</w:t>
      </w:r>
      <w:r>
        <w:rPr>
          <w:rFonts w:hint="eastAsia"/>
          <w:lang w:eastAsia="zh-CN"/>
        </w:rPr>
        <w:t>、</w:t>
      </w:r>
      <w:r>
        <w:rPr>
          <w:rFonts w:hint="eastAsia"/>
        </w:rPr>
        <w:t>货物必须符合或优于国家（行业）标准，以及本项目招标文件的质量要求和技术指标与出厂标准。</w:t>
      </w:r>
    </w:p>
    <w:p>
      <w:pPr>
        <w:ind w:firstLine="480"/>
      </w:pPr>
      <w:r>
        <w:rPr>
          <w:rFonts w:hint="eastAsia"/>
        </w:rPr>
        <w:t>3</w:t>
      </w:r>
      <w:r>
        <w:rPr>
          <w:rFonts w:hint="eastAsia"/>
          <w:lang w:eastAsia="zh-CN"/>
        </w:rPr>
        <w:t>、</w:t>
      </w:r>
      <w:r>
        <w:rPr>
          <w:rFonts w:hint="eastAsia"/>
        </w:rPr>
        <w:t>货物出现质量问题时，我单位应负责三包（包质量、包换、包退），费用由我单位负担，甲方有权到我单位生产场地检查货物质量或生产进度。</w:t>
      </w:r>
    </w:p>
    <w:p>
      <w:pPr>
        <w:ind w:firstLine="482"/>
      </w:pPr>
      <w:r>
        <w:rPr>
          <w:rFonts w:hint="eastAsia"/>
          <w:b/>
          <w:bCs/>
        </w:rPr>
        <w:t>产品质量违约</w:t>
      </w:r>
      <w:r>
        <w:rPr>
          <w:rFonts w:hint="eastAsia"/>
        </w:rPr>
        <w:t>：①交货质量抽检不合格违约：采购人有权单方面无责任终止合同并追究我单位因此造成的损失及责任。②产品质量不合格违约：如因我单位所供货品本身质量问题，未达《生物有机肥（</w:t>
      </w:r>
      <w:r>
        <w:t>NY884_2012</w:t>
      </w:r>
      <w:r>
        <w:rPr>
          <w:rFonts w:hint="eastAsia"/>
        </w:rPr>
        <w:t>》标准，检验相关技术指标及限量指标中某项不合格等情况经采购人核实的，视为产品质量不合格违约，采购人有权单方面无责任终止合同并追究我单位因此造成的损失及责任。③我单位自行承担退换货产生的一切费用（非我单位自身原因造成的除外）。</w:t>
      </w:r>
    </w:p>
    <w:p>
      <w:pPr>
        <w:ind w:firstLine="482"/>
      </w:pPr>
      <w:r>
        <w:rPr>
          <w:rFonts w:hint="eastAsia"/>
          <w:b/>
          <w:bCs/>
        </w:rPr>
        <w:t>违约责任：</w:t>
      </w:r>
      <w:r>
        <w:rPr>
          <w:rFonts w:hint="eastAsia"/>
        </w:rPr>
        <w:t>（1）我单位交付的货物质量不符合合同规定的，我单位应向甲方支付合同总价的百分之五的违约金，并须在合同规定的交货时间内更换合格的货物给甲方，否则，视作我单位不能交付货物而违约，按本条本款下述第“（2）”项规定由我单位偿付违约赔偿金给甲方。</w:t>
      </w:r>
    </w:p>
    <w:p>
      <w:pPr>
        <w:ind w:firstLine="480"/>
      </w:pPr>
      <w:r>
        <w:rPr>
          <w:rFonts w:hint="eastAsia"/>
        </w:rPr>
        <w:t>（2）我单位不能交付货物或逾期交付货物而违约的，除应及时交足货物外，应向甲方偿付逾期交货部分货款总额的万分之五/天的违约金；逾期交货超过1</w:t>
      </w:r>
      <w:r>
        <w:t>0</w:t>
      </w:r>
      <w:r>
        <w:rPr>
          <w:rFonts w:hint="eastAsia"/>
        </w:rPr>
        <w:t>天，甲方有权终止合同。</w:t>
      </w:r>
    </w:p>
    <w:p>
      <w:pPr>
        <w:ind w:firstLine="480"/>
      </w:pPr>
      <w:r>
        <w:rPr>
          <w:rFonts w:hint="eastAsia"/>
        </w:rPr>
        <w:t>（3）我单位保证本合同货物的权利无瑕疵，包括货物所有权及知识产权等权利无瑕疵。如任何第三方经法院（或仲裁机构）裁决有权对上述货物主张权利或国家机关依法对货物进行没收查处的，我单位除应向甲方返还已收款项外，还应另按合同总价的百分之一向甲方支付违约金。</w:t>
      </w:r>
    </w:p>
    <w:p>
      <w:pPr>
        <w:ind w:firstLine="480"/>
      </w:pPr>
      <w:r>
        <w:rPr>
          <w:rFonts w:hint="eastAsia"/>
        </w:rPr>
        <w:t>（4）我单位不履行或迟延履行售后维保义务的，每发生一次，应向甲方支付合同总价款百分之一的违约金，且甲方有权委托第三方维保，由此发生的维保费用由我单位承担。</w:t>
      </w:r>
    </w:p>
    <w:p>
      <w:pPr>
        <w:ind w:firstLine="480"/>
      </w:pPr>
      <w:r>
        <w:rPr>
          <w:rFonts w:hint="eastAsia"/>
        </w:rPr>
        <w:t>（5）我单位偿付的违约金不足以弥补甲方损失的，还应按甲方损失尚未弥补的部分，支付赔偿金给甲方。</w:t>
      </w:r>
    </w:p>
    <w:p>
      <w:pPr>
        <w:spacing w:before="0" w:after="0" w:line="240" w:lineRule="auto"/>
        <w:ind w:firstLine="0" w:firstLineChars="0"/>
        <w:jc w:val="left"/>
      </w:pPr>
      <w:r>
        <w:br w:type="page"/>
      </w:r>
    </w:p>
    <w:p>
      <w:pPr>
        <w:pStyle w:val="5"/>
        <w:bidi w:val="0"/>
      </w:pPr>
      <w:bookmarkStart w:id="258" w:name="_Toc117181898"/>
      <w:bookmarkStart w:id="259" w:name="_Toc118293228"/>
      <w:bookmarkStart w:id="260" w:name="_Toc116121424"/>
      <w:bookmarkStart w:id="261" w:name="_Toc106727834"/>
      <w:bookmarkStart w:id="262" w:name="_Toc7614"/>
      <w:bookmarkStart w:id="263" w:name="_Toc105600271"/>
      <w:r>
        <w:rPr>
          <w:rFonts w:hint="eastAsia"/>
          <w:lang w:val="en-US" w:eastAsia="zh-CN"/>
        </w:rPr>
        <w:t>七、</w:t>
      </w:r>
      <w:r>
        <w:rPr>
          <w:rFonts w:hint="eastAsia"/>
        </w:rPr>
        <w:t>验收与确认</w:t>
      </w:r>
      <w:bookmarkEnd w:id="258"/>
      <w:bookmarkEnd w:id="259"/>
      <w:bookmarkEnd w:id="260"/>
      <w:bookmarkEnd w:id="261"/>
      <w:bookmarkEnd w:id="262"/>
      <w:bookmarkEnd w:id="263"/>
    </w:p>
    <w:p>
      <w:pPr>
        <w:pStyle w:val="6"/>
        <w:bidi w:val="0"/>
        <w:rPr>
          <w:rFonts w:hint="eastAsia"/>
          <w:lang w:eastAsia="zh-CN"/>
        </w:rPr>
      </w:pPr>
      <w:bookmarkStart w:id="264" w:name="_Toc14701"/>
      <w:r>
        <w:rPr>
          <w:rFonts w:hint="eastAsia"/>
          <w:lang w:val="en-US" w:eastAsia="zh-CN"/>
        </w:rPr>
        <w:t>（一）</w:t>
      </w:r>
      <w:r>
        <w:rPr>
          <w:rFonts w:hint="eastAsia"/>
        </w:rPr>
        <w:t>肥料的验收</w:t>
      </w:r>
      <w:bookmarkEnd w:id="264"/>
    </w:p>
    <w:p>
      <w:pPr>
        <w:ind w:firstLine="480"/>
        <w:rPr>
          <w:rFonts w:hint="eastAsia" w:eastAsia="宋体"/>
          <w:lang w:eastAsia="zh-CN"/>
        </w:rPr>
      </w:pPr>
      <w:r>
        <w:rPr>
          <w:rFonts w:hint="eastAsia"/>
          <w:lang w:eastAsia="zh-CN"/>
        </w:rPr>
        <w:t>（</w:t>
      </w:r>
      <w:r>
        <w:rPr>
          <w:rFonts w:hint="eastAsia"/>
          <w:lang w:val="en-US" w:eastAsia="zh-CN"/>
        </w:rPr>
        <w:t>一</w:t>
      </w:r>
      <w:r>
        <w:rPr>
          <w:rFonts w:hint="eastAsia"/>
          <w:lang w:eastAsia="zh-CN"/>
        </w:rPr>
        <w:t>）</w:t>
      </w:r>
      <w:r>
        <w:rPr>
          <w:rFonts w:hint="eastAsia"/>
        </w:rPr>
        <w:t>肥料到货后，安排专人检验确认供应商的基本信息、产品信息，包括产品名称、产品营养配比、产品的批次、生产日期等；</w:t>
      </w:r>
    </w:p>
    <w:p>
      <w:pPr>
        <w:ind w:firstLine="480"/>
        <w:rPr>
          <w:rFonts w:hint="eastAsia" w:eastAsia="宋体"/>
          <w:lang w:eastAsia="zh-CN"/>
        </w:rPr>
      </w:pPr>
      <w:r>
        <w:rPr>
          <w:rFonts w:hint="eastAsia"/>
          <w:lang w:eastAsia="zh-CN"/>
        </w:rPr>
        <w:t>（</w:t>
      </w:r>
      <w:r>
        <w:rPr>
          <w:rFonts w:hint="eastAsia"/>
          <w:lang w:val="en-US" w:eastAsia="zh-CN"/>
        </w:rPr>
        <w:t>二</w:t>
      </w:r>
      <w:r>
        <w:rPr>
          <w:rFonts w:hint="eastAsia"/>
          <w:lang w:eastAsia="zh-CN"/>
        </w:rPr>
        <w:t>）</w:t>
      </w:r>
      <w:r>
        <w:rPr>
          <w:rFonts w:hint="eastAsia"/>
        </w:rPr>
        <w:t>检验确认产品的数量、标签和包装是否完好，肥料包装袋上必须注明产品名称、养分含量、等级、商标、净重、标准代号、厂名、厂址、登记证号、生产许可证号标志，非商品性有机肥除外。对于数量不一致、产品不一致、标识不清晰，应隔离单独存放，并反馈采购部门；</w:t>
      </w:r>
    </w:p>
    <w:p>
      <w:pPr>
        <w:ind w:firstLine="480"/>
      </w:pPr>
      <w:r>
        <w:rPr>
          <w:rFonts w:hint="eastAsia"/>
          <w:lang w:eastAsia="zh-CN"/>
        </w:rPr>
        <w:t>（</w:t>
      </w:r>
      <w:r>
        <w:rPr>
          <w:rFonts w:hint="eastAsia"/>
          <w:lang w:val="en-US" w:eastAsia="zh-CN"/>
        </w:rPr>
        <w:t>三</w:t>
      </w:r>
      <w:r>
        <w:rPr>
          <w:rFonts w:hint="eastAsia"/>
          <w:lang w:eastAsia="zh-CN"/>
        </w:rPr>
        <w:t>）</w:t>
      </w:r>
      <w:r>
        <w:rPr>
          <w:rFonts w:hint="eastAsia"/>
        </w:rPr>
        <w:t>每批肥料由技术人员感官验收后，应依据标准稽查部制定的检测频率和检测项目对产品进行取样检测，样品测试申请递送至标准稽查部，确认检测项目，样品送至检测中心，若存在外包检测，则由检测中心选择有资质的实验室进行检测；</w:t>
      </w:r>
    </w:p>
    <w:p>
      <w:pPr>
        <w:pStyle w:val="6"/>
        <w:bidi w:val="0"/>
        <w:rPr>
          <w:rFonts w:hint="eastAsia"/>
          <w:lang w:eastAsia="zh-CN"/>
        </w:rPr>
      </w:pPr>
      <w:bookmarkStart w:id="265" w:name="_Toc20431"/>
      <w:r>
        <w:rPr>
          <w:rFonts w:hint="eastAsia"/>
          <w:lang w:val="en-US" w:eastAsia="zh-CN"/>
        </w:rPr>
        <w:t>（二）</w:t>
      </w:r>
      <w:r>
        <w:rPr>
          <w:rFonts w:hint="eastAsia"/>
        </w:rPr>
        <w:t>肥料的确认</w:t>
      </w:r>
      <w:bookmarkEnd w:id="265"/>
    </w:p>
    <w:p>
      <w:pPr>
        <w:ind w:firstLine="480"/>
        <w:rPr>
          <w:rFonts w:hint="eastAsia" w:eastAsia="宋体"/>
          <w:lang w:eastAsia="zh-CN"/>
        </w:rPr>
      </w:pPr>
      <w:r>
        <w:rPr>
          <w:rFonts w:hint="eastAsia"/>
          <w:lang w:eastAsia="zh-CN"/>
        </w:rPr>
        <w:t>（</w:t>
      </w:r>
      <w:r>
        <w:rPr>
          <w:rFonts w:hint="eastAsia"/>
          <w:lang w:val="en-US" w:eastAsia="zh-CN"/>
        </w:rPr>
        <w:t>一</w:t>
      </w:r>
      <w:r>
        <w:rPr>
          <w:rFonts w:hint="eastAsia"/>
          <w:lang w:eastAsia="zh-CN"/>
        </w:rPr>
        <w:t>）</w:t>
      </w:r>
      <w:r>
        <w:rPr>
          <w:rFonts w:hint="eastAsia"/>
        </w:rPr>
        <w:t>验收人员对其供应商信息、产品信息、数量、包装、标签等验收确认后可办理入库，但尚不可以使用；</w:t>
      </w:r>
    </w:p>
    <w:p>
      <w:pPr>
        <w:ind w:firstLine="480"/>
        <w:rPr>
          <w:rFonts w:hint="eastAsia" w:eastAsia="宋体"/>
          <w:lang w:eastAsia="zh-CN"/>
        </w:rPr>
      </w:pPr>
      <w:r>
        <w:rPr>
          <w:rFonts w:hint="eastAsia"/>
          <w:lang w:eastAsia="zh-CN"/>
        </w:rPr>
        <w:t>（</w:t>
      </w:r>
      <w:r>
        <w:rPr>
          <w:rFonts w:hint="eastAsia"/>
          <w:lang w:val="en-US" w:eastAsia="zh-CN"/>
        </w:rPr>
        <w:t>二</w:t>
      </w:r>
      <w:r>
        <w:rPr>
          <w:rFonts w:hint="eastAsia"/>
          <w:lang w:eastAsia="zh-CN"/>
        </w:rPr>
        <w:t>）</w:t>
      </w:r>
      <w:r>
        <w:rPr>
          <w:rFonts w:hint="eastAsia"/>
        </w:rPr>
        <w:t>每批产品通过检测待标准稽查部认可确认后，方可投入使用；</w:t>
      </w:r>
    </w:p>
    <w:p>
      <w:pPr>
        <w:ind w:firstLine="480"/>
      </w:pPr>
      <w:r>
        <w:rPr>
          <w:rFonts w:hint="eastAsia"/>
          <w:lang w:eastAsia="zh-CN"/>
        </w:rPr>
        <w:t>（</w:t>
      </w:r>
      <w:r>
        <w:rPr>
          <w:rFonts w:hint="eastAsia"/>
          <w:lang w:val="en-US" w:eastAsia="zh-CN"/>
        </w:rPr>
        <w:t>三</w:t>
      </w:r>
      <w:r>
        <w:rPr>
          <w:rFonts w:hint="eastAsia"/>
          <w:lang w:eastAsia="zh-CN"/>
        </w:rPr>
        <w:t>）</w:t>
      </w:r>
      <w:r>
        <w:rPr>
          <w:rFonts w:hint="eastAsia"/>
        </w:rPr>
        <w:t>对于现场检验或后续检测出现的不合格品应暂存，且张贴标识，严禁使用。</w:t>
      </w:r>
    </w:p>
    <w:p>
      <w:pPr>
        <w:ind w:firstLine="480"/>
      </w:pPr>
      <w:r>
        <w:rPr>
          <w:rFonts w:hint="eastAsia"/>
        </w:rPr>
        <w:t>（</w:t>
      </w:r>
      <w:r>
        <w:rPr>
          <w:rFonts w:hint="eastAsia"/>
          <w:lang w:val="en-US" w:eastAsia="zh-CN"/>
        </w:rPr>
        <w:t>四</w:t>
      </w:r>
      <w:r>
        <w:rPr>
          <w:rFonts w:hint="eastAsia"/>
        </w:rPr>
        <w:t>）货物运输到指定地点后，我单位向提供随货同行的相关合格证书，由采购人进行验收；卸货及有关费用供货方负责；同时由采购人抽取的样品送到具有检测资质的单位进行检测（检测费用由我单位负责）。</w:t>
      </w:r>
    </w:p>
    <w:p>
      <w:pPr>
        <w:spacing w:before="0" w:after="0" w:line="240" w:lineRule="auto"/>
        <w:ind w:firstLine="0" w:firstLineChars="0"/>
        <w:jc w:val="left"/>
      </w:pPr>
      <w:r>
        <w:br w:type="page"/>
      </w:r>
    </w:p>
    <w:p>
      <w:pPr>
        <w:pStyle w:val="5"/>
        <w:bidi w:val="0"/>
      </w:pPr>
      <w:bookmarkStart w:id="266" w:name="_Toc116121425"/>
      <w:bookmarkStart w:id="267" w:name="_Toc106727835"/>
      <w:bookmarkStart w:id="268" w:name="_Toc105600272"/>
      <w:bookmarkStart w:id="269" w:name="_Toc118293229"/>
      <w:bookmarkStart w:id="270" w:name="_Toc117181899"/>
      <w:bookmarkStart w:id="271" w:name="_Toc26249"/>
      <w:r>
        <w:rPr>
          <w:rFonts w:hint="eastAsia"/>
          <w:lang w:val="en-US" w:eastAsia="zh-CN"/>
        </w:rPr>
        <w:t>八、</w:t>
      </w:r>
      <w:r>
        <w:rPr>
          <w:rFonts w:hint="eastAsia"/>
        </w:rPr>
        <w:t>应急供货措施</w:t>
      </w:r>
      <w:bookmarkEnd w:id="266"/>
      <w:bookmarkEnd w:id="267"/>
      <w:bookmarkEnd w:id="268"/>
      <w:bookmarkEnd w:id="269"/>
      <w:bookmarkEnd w:id="270"/>
      <w:bookmarkEnd w:id="271"/>
    </w:p>
    <w:p>
      <w:pPr>
        <w:ind w:firstLine="480"/>
      </w:pPr>
      <w:r>
        <w:rPr>
          <w:rFonts w:hint="eastAsia"/>
        </w:rPr>
        <w:t>本公司生产车间及收发货均安排24小时上班，如贵项目发生项目急需供货的情况，我公司可安排相关人员在洽商好的时间内将急需的货物送到需方指定地点。并且保证不收取任何费用。</w:t>
      </w:r>
    </w:p>
    <w:p>
      <w:pPr>
        <w:ind w:firstLine="480"/>
      </w:pPr>
      <w:r>
        <w:rPr>
          <w:rFonts w:hint="eastAsia"/>
          <w:lang w:val="en-US" w:eastAsia="zh-CN"/>
        </w:rPr>
        <w:t>（一）</w:t>
      </w:r>
      <w:r>
        <w:rPr>
          <w:rFonts w:hint="eastAsia"/>
        </w:rPr>
        <w:t>不论我方采用何种运输方式，我方均保证采购计划供应量，并保证有必要的调峰运输能力，确保采购人的需要。根据合同产品的特点和在运输中的不同要求，我方在包装袋上醒目地标明“小心尖锐物”、“保持干燥”等字样以及相应的标记图案。</w:t>
      </w:r>
    </w:p>
    <w:p>
      <w:pPr>
        <w:ind w:firstLine="480"/>
      </w:pPr>
      <w:r>
        <w:rPr>
          <w:rFonts w:hint="eastAsia"/>
          <w:lang w:val="en-US" w:eastAsia="zh-CN"/>
        </w:rPr>
        <w:t>（二）</w:t>
      </w:r>
      <w:r>
        <w:rPr>
          <w:rFonts w:hint="eastAsia"/>
        </w:rPr>
        <w:t>若因我方车辆限制或调配原因无法运输，如耽误了采购方的需求时间则向采购方支付违约费用。</w:t>
      </w:r>
    </w:p>
    <w:p>
      <w:pPr>
        <w:ind w:firstLine="480"/>
      </w:pPr>
      <w:r>
        <w:rPr>
          <w:rFonts w:hint="eastAsia"/>
          <w:lang w:val="en-US" w:eastAsia="zh-CN"/>
        </w:rPr>
        <w:t>（三）</w:t>
      </w:r>
      <w:r>
        <w:rPr>
          <w:rFonts w:hint="eastAsia"/>
        </w:rPr>
        <w:t>采购人给予供货地址的各公司联系方式，并协调各公司对合同货物在交货地点的组织卸货，我方负责现场指导装卸，以保证卸车过程中的质量和安全。</w:t>
      </w:r>
    </w:p>
    <w:p>
      <w:pPr>
        <w:spacing w:before="0" w:after="0" w:line="240" w:lineRule="auto"/>
        <w:ind w:firstLine="0" w:firstLineChars="0"/>
        <w:jc w:val="left"/>
      </w:pPr>
      <w:r>
        <w:br w:type="page"/>
      </w:r>
    </w:p>
    <w:p>
      <w:pPr>
        <w:pStyle w:val="5"/>
        <w:bidi w:val="0"/>
      </w:pPr>
      <w:bookmarkStart w:id="272" w:name="_Toc116121426"/>
      <w:bookmarkStart w:id="273" w:name="_Toc105600273"/>
      <w:bookmarkStart w:id="274" w:name="_Toc106727836"/>
      <w:bookmarkStart w:id="275" w:name="_Toc4651"/>
      <w:bookmarkStart w:id="276" w:name="_Toc117181900"/>
      <w:bookmarkStart w:id="277" w:name="_Toc118293230"/>
      <w:r>
        <w:rPr>
          <w:rFonts w:hint="eastAsia"/>
          <w:lang w:val="en-US" w:eastAsia="zh-CN"/>
        </w:rPr>
        <w:t>九、</w:t>
      </w:r>
      <w:r>
        <w:rPr>
          <w:rFonts w:hint="eastAsia"/>
        </w:rPr>
        <w:t>产品入库和出库管理</w:t>
      </w:r>
      <w:bookmarkEnd w:id="272"/>
      <w:bookmarkEnd w:id="273"/>
      <w:bookmarkEnd w:id="274"/>
      <w:bookmarkEnd w:id="275"/>
      <w:bookmarkEnd w:id="276"/>
      <w:bookmarkEnd w:id="277"/>
    </w:p>
    <w:p>
      <w:pPr>
        <w:pStyle w:val="6"/>
        <w:bidi w:val="0"/>
      </w:pPr>
      <w:bookmarkStart w:id="278" w:name="_Toc1930"/>
      <w:r>
        <w:rPr>
          <w:rFonts w:hint="eastAsia"/>
          <w:lang w:eastAsia="zh-CN"/>
        </w:rPr>
        <w:t>（</w:t>
      </w:r>
      <w:r>
        <w:rPr>
          <w:rFonts w:hint="eastAsia"/>
          <w:lang w:val="en-US" w:eastAsia="zh-CN"/>
        </w:rPr>
        <w:t>一</w:t>
      </w:r>
      <w:r>
        <w:rPr>
          <w:rFonts w:hint="eastAsia"/>
          <w:lang w:eastAsia="zh-CN"/>
        </w:rPr>
        <w:t>）</w:t>
      </w:r>
      <w:r>
        <w:rPr>
          <w:rFonts w:hint="eastAsia"/>
        </w:rPr>
        <w:t>产品入库</w:t>
      </w:r>
      <w:bookmarkEnd w:id="278"/>
    </w:p>
    <w:p>
      <w:pPr>
        <w:ind w:firstLine="480"/>
      </w:pPr>
      <w:r>
        <w:rPr>
          <w:rFonts w:hint="eastAsia"/>
        </w:rPr>
        <w:t>（</w:t>
      </w:r>
      <w:r>
        <w:rPr>
          <w:rFonts w:hint="eastAsia"/>
          <w:lang w:val="en-US" w:eastAsia="zh-CN"/>
        </w:rPr>
        <w:t>一</w:t>
      </w:r>
      <w:r>
        <w:rPr>
          <w:rFonts w:hint="eastAsia"/>
        </w:rPr>
        <w:t>）采购产品必须经检验合格后才能入库，入库时由生产车间填写《产品入库单》（品名、型号、规格、数量、批号），《产品入库单》上必须有生产车间的签字，仓储部仓管人员根据《产品入库单》上的内容，与实际产品进行核对，相符后将产品入库。《产品入库单》一式三联，由生产车间、仓库和营销部各保留一联。</w:t>
      </w:r>
    </w:p>
    <w:p>
      <w:pPr>
        <w:ind w:firstLine="480"/>
      </w:pPr>
      <w:r>
        <w:rPr>
          <w:rFonts w:hint="eastAsia"/>
        </w:rPr>
        <w:t>（</w:t>
      </w:r>
      <w:r>
        <w:rPr>
          <w:rFonts w:hint="eastAsia"/>
          <w:lang w:val="en-US" w:eastAsia="zh-CN"/>
        </w:rPr>
        <w:t>二</w:t>
      </w:r>
      <w:r>
        <w:rPr>
          <w:rFonts w:hint="eastAsia"/>
        </w:rPr>
        <w:t>）产品入库时，仓储部仓管人员必须及时将电脑中的入库单进行审核。</w:t>
      </w:r>
    </w:p>
    <w:p>
      <w:pPr>
        <w:ind w:firstLine="480"/>
      </w:pPr>
      <w:r>
        <w:rPr>
          <w:rFonts w:hint="eastAsia"/>
        </w:rPr>
        <w:t>（</w:t>
      </w:r>
      <w:r>
        <w:rPr>
          <w:rFonts w:hint="eastAsia"/>
          <w:lang w:val="en-US" w:eastAsia="zh-CN"/>
        </w:rPr>
        <w:t>三</w:t>
      </w:r>
      <w:r>
        <w:rPr>
          <w:rFonts w:hint="eastAsia"/>
        </w:rPr>
        <w:t>）退货产品按《退货产品处理规定》办理。</w:t>
      </w:r>
    </w:p>
    <w:p>
      <w:pPr>
        <w:pStyle w:val="6"/>
        <w:bidi w:val="0"/>
      </w:pPr>
      <w:bookmarkStart w:id="279" w:name="_Toc10123"/>
      <w:r>
        <w:rPr>
          <w:rFonts w:hint="eastAsia"/>
          <w:lang w:eastAsia="zh-CN"/>
        </w:rPr>
        <w:t>（</w:t>
      </w:r>
      <w:r>
        <w:rPr>
          <w:rFonts w:hint="eastAsia"/>
          <w:lang w:val="en-US" w:eastAsia="zh-CN"/>
        </w:rPr>
        <w:t>二</w:t>
      </w:r>
      <w:r>
        <w:rPr>
          <w:rFonts w:hint="eastAsia"/>
          <w:lang w:eastAsia="zh-CN"/>
        </w:rPr>
        <w:t>）</w:t>
      </w:r>
      <w:r>
        <w:rPr>
          <w:rFonts w:hint="eastAsia"/>
        </w:rPr>
        <w:t>产品出库</w:t>
      </w:r>
      <w:bookmarkEnd w:id="279"/>
    </w:p>
    <w:p>
      <w:pPr>
        <w:ind w:firstLine="480"/>
      </w:pPr>
      <w:r>
        <w:rPr>
          <w:rFonts w:hint="eastAsia"/>
        </w:rPr>
        <w:t>（</w:t>
      </w:r>
      <w:r>
        <w:rPr>
          <w:rFonts w:hint="eastAsia"/>
          <w:lang w:val="en-US" w:eastAsia="zh-CN"/>
        </w:rPr>
        <w:t>一</w:t>
      </w:r>
      <w:r>
        <w:rPr>
          <w:rFonts w:hint="eastAsia"/>
        </w:rPr>
        <w:t>）仓储部仓管人员根据营销部下达的《送货通知单》进行产品出库的工作。</w:t>
      </w:r>
    </w:p>
    <w:p>
      <w:pPr>
        <w:ind w:firstLine="480"/>
      </w:pPr>
      <w:r>
        <w:rPr>
          <w:rFonts w:hint="eastAsia"/>
        </w:rPr>
        <w:t>（</w:t>
      </w:r>
      <w:r>
        <w:rPr>
          <w:rFonts w:hint="eastAsia"/>
          <w:lang w:val="en-US" w:eastAsia="zh-CN"/>
        </w:rPr>
        <w:t>二</w:t>
      </w:r>
      <w:r>
        <w:rPr>
          <w:rFonts w:hint="eastAsia"/>
        </w:rPr>
        <w:t>）产品出库必须符合包装整洁、完整、标识齐全（特批产品除外），同一品种供同一家客户按同一批号发货（最多不超过二个批号）。</w:t>
      </w:r>
    </w:p>
    <w:p>
      <w:pPr>
        <w:ind w:firstLine="480"/>
      </w:pPr>
      <w:r>
        <w:rPr>
          <w:rFonts w:hint="eastAsia"/>
        </w:rPr>
        <w:t>（</w:t>
      </w:r>
      <w:r>
        <w:rPr>
          <w:rFonts w:hint="eastAsia"/>
          <w:lang w:val="en-US" w:eastAsia="zh-CN"/>
        </w:rPr>
        <w:t>三</w:t>
      </w:r>
      <w:r>
        <w:rPr>
          <w:rFonts w:hint="eastAsia"/>
        </w:rPr>
        <w:t>）产品出库时，仓储部仓管人员应及时更新记录，同时将出库信息及时输入信息系统，保证记录和输入的准确性，并将出库记录进行审核。当天入库的记录和输入工作必须在当天完成。</w:t>
      </w:r>
    </w:p>
    <w:p>
      <w:pPr>
        <w:ind w:firstLine="480"/>
      </w:pPr>
      <w:r>
        <w:rPr>
          <w:rFonts w:hint="eastAsia"/>
        </w:rPr>
        <w:t>（</w:t>
      </w:r>
      <w:r>
        <w:rPr>
          <w:rFonts w:hint="eastAsia"/>
          <w:lang w:val="en-US" w:eastAsia="zh-CN"/>
        </w:rPr>
        <w:t>四</w:t>
      </w:r>
      <w:r>
        <w:rPr>
          <w:rFonts w:hint="eastAsia"/>
        </w:rPr>
        <w:t>）产品出库装车时，仓管人员应提交《销售单》（清单的内容、品名、型号、规格、数量、批号、发往客户等）给货车司机，由货车司机监督装车货物是否与销售出库单所列相符，并签字确认。</w:t>
      </w:r>
    </w:p>
    <w:p>
      <w:pPr>
        <w:ind w:firstLine="480"/>
      </w:pPr>
      <w:r>
        <w:rPr>
          <w:rFonts w:hint="eastAsia"/>
        </w:rPr>
        <w:t>（</w:t>
      </w:r>
      <w:r>
        <w:rPr>
          <w:rFonts w:hint="eastAsia"/>
          <w:lang w:val="en-US" w:eastAsia="zh-CN"/>
        </w:rPr>
        <w:t>五</w:t>
      </w:r>
      <w:r>
        <w:rPr>
          <w:rFonts w:hint="eastAsia"/>
        </w:rPr>
        <w:t>）客户如需发货清单随货，仓储部必须按要求将《销售单》放入箱内，并在箱外标明，以供客户收货、验货。</w:t>
      </w:r>
    </w:p>
    <w:p>
      <w:pPr>
        <w:ind w:firstLine="480"/>
      </w:pPr>
      <w:r>
        <w:rPr>
          <w:rFonts w:hint="eastAsia"/>
        </w:rPr>
        <w:t>（</w:t>
      </w:r>
      <w:r>
        <w:rPr>
          <w:rFonts w:hint="eastAsia"/>
          <w:lang w:val="en-US" w:eastAsia="zh-CN"/>
        </w:rPr>
        <w:t>六</w:t>
      </w:r>
      <w:r>
        <w:rPr>
          <w:rFonts w:hint="eastAsia"/>
        </w:rPr>
        <w:t>）货物中携带资料和样品的，必须随箱放入清单，在箱外标明，以便客户及时查收。</w:t>
      </w:r>
    </w:p>
    <w:p>
      <w:pPr>
        <w:ind w:firstLine="480"/>
      </w:pPr>
      <w:r>
        <w:rPr>
          <w:rFonts w:hint="eastAsia"/>
          <w:b/>
          <w:bCs/>
          <w:lang w:eastAsia="zh-CN"/>
        </w:rPr>
        <w:t>（</w:t>
      </w:r>
      <w:r>
        <w:rPr>
          <w:rFonts w:hint="eastAsia"/>
          <w:b/>
          <w:bCs/>
          <w:lang w:val="en-US" w:eastAsia="zh-CN"/>
        </w:rPr>
        <w:t>七</w:t>
      </w:r>
      <w:r>
        <w:rPr>
          <w:rFonts w:hint="eastAsia"/>
          <w:b/>
          <w:bCs/>
          <w:lang w:eastAsia="zh-CN"/>
        </w:rPr>
        <w:t>）</w:t>
      </w:r>
      <w:r>
        <w:rPr>
          <w:rFonts w:hint="eastAsia"/>
        </w:rPr>
        <w:t>所有投标货物报价包含物资运输、搬运、下车费、发放到户清册、技术培训、税费等各项费用。</w:t>
      </w:r>
    </w:p>
    <w:p>
      <w:pPr>
        <w:pStyle w:val="5"/>
        <w:bidi w:val="0"/>
      </w:pPr>
      <w:bookmarkStart w:id="280" w:name="_Toc118293231"/>
      <w:bookmarkStart w:id="281" w:name="_Toc106727837"/>
      <w:bookmarkStart w:id="282" w:name="_Toc116121427"/>
      <w:bookmarkStart w:id="283" w:name="_Toc117181901"/>
      <w:bookmarkStart w:id="284" w:name="_Toc19546"/>
      <w:bookmarkStart w:id="285" w:name="_Toc105600274"/>
      <w:r>
        <w:rPr>
          <w:rFonts w:hint="eastAsia"/>
          <w:lang w:val="en-US" w:eastAsia="zh-CN"/>
        </w:rPr>
        <w:t>十、</w:t>
      </w:r>
      <w:r>
        <w:rPr>
          <w:rFonts w:hint="eastAsia"/>
        </w:rPr>
        <w:t>临时补货</w:t>
      </w:r>
      <w:bookmarkEnd w:id="280"/>
      <w:bookmarkEnd w:id="281"/>
      <w:bookmarkEnd w:id="282"/>
      <w:bookmarkEnd w:id="283"/>
      <w:bookmarkEnd w:id="284"/>
      <w:bookmarkEnd w:id="285"/>
    </w:p>
    <w:p>
      <w:pPr>
        <w:ind w:firstLine="480"/>
      </w:pPr>
      <w:r>
        <w:rPr>
          <w:rFonts w:hint="eastAsia"/>
          <w:lang w:eastAsia="zh-CN"/>
        </w:rPr>
        <w:t>（</w:t>
      </w:r>
      <w:r>
        <w:rPr>
          <w:rFonts w:hint="eastAsia"/>
          <w:lang w:val="en-US" w:eastAsia="zh-CN"/>
        </w:rPr>
        <w:t>一</w:t>
      </w:r>
      <w:r>
        <w:rPr>
          <w:rFonts w:hint="eastAsia"/>
          <w:lang w:eastAsia="zh-CN"/>
        </w:rPr>
        <w:t>）</w:t>
      </w:r>
      <w:r>
        <w:rPr>
          <w:rFonts w:hint="eastAsia"/>
        </w:rPr>
        <w:t>因突发性产品需求涉及到的临时补货，只对守法、合格的客户。</w:t>
      </w:r>
    </w:p>
    <w:p>
      <w:pPr>
        <w:ind w:firstLine="480"/>
      </w:pPr>
      <w:r>
        <w:rPr>
          <w:rFonts w:hint="eastAsia"/>
          <w:lang w:eastAsia="zh-CN"/>
        </w:rPr>
        <w:t>（</w:t>
      </w:r>
      <w:r>
        <w:rPr>
          <w:rFonts w:hint="eastAsia"/>
          <w:lang w:val="en-US" w:eastAsia="zh-CN"/>
        </w:rPr>
        <w:t>二</w:t>
      </w:r>
      <w:r>
        <w:rPr>
          <w:rFonts w:hint="eastAsia"/>
          <w:lang w:eastAsia="zh-CN"/>
        </w:rPr>
        <w:t>）</w:t>
      </w:r>
      <w:r>
        <w:rPr>
          <w:rFonts w:hint="eastAsia"/>
        </w:rPr>
        <w:t>为了应对突发性产品需求，我单位仓库有充足数量的货源，并由专人保管，以备不时之需。</w:t>
      </w:r>
    </w:p>
    <w:p>
      <w:pPr>
        <w:ind w:firstLine="480"/>
      </w:pPr>
      <w:r>
        <w:rPr>
          <w:rFonts w:hint="eastAsia"/>
          <w:lang w:eastAsia="zh-CN"/>
        </w:rPr>
        <w:t>（</w:t>
      </w:r>
      <w:r>
        <w:rPr>
          <w:rFonts w:hint="eastAsia"/>
          <w:lang w:val="en-US" w:eastAsia="zh-CN"/>
        </w:rPr>
        <w:t>三</w:t>
      </w:r>
      <w:r>
        <w:rPr>
          <w:rFonts w:hint="eastAsia"/>
          <w:lang w:eastAsia="zh-CN"/>
        </w:rPr>
        <w:t>）</w:t>
      </w:r>
      <w:r>
        <w:rPr>
          <w:rFonts w:hint="eastAsia"/>
        </w:rPr>
        <w:t>对于突发性产品需求，应该由办公室及时上报到总公司，由总公司批准后，及时向供应部发出通知，争取在最短时间将客户所需产品送达。</w:t>
      </w:r>
    </w:p>
    <w:p>
      <w:pPr>
        <w:ind w:firstLine="480"/>
      </w:pPr>
      <w:r>
        <w:rPr>
          <w:rFonts w:hint="eastAsia"/>
          <w:lang w:eastAsia="zh-CN"/>
        </w:rPr>
        <w:t>（</w:t>
      </w:r>
      <w:r>
        <w:rPr>
          <w:rFonts w:hint="eastAsia"/>
          <w:lang w:val="en-US" w:eastAsia="zh-CN"/>
        </w:rPr>
        <w:t>四</w:t>
      </w:r>
      <w:r>
        <w:rPr>
          <w:rFonts w:hint="eastAsia"/>
          <w:lang w:eastAsia="zh-CN"/>
        </w:rPr>
        <w:t>）</w:t>
      </w:r>
      <w:r>
        <w:rPr>
          <w:rFonts w:hint="eastAsia"/>
        </w:rPr>
        <w:t>整合车辆资源，保证货物运输的及时性。把自有车辆与社会固有车辆进行合理搭配，对不同吨位及目的地的货物，安排合适的车型，以保证货物到达的及时性。</w:t>
      </w:r>
    </w:p>
    <w:p>
      <w:pPr>
        <w:ind w:firstLine="480"/>
      </w:pPr>
      <w:r>
        <w:rPr>
          <w:rFonts w:hint="eastAsia"/>
          <w:lang w:eastAsia="zh-CN"/>
        </w:rPr>
        <w:t>（</w:t>
      </w:r>
      <w:r>
        <w:rPr>
          <w:rFonts w:hint="eastAsia"/>
          <w:lang w:val="en-US" w:eastAsia="zh-CN"/>
        </w:rPr>
        <w:t>五</w:t>
      </w:r>
      <w:r>
        <w:rPr>
          <w:rFonts w:hint="eastAsia"/>
          <w:lang w:eastAsia="zh-CN"/>
        </w:rPr>
        <w:t>）</w:t>
      </w:r>
      <w:r>
        <w:rPr>
          <w:rFonts w:hint="eastAsia"/>
        </w:rPr>
        <w:t>做好货物运输途中的安全防护举措，针对不同季节及天气配备相应的防护用具，如：防雨布，棉被，胶垫及固定保护装置等。保证货物的安全运达。</w:t>
      </w:r>
    </w:p>
    <w:p>
      <w:pPr>
        <w:ind w:firstLine="480"/>
      </w:pPr>
      <w:r>
        <w:rPr>
          <w:rFonts w:hint="eastAsia"/>
          <w:lang w:eastAsia="zh-CN"/>
        </w:rPr>
        <w:t>（</w:t>
      </w:r>
      <w:r>
        <w:rPr>
          <w:rFonts w:hint="eastAsia"/>
          <w:lang w:val="en-US" w:eastAsia="zh-CN"/>
        </w:rPr>
        <w:t>六</w:t>
      </w:r>
      <w:r>
        <w:rPr>
          <w:rFonts w:hint="eastAsia"/>
          <w:lang w:eastAsia="zh-CN"/>
        </w:rPr>
        <w:t>）</w:t>
      </w:r>
      <w:r>
        <w:rPr>
          <w:rFonts w:hint="eastAsia"/>
        </w:rPr>
        <w:t>及时调整，保证以最快的时间将产品送达甲方指定地点。</w:t>
      </w:r>
    </w:p>
    <w:p>
      <w:pPr>
        <w:spacing w:before="0" w:after="0" w:line="240" w:lineRule="auto"/>
        <w:ind w:firstLine="0" w:firstLineChars="0"/>
        <w:jc w:val="left"/>
      </w:pPr>
      <w:r>
        <w:br w:type="page"/>
      </w:r>
    </w:p>
    <w:p>
      <w:pPr>
        <w:pStyle w:val="4"/>
        <w:bidi w:val="0"/>
      </w:pPr>
      <w:bookmarkStart w:id="286" w:name="_Toc118293232"/>
      <w:bookmarkStart w:id="287" w:name="_Toc32746"/>
      <w:r>
        <w:rPr>
          <w:rFonts w:hint="eastAsia"/>
          <w:lang w:val="en-US" w:eastAsia="zh-CN"/>
        </w:rPr>
        <w:t xml:space="preserve">第六节  </w:t>
      </w:r>
      <w:r>
        <w:t>产品供货进度计划</w:t>
      </w:r>
      <w:bookmarkEnd w:id="208"/>
      <w:bookmarkEnd w:id="209"/>
      <w:bookmarkEnd w:id="210"/>
      <w:bookmarkEnd w:id="211"/>
      <w:bookmarkEnd w:id="212"/>
      <w:bookmarkEnd w:id="286"/>
      <w:bookmarkEnd w:id="287"/>
    </w:p>
    <w:p>
      <w:pPr>
        <w:pStyle w:val="5"/>
        <w:bidi w:val="0"/>
      </w:pPr>
      <w:bookmarkStart w:id="288" w:name="_Toc106727839"/>
      <w:bookmarkStart w:id="289" w:name="_Toc118223542"/>
      <w:bookmarkStart w:id="290" w:name="_Toc11766"/>
      <w:bookmarkStart w:id="291" w:name="_Toc118293233"/>
      <w:bookmarkStart w:id="292" w:name="_Ref118206583"/>
      <w:bookmarkStart w:id="293" w:name="_Toc105600293"/>
      <w:bookmarkStart w:id="294" w:name="_Ref118206590"/>
      <w:bookmarkStart w:id="295" w:name="_Ref118206585"/>
      <w:bookmarkStart w:id="296" w:name="_Toc115429264"/>
      <w:r>
        <w:rPr>
          <w:rFonts w:hint="eastAsia"/>
          <w:lang w:val="en-US" w:eastAsia="zh-CN"/>
        </w:rPr>
        <w:t>一、</w:t>
      </w:r>
      <w:r>
        <w:rPr>
          <w:rFonts w:hint="eastAsia"/>
        </w:rPr>
        <w:t>交货期的承诺</w:t>
      </w:r>
      <w:bookmarkEnd w:id="288"/>
      <w:bookmarkEnd w:id="289"/>
      <w:bookmarkEnd w:id="290"/>
      <w:bookmarkEnd w:id="291"/>
      <w:bookmarkEnd w:id="292"/>
      <w:bookmarkEnd w:id="293"/>
      <w:bookmarkEnd w:id="294"/>
      <w:bookmarkEnd w:id="295"/>
      <w:bookmarkEnd w:id="296"/>
    </w:p>
    <w:p>
      <w:pPr>
        <w:ind w:firstLine="480"/>
      </w:pPr>
      <w:r>
        <w:rPr>
          <w:rFonts w:hint="eastAsia"/>
        </w:rPr>
        <w:t>如果我方中标，订货合同签订后，我方将严格按照合同要求的时间内，将所需货物运达需方指定地点，并在产品装运发车当日将发货情况向需方报告。并且承诺将按照合同中要求的交货期，按时交货和提供服务。</w:t>
      </w:r>
    </w:p>
    <w:p>
      <w:pPr>
        <w:ind w:firstLine="480"/>
      </w:pPr>
      <w:r>
        <w:rPr>
          <w:rFonts w:hint="eastAsia"/>
        </w:rPr>
        <w:t>如我方中标后，不能按期交货而给需方生产带来一定的困难，我方将向需方偿付逾期交货违约金。违约金为每逾期一天，按逾期部份货款的万分之三计算，并且需方可从质量保证金中抵扣。</w:t>
      </w:r>
    </w:p>
    <w:p>
      <w:pPr>
        <w:ind w:firstLine="480"/>
      </w:pPr>
      <w:r>
        <w:rPr>
          <w:rFonts w:hint="eastAsia"/>
        </w:rPr>
        <w:t>如遇不可抗力的因素而影响生产周期和供货时间时，我方将与需方协商解决。</w:t>
      </w:r>
    </w:p>
    <w:p>
      <w:pPr>
        <w:ind w:firstLine="480"/>
        <w:rPr>
          <w:b/>
          <w:color w:val="F8CBAD" w:themeColor="accent2" w:themeTint="66"/>
          <w14:textOutline w14:w="11112" w14:cap="flat" w14:cmpd="sng" w14:algn="ctr">
            <w14:solidFill>
              <w14:schemeClr w14:val="accent2"/>
            </w14:solidFill>
            <w14:prstDash w14:val="solid"/>
            <w14:round/>
          </w14:textOutline>
          <w14:textFill>
            <w14:solidFill>
              <w14:schemeClr w14:val="accent2">
                <w14:lumMod w14:val="40000"/>
                <w14:lumOff w14:val="60000"/>
              </w14:schemeClr>
            </w14:solidFill>
          </w14:textFill>
        </w:rPr>
      </w:pPr>
      <w:r>
        <w:rPr>
          <w:rFonts w:hint="eastAsia"/>
        </w:rPr>
        <w:t>我单位将货物运输到指定地点后，我单位向采购方提供随货同行的相关合格证书，由采购人进行验收；卸货及有关费用我单位负责；同时由采购人抽取的样品送检，若我单位中标，中标后我单位将在合同签订后，</w:t>
      </w:r>
      <w:r>
        <w:t>15日历天内全部交清</w:t>
      </w:r>
      <w:r>
        <w:rPr>
          <w:rFonts w:hint="eastAsia"/>
        </w:rPr>
        <w:t>。</w:t>
      </w:r>
    </w:p>
    <w:p>
      <w:pPr>
        <w:ind w:firstLine="480"/>
      </w:pPr>
      <w:r>
        <w:rPr>
          <w:rFonts w:hint="eastAsia"/>
        </w:rPr>
        <w:t>交货地点：采购人指定地点。</w:t>
      </w:r>
    </w:p>
    <w:p>
      <w:pPr>
        <w:ind w:firstLine="480"/>
      </w:pPr>
      <w:r>
        <w:rPr>
          <w:rFonts w:hint="eastAsia"/>
        </w:rPr>
        <w:t>我公司对上述承诺的真实性、有效性负责，若发现我公司提供虚假承诺，可取消我公司中标资格，我公司承担由此造成的一切责任。</w:t>
      </w:r>
      <w:r>
        <w:br w:type="page"/>
      </w:r>
    </w:p>
    <w:p>
      <w:pPr>
        <w:pStyle w:val="52"/>
      </w:pPr>
      <w:bookmarkStart w:id="297" w:name="_Toc106727840"/>
      <w:bookmarkStart w:id="298" w:name="_Toc105600294"/>
      <w:r>
        <w:rPr>
          <w:rFonts w:hint="eastAsia"/>
        </w:rPr>
        <w:t>供货进度计划表</w:t>
      </w:r>
    </w:p>
    <w:p>
      <w:pPr>
        <w:pStyle w:val="52"/>
        <w:jc w:val="both"/>
      </w:pPr>
      <w:r>
        <w:drawing>
          <wp:inline distT="0" distB="0" distL="0" distR="0">
            <wp:extent cx="5309235" cy="3023235"/>
            <wp:effectExtent l="4445" t="4445" r="20320" b="20320"/>
            <wp:docPr id="47"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widowControl/>
        <w:spacing w:before="0" w:after="0" w:line="240" w:lineRule="auto"/>
        <w:ind w:firstLine="0" w:firstLineChars="0"/>
        <w:jc w:val="left"/>
        <w:rPr>
          <w:rFonts w:ascii="Arial" w:hAnsi="Arial"/>
          <w:b/>
          <w:bCs/>
          <w:sz w:val="28"/>
          <w:szCs w:val="32"/>
        </w:rPr>
      </w:pPr>
      <w:r>
        <w:br w:type="page"/>
      </w:r>
    </w:p>
    <w:p>
      <w:pPr>
        <w:pStyle w:val="5"/>
        <w:bidi w:val="0"/>
      </w:pPr>
      <w:bookmarkStart w:id="299" w:name="_Toc118223543"/>
      <w:bookmarkStart w:id="300" w:name="_Ref118206595"/>
      <w:bookmarkStart w:id="301" w:name="_Ref118206598"/>
      <w:bookmarkStart w:id="302" w:name="_Toc32142"/>
      <w:bookmarkStart w:id="303" w:name="_Ref118206604"/>
      <w:bookmarkStart w:id="304" w:name="_Toc118293234"/>
      <w:bookmarkStart w:id="305" w:name="_Toc115429265"/>
      <w:r>
        <w:rPr>
          <w:rFonts w:hint="eastAsia"/>
          <w:lang w:val="en-US" w:eastAsia="zh-CN"/>
        </w:rPr>
        <w:t>二、</w:t>
      </w:r>
      <w:r>
        <w:rPr>
          <w:rFonts w:hint="eastAsia"/>
        </w:rPr>
        <w:t>交货期保证措施</w:t>
      </w:r>
      <w:bookmarkEnd w:id="297"/>
      <w:bookmarkEnd w:id="298"/>
      <w:bookmarkEnd w:id="299"/>
      <w:bookmarkEnd w:id="300"/>
      <w:bookmarkEnd w:id="301"/>
      <w:bookmarkEnd w:id="302"/>
      <w:bookmarkEnd w:id="303"/>
      <w:bookmarkEnd w:id="304"/>
      <w:bookmarkEnd w:id="305"/>
    </w:p>
    <w:p>
      <w:pPr>
        <w:ind w:firstLine="480"/>
        <w:rPr>
          <w:rFonts w:hint="eastAsia" w:eastAsia="宋体"/>
          <w:lang w:eastAsia="zh-CN"/>
        </w:rPr>
      </w:pPr>
      <w:r>
        <w:rPr>
          <w:rFonts w:hint="eastAsia"/>
        </w:rPr>
        <w:t>为了保证按期交货，特制定以下措施：</w:t>
      </w:r>
    </w:p>
    <w:p>
      <w:pPr>
        <w:pStyle w:val="6"/>
        <w:bidi w:val="0"/>
        <w:rPr>
          <w:rFonts w:hint="eastAsia"/>
          <w:lang w:eastAsia="zh-CN"/>
        </w:rPr>
      </w:pPr>
      <w:bookmarkStart w:id="306" w:name="_Toc9668"/>
      <w:r>
        <w:rPr>
          <w:rFonts w:hint="eastAsia"/>
          <w:lang w:eastAsia="zh-CN"/>
        </w:rPr>
        <w:t>（</w:t>
      </w:r>
      <w:r>
        <w:rPr>
          <w:rFonts w:hint="eastAsia"/>
          <w:lang w:val="en-US" w:eastAsia="zh-CN"/>
        </w:rPr>
        <w:t>一</w:t>
      </w:r>
      <w:r>
        <w:rPr>
          <w:rFonts w:hint="eastAsia"/>
          <w:lang w:eastAsia="zh-CN"/>
        </w:rPr>
        <w:t>）</w:t>
      </w:r>
      <w:r>
        <w:rPr>
          <w:rFonts w:hint="eastAsia"/>
        </w:rPr>
        <w:t>组织措施</w:t>
      </w:r>
      <w:bookmarkEnd w:id="306"/>
    </w:p>
    <w:p>
      <w:pPr>
        <w:ind w:firstLine="480"/>
      </w:pPr>
      <w:r>
        <w:rPr>
          <w:rFonts w:hint="eastAsia"/>
          <w:lang w:eastAsia="zh-CN"/>
        </w:rPr>
        <w:t>（</w:t>
      </w:r>
      <w:r>
        <w:rPr>
          <w:rFonts w:hint="eastAsia"/>
          <w:lang w:val="en-US" w:eastAsia="zh-CN"/>
        </w:rPr>
        <w:t>一</w:t>
      </w:r>
      <w:r>
        <w:rPr>
          <w:rFonts w:hint="eastAsia"/>
          <w:lang w:eastAsia="zh-CN"/>
        </w:rPr>
        <w:t>）</w:t>
      </w:r>
      <w:r>
        <w:rPr>
          <w:rFonts w:hint="eastAsia"/>
        </w:rPr>
        <w:t>落实各层次的进度控制人员具体任务和工作责任。生产部成立以生产负责人为首的进度控制组织系统，做好劳力、材料、机构的协调准备工作，保证在生产过程中不出现窝工、浪工现象；加强对生产部的各类管理人员的教育工作，使他们到岗尽职，以有利于各项工作的有效展开。</w:t>
      </w:r>
    </w:p>
    <w:p>
      <w:pPr>
        <w:ind w:firstLine="480"/>
        <w:rPr>
          <w:rFonts w:hint="eastAsia" w:eastAsia="宋体"/>
          <w:lang w:eastAsia="zh-CN"/>
        </w:rPr>
      </w:pPr>
      <w:r>
        <w:rPr>
          <w:rFonts w:hint="eastAsia"/>
          <w:lang w:eastAsia="zh-CN"/>
        </w:rPr>
        <w:t>（</w:t>
      </w:r>
      <w:r>
        <w:rPr>
          <w:rFonts w:hint="eastAsia"/>
          <w:lang w:val="en-US" w:eastAsia="zh-CN"/>
        </w:rPr>
        <w:t>二</w:t>
      </w:r>
      <w:r>
        <w:rPr>
          <w:rFonts w:hint="eastAsia"/>
          <w:lang w:eastAsia="zh-CN"/>
        </w:rPr>
        <w:t>）</w:t>
      </w:r>
      <w:r>
        <w:rPr>
          <w:rFonts w:hint="eastAsia"/>
        </w:rPr>
        <w:t>强化生产指导机构，在劳力、材料运输、机构管理、生产后勤方面一切服从生产需要。任何人须服从分配听指挥，对作业计划完成情况。进行跟踪研究、分析，牢牢掌握生产主动权，对未完成生产计划的，及时查原因、订措施补救。</w:t>
      </w:r>
    </w:p>
    <w:p>
      <w:pPr>
        <w:ind w:firstLine="480"/>
        <w:rPr>
          <w:rFonts w:hint="eastAsia" w:eastAsia="宋体"/>
          <w:lang w:eastAsia="zh-CN"/>
        </w:rPr>
      </w:pPr>
      <w:r>
        <w:rPr>
          <w:rFonts w:hint="eastAsia"/>
          <w:lang w:eastAsia="zh-CN"/>
        </w:rPr>
        <w:t>（</w:t>
      </w:r>
      <w:r>
        <w:rPr>
          <w:rFonts w:hint="eastAsia"/>
          <w:lang w:val="en-US" w:eastAsia="zh-CN"/>
        </w:rPr>
        <w:t>三</w:t>
      </w:r>
      <w:r>
        <w:rPr>
          <w:rFonts w:hint="eastAsia"/>
          <w:lang w:eastAsia="zh-CN"/>
        </w:rPr>
        <w:t>）</w:t>
      </w:r>
      <w:r>
        <w:rPr>
          <w:rFonts w:hint="eastAsia"/>
        </w:rPr>
        <w:t>加强计划管理，建立班组会、生产例会。落实总工期，不断对照计划检查各节点工序工期的执行情况，及时调整，动态控制，确保计划总工期的实现。</w:t>
      </w:r>
    </w:p>
    <w:p>
      <w:pPr>
        <w:pStyle w:val="6"/>
        <w:bidi w:val="0"/>
        <w:rPr>
          <w:rFonts w:hint="eastAsia"/>
          <w:lang w:eastAsia="zh-CN"/>
        </w:rPr>
      </w:pPr>
      <w:bookmarkStart w:id="307" w:name="_Toc15255"/>
      <w:r>
        <w:rPr>
          <w:rFonts w:hint="eastAsia"/>
          <w:lang w:eastAsia="zh-CN"/>
        </w:rPr>
        <w:t>（</w:t>
      </w:r>
      <w:r>
        <w:rPr>
          <w:rFonts w:hint="eastAsia"/>
          <w:lang w:val="en-US" w:eastAsia="zh-CN"/>
        </w:rPr>
        <w:t>二</w:t>
      </w:r>
      <w:r>
        <w:rPr>
          <w:rFonts w:hint="eastAsia"/>
          <w:lang w:eastAsia="zh-CN"/>
        </w:rPr>
        <w:t>）</w:t>
      </w:r>
      <w:r>
        <w:rPr>
          <w:rFonts w:hint="eastAsia"/>
        </w:rPr>
        <w:t>技术措施</w:t>
      </w:r>
      <w:bookmarkEnd w:id="307"/>
    </w:p>
    <w:p>
      <w:pPr>
        <w:ind w:firstLine="480"/>
      </w:pPr>
      <w:r>
        <w:rPr>
          <w:rFonts w:hint="eastAsia"/>
          <w:lang w:eastAsia="zh-CN"/>
        </w:rPr>
        <w:t>（</w:t>
      </w:r>
      <w:r>
        <w:rPr>
          <w:rFonts w:hint="eastAsia"/>
          <w:lang w:val="en-US" w:eastAsia="zh-CN"/>
        </w:rPr>
        <w:t>一</w:t>
      </w:r>
      <w:r>
        <w:rPr>
          <w:rFonts w:hint="eastAsia"/>
          <w:lang w:eastAsia="zh-CN"/>
        </w:rPr>
        <w:t>）</w:t>
      </w:r>
      <w:r>
        <w:rPr>
          <w:rFonts w:hint="eastAsia"/>
        </w:rPr>
        <w:t>根据交货期控制，逐周编制作业计划。根据计划，在生产过程中加强人力、物力、技术调度，保证材料的供应，每天对照检查计划执行情况，及时调整。</w:t>
      </w:r>
    </w:p>
    <w:p>
      <w:pPr>
        <w:ind w:firstLine="480"/>
        <w:rPr>
          <w:rFonts w:hint="eastAsia" w:eastAsia="宋体"/>
          <w:lang w:eastAsia="zh-CN"/>
        </w:rPr>
      </w:pPr>
      <w:r>
        <w:rPr>
          <w:rFonts w:hint="eastAsia"/>
          <w:lang w:eastAsia="zh-CN"/>
        </w:rPr>
        <w:t>（</w:t>
      </w:r>
      <w:r>
        <w:rPr>
          <w:rFonts w:hint="eastAsia"/>
          <w:lang w:val="en-US" w:eastAsia="zh-CN"/>
        </w:rPr>
        <w:t>二</w:t>
      </w:r>
      <w:r>
        <w:rPr>
          <w:rFonts w:hint="eastAsia"/>
          <w:lang w:eastAsia="zh-CN"/>
        </w:rPr>
        <w:t>）</w:t>
      </w:r>
      <w:r>
        <w:rPr>
          <w:rFonts w:hint="eastAsia"/>
        </w:rPr>
        <w:t>人员的选用严格按单位的有关规定执行，调动本单位内部的熟练技术工人参战，注重提高操作工的技术素质，加强岗前培训工作，确保基本功运硬，以提高工作功率。</w:t>
      </w:r>
    </w:p>
    <w:p>
      <w:pPr>
        <w:ind w:firstLine="480"/>
        <w:rPr>
          <w:rFonts w:hint="eastAsia" w:eastAsia="宋体"/>
          <w:lang w:eastAsia="zh-CN"/>
        </w:rPr>
      </w:pPr>
      <w:r>
        <w:rPr>
          <w:rFonts w:hint="eastAsia"/>
          <w:lang w:eastAsia="zh-CN"/>
        </w:rPr>
        <w:t>（</w:t>
      </w:r>
      <w:r>
        <w:rPr>
          <w:rFonts w:hint="eastAsia"/>
          <w:lang w:val="en-US" w:eastAsia="zh-CN"/>
        </w:rPr>
        <w:t>三</w:t>
      </w:r>
      <w:r>
        <w:rPr>
          <w:rFonts w:hint="eastAsia"/>
          <w:lang w:eastAsia="zh-CN"/>
        </w:rPr>
        <w:t>）</w:t>
      </w:r>
      <w:r>
        <w:rPr>
          <w:rFonts w:hint="eastAsia"/>
        </w:rPr>
        <w:t>加强原材料的采购管理，多点联系，择优选购；周转材料充实供应，材料进场及时。进场后严格检验，合格后按类别整齐堆放，避免由于材料供应不及时或出现质量问题而耽误交货。</w:t>
      </w:r>
    </w:p>
    <w:p>
      <w:pPr>
        <w:ind w:firstLine="480"/>
        <w:rPr>
          <w:rFonts w:hint="eastAsia" w:eastAsia="宋体"/>
          <w:lang w:eastAsia="zh-CN"/>
        </w:rPr>
      </w:pPr>
      <w:r>
        <w:rPr>
          <w:rFonts w:hint="eastAsia"/>
          <w:lang w:eastAsia="zh-CN"/>
        </w:rPr>
        <w:t>（</w:t>
      </w:r>
      <w:r>
        <w:rPr>
          <w:rFonts w:hint="eastAsia"/>
          <w:lang w:val="en-US" w:eastAsia="zh-CN"/>
        </w:rPr>
        <w:t>四</w:t>
      </w:r>
      <w:r>
        <w:rPr>
          <w:rFonts w:hint="eastAsia"/>
          <w:lang w:eastAsia="zh-CN"/>
        </w:rPr>
        <w:t>）</w:t>
      </w:r>
      <w:r>
        <w:rPr>
          <w:rFonts w:hint="eastAsia"/>
        </w:rPr>
        <w:t>进场前进行检查维修，要必时购置，使用中不断加强保养和检修，以保证机具的完好性，从而保证和提高机具使用率，以免机械器具故障或短缺而影响工程进度。</w:t>
      </w:r>
    </w:p>
    <w:p>
      <w:pPr>
        <w:ind w:firstLine="480"/>
      </w:pPr>
      <w:r>
        <w:rPr>
          <w:rFonts w:hint="eastAsia"/>
          <w:lang w:eastAsia="zh-CN"/>
        </w:rPr>
        <w:t>（</w:t>
      </w:r>
      <w:r>
        <w:rPr>
          <w:rFonts w:hint="eastAsia"/>
          <w:lang w:val="en-US" w:eastAsia="zh-CN"/>
        </w:rPr>
        <w:t>五</w:t>
      </w:r>
      <w:r>
        <w:rPr>
          <w:rFonts w:hint="eastAsia"/>
          <w:lang w:eastAsia="zh-CN"/>
        </w:rPr>
        <w:t>）</w:t>
      </w:r>
      <w:r>
        <w:rPr>
          <w:rFonts w:hint="eastAsia"/>
        </w:rPr>
        <w:t>加强技术管理，各工序前要审图，进行详细技术交底。生产过程中执行三检制，对每一工序的质量进行跟踪检查把关。发现质量问题及时整改，以免影响一下道工序。</w:t>
      </w:r>
    </w:p>
    <w:p>
      <w:pPr>
        <w:ind w:firstLine="480"/>
        <w:rPr>
          <w:rFonts w:hint="eastAsia" w:eastAsia="宋体"/>
          <w:lang w:eastAsia="zh-CN"/>
        </w:rPr>
      </w:pPr>
      <w:r>
        <w:rPr>
          <w:rFonts w:hint="eastAsia"/>
          <w:lang w:eastAsia="zh-CN"/>
        </w:rPr>
        <w:t>（</w:t>
      </w:r>
      <w:r>
        <w:rPr>
          <w:rFonts w:hint="eastAsia"/>
          <w:lang w:val="en-US" w:eastAsia="zh-CN"/>
        </w:rPr>
        <w:t>六</w:t>
      </w:r>
      <w:r>
        <w:rPr>
          <w:rFonts w:hint="eastAsia"/>
          <w:lang w:eastAsia="zh-CN"/>
        </w:rPr>
        <w:t>）</w:t>
      </w:r>
      <w:r>
        <w:rPr>
          <w:rFonts w:hint="eastAsia"/>
        </w:rPr>
        <w:t>加强质量管理，严格按质量保证措施进行质量控制，做到操作有法，跟班检查，确保各工序质量合格，杜绝因产品质量引起返工、停工而延误工期。</w:t>
      </w:r>
    </w:p>
    <w:p>
      <w:pPr>
        <w:pStyle w:val="6"/>
        <w:bidi w:val="0"/>
        <w:rPr>
          <w:rFonts w:hint="eastAsia"/>
          <w:lang w:eastAsia="zh-CN"/>
        </w:rPr>
      </w:pPr>
      <w:bookmarkStart w:id="308" w:name="_Toc5227"/>
      <w:r>
        <w:rPr>
          <w:rFonts w:hint="eastAsia"/>
          <w:lang w:eastAsia="zh-CN"/>
        </w:rPr>
        <w:t>（</w:t>
      </w:r>
      <w:r>
        <w:rPr>
          <w:rFonts w:hint="eastAsia"/>
          <w:lang w:val="en-US" w:eastAsia="zh-CN"/>
        </w:rPr>
        <w:t>三</w:t>
      </w:r>
      <w:r>
        <w:rPr>
          <w:rFonts w:hint="eastAsia"/>
          <w:lang w:eastAsia="zh-CN"/>
        </w:rPr>
        <w:t>）</w:t>
      </w:r>
      <w:r>
        <w:rPr>
          <w:rFonts w:hint="eastAsia"/>
        </w:rPr>
        <w:t>合同措施</w:t>
      </w:r>
      <w:bookmarkEnd w:id="308"/>
    </w:p>
    <w:p>
      <w:pPr>
        <w:ind w:firstLine="480"/>
        <w:rPr>
          <w:rFonts w:hint="eastAsia" w:eastAsia="宋体"/>
          <w:lang w:eastAsia="zh-CN"/>
        </w:rPr>
      </w:pPr>
      <w:r>
        <w:rPr>
          <w:rFonts w:hint="eastAsia"/>
        </w:rPr>
        <w:t>在生产过程中全面推承包责任制，层层落实生产指标，开展班组之间的竞争，设立“进度计划完成奖以及质量信得过奖”，制定奖惩制度，做到奖罚分明，消灭大锅饭，奖励先进，充分调动积极性，把质量进度搞上去，对完不成计划而造成经济损失的，追究其责任。</w:t>
      </w:r>
    </w:p>
    <w:p>
      <w:pPr>
        <w:pStyle w:val="6"/>
        <w:bidi w:val="0"/>
        <w:rPr>
          <w:rFonts w:hint="eastAsia"/>
          <w:lang w:eastAsia="zh-CN"/>
        </w:rPr>
      </w:pPr>
      <w:bookmarkStart w:id="309" w:name="_Toc10740"/>
      <w:r>
        <w:rPr>
          <w:rFonts w:hint="eastAsia"/>
          <w:lang w:eastAsia="zh-CN"/>
        </w:rPr>
        <w:t>（</w:t>
      </w:r>
      <w:r>
        <w:rPr>
          <w:rFonts w:hint="eastAsia"/>
          <w:lang w:val="en-US" w:eastAsia="zh-CN"/>
        </w:rPr>
        <w:t>四</w:t>
      </w:r>
      <w:r>
        <w:rPr>
          <w:rFonts w:hint="eastAsia"/>
          <w:lang w:eastAsia="zh-CN"/>
        </w:rPr>
        <w:t>）</w:t>
      </w:r>
      <w:r>
        <w:rPr>
          <w:rFonts w:hint="eastAsia"/>
        </w:rPr>
        <w:t>经济措施</w:t>
      </w:r>
      <w:bookmarkEnd w:id="309"/>
    </w:p>
    <w:p>
      <w:pPr>
        <w:ind w:firstLine="480"/>
        <w:rPr>
          <w:rFonts w:hint="eastAsia" w:eastAsia="宋体"/>
          <w:lang w:eastAsia="zh-CN"/>
        </w:rPr>
      </w:pPr>
      <w:r>
        <w:rPr>
          <w:rFonts w:hint="eastAsia"/>
        </w:rPr>
        <w:t>为保证按期交货，须有资金保证，我公司为本项目准备了一定资金，并实行专款专用制，以确保我公司对建设单位资金垫付的承诺的实现，不影响工程进度，从而保证工程工期进度不受资金的影响。</w:t>
      </w:r>
    </w:p>
    <w:p>
      <w:pPr>
        <w:pStyle w:val="6"/>
        <w:bidi w:val="0"/>
        <w:rPr>
          <w:rFonts w:hint="eastAsia"/>
          <w:lang w:eastAsia="zh-CN"/>
        </w:rPr>
      </w:pPr>
      <w:bookmarkStart w:id="310" w:name="_Toc31870"/>
      <w:r>
        <w:rPr>
          <w:rFonts w:hint="eastAsia"/>
          <w:lang w:eastAsia="zh-CN"/>
        </w:rPr>
        <w:t>（</w:t>
      </w:r>
      <w:r>
        <w:rPr>
          <w:rFonts w:hint="eastAsia"/>
          <w:lang w:val="en-US" w:eastAsia="zh-CN"/>
        </w:rPr>
        <w:t>五</w:t>
      </w:r>
      <w:r>
        <w:rPr>
          <w:rFonts w:hint="eastAsia"/>
          <w:lang w:eastAsia="zh-CN"/>
        </w:rPr>
        <w:t>）</w:t>
      </w:r>
      <w:r>
        <w:rPr>
          <w:rFonts w:hint="eastAsia"/>
        </w:rPr>
        <w:t>信息管理措施</w:t>
      </w:r>
      <w:bookmarkEnd w:id="310"/>
    </w:p>
    <w:p>
      <w:pPr>
        <w:ind w:firstLine="480"/>
        <w:rPr>
          <w:rFonts w:hint="eastAsia" w:eastAsia="宋体"/>
          <w:lang w:eastAsia="zh-CN"/>
        </w:rPr>
      </w:pPr>
      <w:r>
        <w:rPr>
          <w:rFonts w:hint="eastAsia"/>
        </w:rPr>
        <w:t>在生产过程中，不断地收集实际进度的有关资料进行整理统计，与计划进度比较，定期向业主提供比较报告。在其控制下编制周作业计划，并做好进度记录，填好进度统计表，协调各方面关系，及时、灵活、准确、果断地采取措施，排除各种矛盾，加强各薄弱环节，实现动态平衡，保证完成交货期目标。</w:t>
      </w:r>
    </w:p>
    <w:p>
      <w:pPr>
        <w:widowControl/>
        <w:spacing w:before="0" w:after="0" w:line="240" w:lineRule="auto"/>
        <w:ind w:firstLine="0" w:firstLineChars="0"/>
        <w:jc w:val="left"/>
      </w:pPr>
      <w:r>
        <w:br w:type="page"/>
      </w:r>
    </w:p>
    <w:p>
      <w:pPr>
        <w:pStyle w:val="5"/>
        <w:bidi w:val="0"/>
      </w:pPr>
      <w:bookmarkStart w:id="311" w:name="_Toc115429266"/>
      <w:bookmarkStart w:id="312" w:name="_Ref118206616"/>
      <w:bookmarkStart w:id="313" w:name="_Toc118293235"/>
      <w:bookmarkStart w:id="314" w:name="_Toc12763"/>
      <w:bookmarkStart w:id="315" w:name="_Ref118206618"/>
      <w:bookmarkStart w:id="316" w:name="_Ref118206624"/>
      <w:bookmarkStart w:id="317" w:name="_Toc105600295"/>
      <w:bookmarkStart w:id="318" w:name="_Toc118223544"/>
      <w:bookmarkStart w:id="319" w:name="_Toc106727841"/>
      <w:r>
        <w:rPr>
          <w:rFonts w:hint="eastAsia"/>
          <w:lang w:val="en-US" w:eastAsia="zh-CN"/>
        </w:rPr>
        <w:t>三、</w:t>
      </w:r>
      <w:r>
        <w:rPr>
          <w:rFonts w:hint="eastAsia"/>
        </w:rPr>
        <w:t>供货周期的保证</w:t>
      </w:r>
      <w:bookmarkEnd w:id="311"/>
      <w:bookmarkEnd w:id="312"/>
      <w:bookmarkEnd w:id="313"/>
      <w:bookmarkEnd w:id="314"/>
      <w:bookmarkEnd w:id="315"/>
      <w:bookmarkEnd w:id="316"/>
      <w:bookmarkEnd w:id="317"/>
      <w:bookmarkEnd w:id="318"/>
      <w:bookmarkEnd w:id="319"/>
    </w:p>
    <w:p>
      <w:pPr>
        <w:ind w:firstLine="480"/>
        <w:rPr>
          <w:rFonts w:hint="eastAsia" w:eastAsia="宋体"/>
          <w:lang w:eastAsia="zh-CN"/>
        </w:rPr>
      </w:pPr>
      <w:r>
        <w:rPr>
          <w:rFonts w:hint="eastAsia"/>
        </w:rPr>
        <w:t>签订供货合同后，我单位将根据合同供货批次数量进行贮备生产并库存产品，合理调配生产线，优先生产本项目所需产品，并根据需方的要求，提供相关产品的检测报告、合格证书及相关技术资料。</w:t>
      </w:r>
    </w:p>
    <w:p>
      <w:pPr>
        <w:ind w:firstLine="480"/>
        <w:rPr>
          <w:rFonts w:hint="eastAsia" w:eastAsia="宋体"/>
          <w:lang w:eastAsia="zh-CN"/>
        </w:rPr>
      </w:pPr>
      <w:r>
        <w:rPr>
          <w:rFonts w:hint="eastAsia"/>
        </w:rPr>
        <w:t>根据采购方实际使用情况分批交货，具体交货时间以甲方通知为准；</w:t>
      </w:r>
    </w:p>
    <w:p>
      <w:pPr>
        <w:ind w:firstLine="480"/>
        <w:rPr>
          <w:rFonts w:hint="eastAsia" w:eastAsia="宋体"/>
          <w:lang w:eastAsia="zh-CN"/>
        </w:rPr>
      </w:pPr>
      <w:r>
        <w:rPr>
          <w:rFonts w:hint="eastAsia"/>
        </w:rPr>
        <w:t>交货地点：采购人指定地点；</w:t>
      </w:r>
    </w:p>
    <w:p>
      <w:pPr>
        <w:ind w:firstLine="480"/>
        <w:rPr>
          <w:rFonts w:hint="eastAsia" w:eastAsia="宋体"/>
          <w:lang w:eastAsia="zh-CN"/>
        </w:rPr>
      </w:pPr>
      <w:r>
        <w:rPr>
          <w:rFonts w:hint="eastAsia"/>
        </w:rPr>
        <w:t>按需方合同要求的具体时间和进度及时将货物送至现场。在运输中，我单位对投标产品做严密的防护，避免货物在运输中造成损坏，为货物以后的安全使用打下良好的基础。</w:t>
      </w:r>
    </w:p>
    <w:p>
      <w:pPr>
        <w:ind w:firstLine="480"/>
        <w:rPr>
          <w:rFonts w:hint="eastAsia" w:eastAsia="宋体"/>
          <w:lang w:eastAsia="zh-CN"/>
        </w:rPr>
      </w:pPr>
      <w:r>
        <w:rPr>
          <w:rFonts w:hint="eastAsia"/>
        </w:rPr>
        <w:t>派专人负责此项目的跟踪、送货、装卸、交接、试用、验收等手续，并由我单位提供相关设备，对货物进行测试。</w:t>
      </w:r>
    </w:p>
    <w:p>
      <w:pPr>
        <w:ind w:firstLine="480"/>
        <w:rPr>
          <w:rFonts w:hint="eastAsia" w:eastAsia="宋体"/>
          <w:lang w:eastAsia="zh-CN"/>
        </w:rPr>
      </w:pPr>
      <w:r>
        <w:rPr>
          <w:rFonts w:hint="eastAsia"/>
        </w:rPr>
        <w:t>免费提供指导，我单位资深技术人员将在接到通知后</w:t>
      </w:r>
      <w:r>
        <w:t>3</w:t>
      </w:r>
      <w:r>
        <w:rPr>
          <w:rFonts w:hint="eastAsia"/>
        </w:rPr>
        <w:t>小时内赶到现场，为用户提供现场免费技术培训，直至所培训人员能熟练操作操作和出现应急问题时的处理办法为止。</w:t>
      </w:r>
    </w:p>
    <w:p>
      <w:pPr>
        <w:pStyle w:val="6"/>
        <w:bidi w:val="0"/>
        <w:rPr>
          <w:rFonts w:hint="eastAsia"/>
          <w:lang w:eastAsia="zh-CN"/>
        </w:rPr>
      </w:pPr>
      <w:bookmarkStart w:id="320" w:name="_Toc6019"/>
      <w:r>
        <w:rPr>
          <w:rFonts w:hint="eastAsia"/>
          <w:lang w:val="en-US" w:eastAsia="zh-CN"/>
        </w:rPr>
        <w:t>（一）</w:t>
      </w:r>
      <w:r>
        <w:rPr>
          <w:rFonts w:hint="eastAsia"/>
        </w:rPr>
        <w:t>发生急需供货时的对应措施</w:t>
      </w:r>
      <w:bookmarkEnd w:id="320"/>
    </w:p>
    <w:p>
      <w:pPr>
        <w:ind w:firstLine="480"/>
        <w:rPr>
          <w:rFonts w:hint="eastAsia" w:eastAsia="宋体"/>
          <w:lang w:eastAsia="zh-CN"/>
        </w:rPr>
      </w:pPr>
      <w:r>
        <w:rPr>
          <w:rFonts w:hint="eastAsia"/>
        </w:rPr>
        <w:t>本投标人生产车间及收发货均安排</w:t>
      </w:r>
      <w:r>
        <w:t>7</w:t>
      </w:r>
      <w:r>
        <w:rPr>
          <w:rFonts w:hint="eastAsia"/>
        </w:rPr>
        <w:t>天</w:t>
      </w:r>
      <w:r>
        <w:t>24</w:t>
      </w:r>
      <w:r>
        <w:rPr>
          <w:rFonts w:hint="eastAsia"/>
        </w:rPr>
        <w:t>小时上班，如贵项目发生项目急需供货的情况，我公司可安排相关人员在</w:t>
      </w:r>
      <w:r>
        <w:t>6</w:t>
      </w:r>
      <w:r>
        <w:rPr>
          <w:rFonts w:hint="eastAsia"/>
        </w:rPr>
        <w:t>小时内将急需的货物送到需方指定地点。并且保证不收取任何费用。</w:t>
      </w:r>
    </w:p>
    <w:p>
      <w:pPr>
        <w:pStyle w:val="6"/>
        <w:bidi w:val="0"/>
        <w:rPr>
          <w:rFonts w:hint="eastAsia"/>
          <w:lang w:eastAsia="zh-CN"/>
        </w:rPr>
      </w:pPr>
      <w:bookmarkStart w:id="321" w:name="_Toc28481"/>
      <w:r>
        <w:rPr>
          <w:rFonts w:hint="eastAsia"/>
          <w:lang w:val="en-US" w:eastAsia="zh-CN"/>
        </w:rPr>
        <w:t>（二）</w:t>
      </w:r>
      <w:r>
        <w:rPr>
          <w:rFonts w:hint="eastAsia"/>
        </w:rPr>
        <w:t>运输方案</w:t>
      </w:r>
      <w:bookmarkEnd w:id="321"/>
    </w:p>
    <w:p>
      <w:pPr>
        <w:ind w:firstLine="480"/>
        <w:rPr>
          <w:rFonts w:hint="eastAsia" w:eastAsia="宋体"/>
          <w:lang w:eastAsia="zh-CN"/>
        </w:rPr>
      </w:pPr>
      <w:r>
        <w:rPr>
          <w:rFonts w:hint="eastAsia"/>
        </w:rPr>
        <w:t>不论我方采用何种运输方式，我方均保证采购计划供应量，并保证有必要的调峰运输能力，确保采购人的需要。</w:t>
      </w:r>
    </w:p>
    <w:p>
      <w:pPr>
        <w:ind w:firstLine="480"/>
        <w:rPr>
          <w:rFonts w:hint="eastAsia" w:eastAsia="宋体"/>
          <w:lang w:eastAsia="zh-CN"/>
        </w:rPr>
      </w:pPr>
      <w:r>
        <w:rPr>
          <w:rFonts w:hint="eastAsia"/>
        </w:rPr>
        <w:t>根据合同产品的特点和在运输中的不同要求，我方在包装袋上醒目地标明“小心轻放”、“保持干燥”等字样以及相应的标记图案。</w:t>
      </w:r>
    </w:p>
    <w:p>
      <w:pPr>
        <w:ind w:firstLine="480"/>
        <w:rPr>
          <w:rFonts w:hint="eastAsia" w:eastAsia="宋体"/>
          <w:lang w:eastAsia="zh-CN"/>
        </w:rPr>
      </w:pPr>
      <w:r>
        <w:rPr>
          <w:rFonts w:hint="eastAsia"/>
        </w:rPr>
        <w:t>若因我方车辆限制或调配原因无法运输而由买方车辆承运部分，则我方按市场价格向需方支付运输费用。</w:t>
      </w:r>
    </w:p>
    <w:p>
      <w:pPr>
        <w:ind w:firstLine="480"/>
        <w:rPr>
          <w:rFonts w:hint="eastAsia" w:eastAsia="宋体"/>
          <w:lang w:eastAsia="zh-CN"/>
        </w:rPr>
      </w:pPr>
      <w:r>
        <w:rPr>
          <w:rFonts w:hint="eastAsia"/>
        </w:rPr>
        <w:t>采购人协调现场，并协调施工单位对合同货物在交货地点的卸货，我方负责现场指导装卸，以保证卸车过程中的质量和安全。</w:t>
      </w:r>
    </w:p>
    <w:p>
      <w:pPr>
        <w:pStyle w:val="6"/>
        <w:bidi w:val="0"/>
        <w:rPr>
          <w:rFonts w:hint="eastAsia"/>
          <w:lang w:eastAsia="zh-CN"/>
        </w:rPr>
      </w:pPr>
      <w:bookmarkStart w:id="322" w:name="_Toc16403"/>
      <w:r>
        <w:rPr>
          <w:rFonts w:hint="eastAsia"/>
          <w:lang w:val="en-US" w:eastAsia="zh-CN"/>
        </w:rPr>
        <w:t>（三）</w:t>
      </w:r>
      <w:r>
        <w:rPr>
          <w:rFonts w:hint="eastAsia"/>
        </w:rPr>
        <w:t>保障措施</w:t>
      </w:r>
      <w:bookmarkEnd w:id="322"/>
    </w:p>
    <w:p>
      <w:pPr>
        <w:ind w:firstLine="480"/>
        <w:rPr>
          <w:rFonts w:hint="eastAsia" w:eastAsia="宋体"/>
          <w:lang w:eastAsia="zh-CN"/>
        </w:rPr>
      </w:pPr>
      <w:r>
        <w:rPr>
          <w:rFonts w:hint="eastAsia"/>
        </w:rPr>
        <w:t>我单位保证所提供的货物是正规品牌、正规厂家生产的合格全新产品，符合国家规定的相关质量标准，满足招标文件中的技术要求。</w:t>
      </w:r>
    </w:p>
    <w:p>
      <w:pPr>
        <w:ind w:firstLine="480"/>
        <w:rPr>
          <w:rFonts w:hint="eastAsia" w:eastAsia="宋体"/>
          <w:lang w:eastAsia="zh-CN"/>
        </w:rPr>
      </w:pPr>
      <w:r>
        <w:rPr>
          <w:rFonts w:hint="eastAsia"/>
        </w:rPr>
        <w:t>在送到使用单位时，货物的外包装完整，且货物的表面无划伤、碰撞现象。并提供货物的合格证、说明书及其它配套资料等。</w:t>
      </w:r>
    </w:p>
    <w:p>
      <w:pPr>
        <w:ind w:firstLine="480"/>
        <w:rPr>
          <w:rFonts w:hint="eastAsia" w:eastAsia="宋体"/>
          <w:lang w:eastAsia="zh-CN"/>
        </w:rPr>
      </w:pPr>
      <w:r>
        <w:rPr>
          <w:rFonts w:hint="eastAsia"/>
        </w:rPr>
        <w:t>我公司将严格按照国家标准要求把好产品质量关，通过对原辅材料、配件、半成品、成品的层层检验把关，确保产品质量。并按国家标准组织生产和进行验收，产品的各项理化性能指标均达到标准要求，质量稳定可靠。</w:t>
      </w:r>
    </w:p>
    <w:p>
      <w:pPr>
        <w:ind w:firstLine="480"/>
        <w:rPr>
          <w:rFonts w:hint="eastAsia" w:eastAsia="宋体"/>
          <w:lang w:eastAsia="zh-CN"/>
        </w:rPr>
      </w:pPr>
      <w:r>
        <w:rPr>
          <w:rFonts w:hint="eastAsia"/>
        </w:rPr>
        <w:t>若我公司有幸中标，接到供货通知后，将及时安排公司车辆进行产品装运，在装运产品时做到轻拿轻放，严禁碰撞或划伤，严格清点数量，尽量避免发生差错给用户带来损失，敞篷车装载完毕必须绑扎牢固并加盖防雨篷布遮盖，产品在运输时均办理货物保险，并督促驾驶人员必须按照运输合同规定按时将产品安全、迅速、准确无误和保质保量地运交到用户指定的卸货地点。</w:t>
      </w:r>
    </w:p>
    <w:p>
      <w:pPr>
        <w:ind w:firstLine="480"/>
      </w:pPr>
      <w:r>
        <w:rPr>
          <w:rFonts w:hint="eastAsia"/>
        </w:rPr>
        <w:t>我公司严格按照质量管理体系的要求对入库产品堆放贮存的规定，将验收合格的产品进行清点后，进入成品库房按指定位置不超过1.5米，下面加垫木板堆放，临时堆放在露天的产品须用篷布进行遮盖。</w:t>
      </w:r>
    </w:p>
    <w:p>
      <w:pPr>
        <w:widowControl/>
        <w:spacing w:before="0" w:after="0" w:line="240" w:lineRule="auto"/>
        <w:ind w:firstLine="0" w:firstLineChars="0"/>
        <w:jc w:val="left"/>
      </w:pPr>
      <w:r>
        <w:br w:type="page"/>
      </w:r>
    </w:p>
    <w:p>
      <w:pPr>
        <w:pStyle w:val="5"/>
        <w:bidi w:val="0"/>
      </w:pPr>
      <w:bookmarkStart w:id="323" w:name="_Toc118293239"/>
      <w:bookmarkStart w:id="324" w:name="_Toc116121476"/>
      <w:bookmarkStart w:id="325" w:name="_Ref118206644"/>
      <w:bookmarkStart w:id="326" w:name="_Ref118206647"/>
      <w:bookmarkStart w:id="327" w:name="_Toc12011"/>
      <w:bookmarkStart w:id="328" w:name="_Toc118223546"/>
      <w:bookmarkStart w:id="329" w:name="_Ref118206653"/>
      <w:r>
        <w:rPr>
          <w:rFonts w:hint="eastAsia"/>
          <w:lang w:val="en-US" w:eastAsia="zh-CN"/>
        </w:rPr>
        <w:t>四、</w:t>
      </w:r>
      <w:r>
        <w:rPr>
          <w:rFonts w:hint="eastAsia"/>
        </w:rPr>
        <w:t>项目组织构架和人员配备</w:t>
      </w:r>
      <w:bookmarkEnd w:id="323"/>
      <w:bookmarkEnd w:id="324"/>
      <w:bookmarkEnd w:id="325"/>
      <w:bookmarkEnd w:id="326"/>
      <w:bookmarkEnd w:id="327"/>
      <w:bookmarkEnd w:id="328"/>
      <w:bookmarkEnd w:id="329"/>
    </w:p>
    <w:p>
      <w:pPr>
        <w:pStyle w:val="6"/>
        <w:bidi w:val="0"/>
      </w:pPr>
      <w:bookmarkStart w:id="330" w:name="_Toc16939"/>
      <w:bookmarkStart w:id="331" w:name="_Toc118293240"/>
      <w:bookmarkStart w:id="332" w:name="_Toc116121477"/>
      <w:r>
        <w:rPr>
          <w:rFonts w:hint="eastAsia"/>
          <w:lang w:val="en-US" w:eastAsia="zh-CN"/>
        </w:rPr>
        <w:t>（一）</w:t>
      </w:r>
      <w:r>
        <w:rPr>
          <w:rFonts w:hint="eastAsia"/>
        </w:rPr>
        <w:t>组织建立计划</w:t>
      </w:r>
      <w:bookmarkEnd w:id="330"/>
      <w:bookmarkEnd w:id="331"/>
      <w:bookmarkEnd w:id="332"/>
    </w:p>
    <w:p>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b/>
          <w:bCs/>
        </w:rPr>
      </w:pPr>
      <w:r>
        <w:rPr>
          <w:rFonts w:hint="eastAsia"/>
          <w:b/>
          <w:bCs/>
          <w:lang w:eastAsia="zh-CN"/>
        </w:rPr>
        <w:t>（</w:t>
      </w:r>
      <w:r>
        <w:rPr>
          <w:rFonts w:hint="eastAsia"/>
          <w:b/>
          <w:bCs/>
          <w:lang w:val="en-US" w:eastAsia="zh-CN"/>
        </w:rPr>
        <w:t>一</w:t>
      </w:r>
      <w:r>
        <w:rPr>
          <w:rFonts w:hint="eastAsia"/>
          <w:b/>
          <w:bCs/>
          <w:lang w:eastAsia="zh-CN"/>
        </w:rPr>
        <w:t>）</w:t>
      </w:r>
      <w:r>
        <w:rPr>
          <w:rFonts w:hint="eastAsia"/>
          <w:b/>
          <w:bCs/>
        </w:rPr>
        <w:t>建立重点</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t>1</w:t>
      </w:r>
      <w:r>
        <w:rPr>
          <w:rFonts w:hint="eastAsia"/>
          <w:lang w:eastAsia="zh-CN"/>
        </w:rPr>
        <w:t>、</w:t>
      </w:r>
      <w:r>
        <w:t>要有明确的目的：首先，要给本项目定位，即明确所处的地位、任务等因素。定位以后，才能明确如何建议项目组织机构，以及如何去发挥项目组织机构的作用。所以，机构设置要有明确的目的，不是为了机构设置而设置，而是实事求是地根据完成建设、工作任务而必须设置的必不可少的，精干高效的机构设置和一支管理队伍。</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t>2</w:t>
      </w:r>
      <w:r>
        <w:rPr>
          <w:rFonts w:hint="eastAsia"/>
          <w:lang w:eastAsia="zh-CN"/>
        </w:rPr>
        <w:t>、</w:t>
      </w:r>
      <w:r>
        <w:t>要从提高工作效率入手：设置科学合理的组织机构后，要配置精干的、素质好的管理人员进入各个管理岗位。本项目工作能不能搞得出色，管理人员的科学、严格、高效的管理手段和办法是相当重要的。如果管理人员工作拖拖拉拉，马马虎虎，没有锐意开辟、创新进取的精神，那么，工作肯定毫无起色，甚至把一个原来比较好的一个单位（部门）拖垮在要提高工作效率，首先，要不断地刻苦学习，特别是学习先进的管理经验；其次，要学习先进的科学知识，特别是目前进入“电脑”化的时代，更要学习，用现代化的先进科学的工具来提高工作效率。</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t>3</w:t>
      </w:r>
      <w:r>
        <w:rPr>
          <w:rFonts w:hint="eastAsia"/>
          <w:lang w:eastAsia="zh-CN"/>
        </w:rPr>
        <w:t>、</w:t>
      </w:r>
      <w:r>
        <w:t>要不断提高职能人员的素质：职能人员的素质是关键的，有时很多事情失败或不成功，往往是由于经办人员（职能人员）各方面的素质较差而造成的。所以，不断提高职能人员的素质是非常重要的。首先，因人制宜地对每个人员进行专门培训，包括岗位培训，包括肥料生产和检验的必要知识；其次，经常深入下去，要调查研究、及时了解职工在想什么，做什么，真正做职工的知心朋友。在接触中，从职工身上可以学到很多东西，取长补短，在学习别人长处时，使自己的思想境界不断净化，为处理职工中出现的各种复杂情况打下扎实的基础。</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t>4</w:t>
      </w:r>
      <w:r>
        <w:rPr>
          <w:rFonts w:hint="eastAsia"/>
          <w:lang w:eastAsia="zh-CN"/>
        </w:rPr>
        <w:t>、</w:t>
      </w:r>
      <w:r>
        <w:t>要相互配合，不断提高工作效率：在机构设置时，不同的科室、部门其工作职责也不一样。但是，全场的工作应是一盘棋，不能各行其是。各部门除了完成本职工作之外，更需要相互配合，为完成各项生产任务同心协力把工作搞好。而决不能相互推诿，相互扯皮。一旦发现此种情况，由分管领导及时进行协调，把相互推诿的事以最快的速度予以解决。只有在工作中相互配合，才能不断提高工作效率。</w:t>
      </w:r>
    </w:p>
    <w:p>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b/>
          <w:bCs/>
        </w:rPr>
      </w:pPr>
      <w:r>
        <w:rPr>
          <w:rFonts w:hint="eastAsia"/>
          <w:b/>
          <w:bCs/>
          <w:lang w:eastAsia="zh-CN"/>
        </w:rPr>
        <w:t>（</w:t>
      </w:r>
      <w:r>
        <w:rPr>
          <w:rFonts w:hint="eastAsia"/>
          <w:b/>
          <w:bCs/>
          <w:lang w:val="en-US" w:eastAsia="zh-CN"/>
        </w:rPr>
        <w:t>二</w:t>
      </w:r>
      <w:r>
        <w:rPr>
          <w:rFonts w:hint="eastAsia"/>
          <w:b/>
          <w:bCs/>
          <w:lang w:eastAsia="zh-CN"/>
        </w:rPr>
        <w:t>）</w:t>
      </w:r>
      <w:r>
        <w:rPr>
          <w:rFonts w:hint="eastAsia"/>
          <w:b/>
          <w:bCs/>
        </w:rPr>
        <w:t>建立步骤</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t>1</w:t>
      </w:r>
      <w:r>
        <w:rPr>
          <w:rFonts w:hint="eastAsia"/>
          <w:lang w:eastAsia="zh-CN"/>
        </w:rPr>
        <w:t>、</w:t>
      </w:r>
      <w:r>
        <w:t>确定组织目标：项目目标是项目组织设立的前提，应根据确定的项目目标，明确划分分解目标，列出所要进行的工作的内容。</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t>2</w:t>
      </w:r>
      <w:r>
        <w:rPr>
          <w:rFonts w:hint="eastAsia"/>
          <w:lang w:eastAsia="zh-CN"/>
        </w:rPr>
        <w:t>、</w:t>
      </w:r>
      <w:r>
        <w:t>确定项目工作内容：</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rPr>
        <w:t>（</w:t>
      </w:r>
      <w:r>
        <w:t>1）根据项目目标和规定任务，明确列出项目工作内容，并进行分类归并及组合是一项重要组织工作。对各项工作进行归并及组合并考虑项目的规模、性质、项目复杂程度以及单位自身技术业务水平、人员数量、组织管理水平等。</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rPr>
        <w:t>（</w:t>
      </w:r>
      <w:r>
        <w:t>2）如进行实施阶段全过程项目管理，工作划分可按计划阶段和实施阶段分别归并和组合。</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t>3</w:t>
      </w:r>
      <w:r>
        <w:rPr>
          <w:rFonts w:hint="eastAsia"/>
          <w:lang w:eastAsia="zh-CN"/>
        </w:rPr>
        <w:t>、</w:t>
      </w:r>
      <w:r>
        <w:t>组织结构设计：</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rPr>
        <w:t>（</w:t>
      </w:r>
      <w:r>
        <w:t>1）合理确定管理层次。管理组织结构中一般应有三个层次：一是决策层。由项目经理和其助手组成，要根据项目的活动特点与内容进行科学化、程序化决策。二是中间控制层（协调层和执行层），具体负责规划的落实，目标控制及合同实施管理，属承上启下管理层次。三是作业层（操作层），由现场人员组成，负责具体的操作工作。</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rPr>
        <w:t>（</w:t>
      </w:r>
      <w:r>
        <w:t>2）配置工作岗位及人员。</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rPr>
        <w:t>（</w:t>
      </w:r>
      <w:r>
        <w:t>3）制定岗位职责标准与考核要求。</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rPr>
        <w:t>（</w:t>
      </w:r>
      <w:r>
        <w:t>4）制定工作流程与考核标准。</w:t>
      </w:r>
    </w:p>
    <w:p>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b/>
          <w:bCs/>
        </w:rPr>
      </w:pPr>
      <w:r>
        <w:rPr>
          <w:rFonts w:hint="eastAsia"/>
          <w:b/>
          <w:bCs/>
          <w:lang w:eastAsia="zh-CN"/>
        </w:rPr>
        <w:t>（</w:t>
      </w:r>
      <w:r>
        <w:rPr>
          <w:rFonts w:hint="eastAsia"/>
          <w:b/>
          <w:bCs/>
          <w:lang w:val="en-US" w:eastAsia="zh-CN"/>
        </w:rPr>
        <w:t>三</w:t>
      </w:r>
      <w:r>
        <w:rPr>
          <w:rFonts w:hint="eastAsia"/>
          <w:b/>
          <w:bCs/>
          <w:lang w:eastAsia="zh-CN"/>
        </w:rPr>
        <w:t>）</w:t>
      </w:r>
      <w:r>
        <w:rPr>
          <w:rFonts w:hint="eastAsia"/>
          <w:b/>
          <w:bCs/>
        </w:rPr>
        <w:t>具体要求</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t>1</w:t>
      </w:r>
      <w:r>
        <w:rPr>
          <w:rFonts w:hint="eastAsia"/>
          <w:lang w:eastAsia="zh-CN"/>
        </w:rPr>
        <w:t>、</w:t>
      </w:r>
      <w:r>
        <w:t>要明确各部门责权：在项目组织机构中，项目人员与组织多种关系共存，行政隶属关系、业务关系和工作责任被剥离。在这种多维度沟通交织在一起的情况下，当事员工就有了多身份，这使得管理关系的协调变得异常复杂，处理不当将会产生责任推诿或者多头管理等问题，为了避免这些问题的出现，明确各部门职能和各员工的责权显得尤为重要。</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t>2</w:t>
      </w:r>
      <w:r>
        <w:rPr>
          <w:rFonts w:hint="eastAsia"/>
          <w:lang w:eastAsia="zh-CN"/>
        </w:rPr>
        <w:t>、</w:t>
      </w:r>
      <w:r>
        <w:t>要保证项目人员能力素质充分发挥：在项目组织机构中，组织架构能否发挥作用，管理人员的能力素质是关键，所有组织管理模式归根结底是对人的使用，着这种模式下，对项目经理的要求愈加提高。项目经理一方面要协调所服务单位需求，一方面要保证与公司总部的规范性对接，同时还要抓服务品质。这要求项目经理具有较高的人际协调能力、领导与决策能力、组织管理能力、较高的工作热情和对突发情况的应变能力等，完美的人才是不存在的，而本行业对高素质人才缺乏吸引力，难以招聘到高素质人才，因此保持对现有人才有效培养和储备，才是项目人才持续有效发</w:t>
      </w:r>
      <w:r>
        <w:rPr>
          <w:rFonts w:hint="eastAsia"/>
        </w:rPr>
        <w:t>挥专业技能的有效方法。</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t>3</w:t>
      </w:r>
      <w:r>
        <w:rPr>
          <w:rFonts w:hint="eastAsia"/>
          <w:lang w:eastAsia="zh-CN"/>
        </w:rPr>
        <w:t>、</w:t>
      </w:r>
      <w:r>
        <w:t>要保证信息的有效传递：信息在传递过程中容易发生变异或延迟。在项目组织机构的架构中，一个任务地完成需要多个部门的协作，信息传递的维度要多于职能式组织架构。在缺乏规范化管理的环境中，信息的传递容易受到人际关系的影响。因此建立公司信息管理系统，打破人际关系建立的交流网络，从整体上保证信息传递的速度、全面性和真实性，有助于促进各部门高效沟通和协作，从而保证服务质量。</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t>4</w:t>
      </w:r>
      <w:r>
        <w:rPr>
          <w:rFonts w:hint="eastAsia"/>
          <w:lang w:eastAsia="zh-CN"/>
        </w:rPr>
        <w:t>、</w:t>
      </w:r>
      <w:r>
        <w:t>要保证投入资金的监管：此严格控制资金使，保证每一笔钱都花在刀刃上是提高项目利润率的有效方法，管理需要对项目经理进行一定的放权，公司在下放资金权利的同时应当制定相应的监管措施，除了要加强细化常规的财务监管外，还可以通过对实施不定期巡检来核对上报的资金使用情况。</w:t>
      </w:r>
    </w:p>
    <w:p>
      <w:pPr>
        <w:widowControl/>
        <w:spacing w:before="0" w:after="0" w:line="240" w:lineRule="auto"/>
        <w:ind w:firstLine="0" w:firstLineChars="0"/>
        <w:jc w:val="left"/>
      </w:pPr>
      <w:r>
        <w:br w:type="page"/>
      </w:r>
    </w:p>
    <w:p>
      <w:pPr>
        <w:pStyle w:val="6"/>
        <w:bidi w:val="0"/>
      </w:pPr>
      <w:bookmarkStart w:id="333" w:name="_Toc116121478"/>
      <w:bookmarkStart w:id="334" w:name="_Toc118293241"/>
      <w:bookmarkStart w:id="335" w:name="_Toc7681"/>
      <w:r>
        <w:rPr>
          <w:rFonts w:hint="eastAsia"/>
          <w:lang w:val="en-US" w:eastAsia="zh-CN"/>
        </w:rPr>
        <w:t>（二）</w:t>
      </w:r>
      <w:r>
        <w:rPr>
          <w:rFonts w:hint="eastAsia"/>
        </w:rPr>
        <w:t>组织机构说明</w:t>
      </w:r>
      <w:bookmarkEnd w:id="333"/>
      <w:bookmarkEnd w:id="334"/>
      <w:bookmarkEnd w:id="335"/>
    </w:p>
    <w:p>
      <w:pPr>
        <w:ind w:firstLine="480"/>
        <w:rPr>
          <w:b/>
          <w:bCs/>
        </w:rPr>
      </w:pPr>
      <w:r>
        <w:rPr>
          <w:rFonts w:hint="eastAsia"/>
          <w:b/>
          <w:bCs/>
          <w:lang w:eastAsia="zh-CN"/>
        </w:rPr>
        <w:t>（</w:t>
      </w:r>
      <w:r>
        <w:rPr>
          <w:rFonts w:hint="eastAsia"/>
          <w:b/>
          <w:bCs/>
          <w:lang w:val="en-US" w:eastAsia="zh-CN"/>
        </w:rPr>
        <w:t>一</w:t>
      </w:r>
      <w:r>
        <w:rPr>
          <w:rFonts w:hint="eastAsia"/>
          <w:b/>
          <w:bCs/>
          <w:lang w:eastAsia="zh-CN"/>
        </w:rPr>
        <w:t>）</w:t>
      </w:r>
      <w:r>
        <w:rPr>
          <w:rFonts w:hint="eastAsia"/>
          <w:b/>
          <w:bCs/>
        </w:rPr>
        <w:t>项目部门图示</w:t>
      </w:r>
    </w:p>
    <w:p>
      <w:pPr>
        <w:ind w:firstLine="480"/>
      </w:pPr>
      <w:r>
        <w:rPr>
          <w:rFonts w:hint="eastAsia"/>
        </w:rPr>
        <w:t>一旦由我公司中标，公司将立即委派思想进步，工作踏实，有一定协调能力，年富力强的同志担任项目经理，在公司总经理领导下，项目经理直接指挥下，全体人员努力工作，完成本次肥料采购项目的工作。项目部下设财务部、生产部、运输部、质检部、仓储部、技术部、售后服务部、综合管理部等，以便确保项目获得必要的人力、技术和财力资源，以保证项目体系的有效运转和持续改进。</w:t>
      </w:r>
    </w:p>
    <w:p>
      <w:pPr>
        <w:pStyle w:val="52"/>
      </w:pPr>
      <w:r>
        <w:drawing>
          <wp:inline distT="0" distB="0" distL="0" distR="0">
            <wp:extent cx="4752975" cy="3590925"/>
            <wp:effectExtent l="9525" t="9525" r="19050" b="19050"/>
            <wp:docPr id="180" name="图片 18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图示&#10;&#10;描述已自动生成"/>
                    <pic:cNvPicPr>
                      <a:picLocks noChangeAspect="1"/>
                    </pic:cNvPicPr>
                  </pic:nvPicPr>
                  <pic:blipFill>
                    <a:blip r:embed="rId27"/>
                    <a:stretch>
                      <a:fillRect/>
                    </a:stretch>
                  </pic:blipFill>
                  <pic:spPr>
                    <a:xfrm>
                      <a:off x="0" y="0"/>
                      <a:ext cx="4752975" cy="3590925"/>
                    </a:xfrm>
                    <a:prstGeom prst="rect">
                      <a:avLst/>
                    </a:prstGeom>
                    <a:ln>
                      <a:solidFill>
                        <a:srgbClr val="0000FF"/>
                      </a:solidFill>
                    </a:ln>
                  </pic:spPr>
                </pic:pic>
              </a:graphicData>
            </a:graphic>
          </wp:inline>
        </w:drawing>
      </w:r>
    </w:p>
    <w:p>
      <w:pPr>
        <w:ind w:firstLine="480"/>
        <w:rPr>
          <w:b/>
          <w:bCs/>
        </w:rPr>
      </w:pPr>
      <w:r>
        <w:rPr>
          <w:rFonts w:hint="eastAsia"/>
          <w:b/>
          <w:bCs/>
          <w:lang w:eastAsia="zh-CN"/>
        </w:rPr>
        <w:t>（</w:t>
      </w:r>
      <w:r>
        <w:rPr>
          <w:rFonts w:hint="eastAsia"/>
          <w:b/>
          <w:bCs/>
          <w:lang w:val="en-US" w:eastAsia="zh-CN"/>
        </w:rPr>
        <w:t>二</w:t>
      </w:r>
      <w:r>
        <w:rPr>
          <w:rFonts w:hint="eastAsia"/>
          <w:b/>
          <w:bCs/>
          <w:lang w:eastAsia="zh-CN"/>
        </w:rPr>
        <w:t>）</w:t>
      </w:r>
      <w:r>
        <w:rPr>
          <w:rFonts w:hint="eastAsia"/>
          <w:b/>
          <w:bCs/>
        </w:rPr>
        <w:t>项目部门职责</w:t>
      </w:r>
    </w:p>
    <w:p>
      <w:pPr>
        <w:ind w:firstLine="480"/>
      </w:pPr>
      <w:r>
        <w:rPr>
          <w:rFonts w:hint="eastAsia"/>
          <w:lang w:val="en-US" w:eastAsia="zh-CN"/>
        </w:rPr>
        <w:t>1、</w:t>
      </w:r>
      <w:r>
        <w:rPr>
          <w:rFonts w:hint="eastAsia"/>
        </w:rPr>
        <w:t>财务部职责</w:t>
      </w:r>
    </w:p>
    <w:p>
      <w:pPr>
        <w:ind w:firstLine="480"/>
      </w:pPr>
      <w:r>
        <w:rPr>
          <w:rFonts w:hint="eastAsia"/>
          <w:lang w:eastAsia="zh-CN"/>
        </w:rPr>
        <w:t>（</w:t>
      </w:r>
      <w:r>
        <w:rPr>
          <w:rFonts w:hint="eastAsia"/>
          <w:lang w:val="en-US" w:eastAsia="zh-CN"/>
        </w:rPr>
        <w:t>1</w:t>
      </w:r>
      <w:r>
        <w:rPr>
          <w:rFonts w:hint="eastAsia"/>
          <w:lang w:eastAsia="zh-CN"/>
        </w:rPr>
        <w:t>）</w:t>
      </w:r>
      <w:r>
        <w:t>认真贯彻执行国家法律法规、内部各项规章制度，严格遵守财经纪律，加强财务管理及财务核算工作。</w:t>
      </w:r>
    </w:p>
    <w:p>
      <w:pPr>
        <w:ind w:firstLine="480"/>
      </w:pPr>
      <w:r>
        <w:rPr>
          <w:rFonts w:hint="eastAsia"/>
          <w:lang w:eastAsia="zh-CN"/>
        </w:rPr>
        <w:t>（</w:t>
      </w:r>
      <w:r>
        <w:rPr>
          <w:rFonts w:hint="eastAsia"/>
          <w:lang w:val="en-US" w:eastAsia="zh-CN"/>
        </w:rPr>
        <w:t>2</w:t>
      </w:r>
      <w:r>
        <w:rPr>
          <w:rFonts w:hint="eastAsia"/>
          <w:lang w:eastAsia="zh-CN"/>
        </w:rPr>
        <w:t>）</w:t>
      </w:r>
      <w:r>
        <w:t>负责对项目的各项经济活动进行监督，对违反财经制度的行为进行制止、纠正、报告。</w:t>
      </w:r>
    </w:p>
    <w:p>
      <w:pPr>
        <w:ind w:firstLine="480"/>
      </w:pPr>
      <w:r>
        <w:rPr>
          <w:rFonts w:hint="eastAsia"/>
          <w:lang w:eastAsia="zh-CN"/>
        </w:rPr>
        <w:t>（</w:t>
      </w:r>
      <w:r>
        <w:rPr>
          <w:rFonts w:hint="eastAsia"/>
          <w:lang w:val="en-US" w:eastAsia="zh-CN"/>
        </w:rPr>
        <w:t>3</w:t>
      </w:r>
      <w:r>
        <w:rPr>
          <w:rFonts w:hint="eastAsia"/>
          <w:lang w:eastAsia="zh-CN"/>
        </w:rPr>
        <w:t>）</w:t>
      </w:r>
      <w:r>
        <w:t>建立健全内部控制制度。</w:t>
      </w:r>
    </w:p>
    <w:p>
      <w:pPr>
        <w:ind w:firstLine="480"/>
      </w:pPr>
      <w:r>
        <w:rPr>
          <w:rFonts w:hint="eastAsia"/>
          <w:lang w:eastAsia="zh-CN"/>
        </w:rPr>
        <w:t>（</w:t>
      </w:r>
      <w:r>
        <w:rPr>
          <w:rFonts w:hint="eastAsia"/>
          <w:lang w:val="en-US" w:eastAsia="zh-CN"/>
        </w:rPr>
        <w:t>4</w:t>
      </w:r>
      <w:r>
        <w:rPr>
          <w:rFonts w:hint="eastAsia"/>
          <w:lang w:eastAsia="zh-CN"/>
        </w:rPr>
        <w:t>）</w:t>
      </w:r>
      <w:r>
        <w:t>负责财务预算编制、分析工作。</w:t>
      </w:r>
    </w:p>
    <w:p>
      <w:pPr>
        <w:ind w:firstLine="480"/>
      </w:pPr>
      <w:r>
        <w:rPr>
          <w:rFonts w:hint="eastAsia"/>
          <w:lang w:eastAsia="zh-CN"/>
        </w:rPr>
        <w:t>（</w:t>
      </w:r>
      <w:r>
        <w:rPr>
          <w:rFonts w:hint="eastAsia"/>
          <w:lang w:val="en-US" w:eastAsia="zh-CN"/>
        </w:rPr>
        <w:t>5</w:t>
      </w:r>
      <w:r>
        <w:rPr>
          <w:rFonts w:hint="eastAsia"/>
          <w:lang w:eastAsia="zh-CN"/>
        </w:rPr>
        <w:t>）</w:t>
      </w:r>
      <w:r>
        <w:t>负责项目资金管理工作，积极筹措资金，保障项目正常运转，监督资金使用，保证资金安全，服从上级对资金的统一管理和调度，及时足额上缴资金。</w:t>
      </w:r>
    </w:p>
    <w:p>
      <w:pPr>
        <w:ind w:firstLine="480"/>
      </w:pPr>
      <w:r>
        <w:rPr>
          <w:rFonts w:hint="eastAsia"/>
          <w:lang w:eastAsia="zh-CN"/>
        </w:rPr>
        <w:t>（</w:t>
      </w:r>
      <w:r>
        <w:rPr>
          <w:rFonts w:hint="eastAsia"/>
          <w:lang w:val="en-US" w:eastAsia="zh-CN"/>
        </w:rPr>
        <w:t>6</w:t>
      </w:r>
      <w:r>
        <w:rPr>
          <w:rFonts w:hint="eastAsia"/>
          <w:lang w:eastAsia="zh-CN"/>
        </w:rPr>
        <w:t>）</w:t>
      </w:r>
      <w:r>
        <w:t>完善内部经济责任制，推行责任成本管理，严格执行上级下达的项目责任成本预算指标。</w:t>
      </w:r>
    </w:p>
    <w:p>
      <w:pPr>
        <w:ind w:firstLine="480"/>
        <w:rPr>
          <w:rFonts w:hint="eastAsia" w:eastAsia="宋体"/>
          <w:lang w:eastAsia="zh-CN"/>
        </w:rPr>
      </w:pPr>
      <w:r>
        <w:rPr>
          <w:rFonts w:hint="eastAsia"/>
          <w:lang w:eastAsia="zh-CN"/>
        </w:rPr>
        <w:t>（</w:t>
      </w:r>
      <w:r>
        <w:rPr>
          <w:rFonts w:hint="eastAsia"/>
          <w:lang w:val="en-US" w:eastAsia="zh-CN"/>
        </w:rPr>
        <w:t>7</w:t>
      </w:r>
      <w:r>
        <w:rPr>
          <w:rFonts w:hint="eastAsia"/>
          <w:lang w:eastAsia="zh-CN"/>
        </w:rPr>
        <w:t>）</w:t>
      </w:r>
      <w:r>
        <w:t>按照财务准则规范财务核算，及时、准确地进行收入、成本、费用以及财务成果的确认、计量，真实反映财务状况和经营成果，定期编制财务报告并及时上报。</w:t>
      </w:r>
    </w:p>
    <w:p>
      <w:pPr>
        <w:ind w:firstLine="480"/>
      </w:pPr>
      <w:r>
        <w:rPr>
          <w:rFonts w:hint="eastAsia"/>
          <w:lang w:eastAsia="zh-CN"/>
        </w:rPr>
        <w:t>（</w:t>
      </w:r>
      <w:r>
        <w:rPr>
          <w:rFonts w:hint="eastAsia"/>
          <w:lang w:val="en-US" w:eastAsia="zh-CN"/>
        </w:rPr>
        <w:t>8</w:t>
      </w:r>
      <w:r>
        <w:rPr>
          <w:rFonts w:hint="eastAsia"/>
          <w:lang w:eastAsia="zh-CN"/>
        </w:rPr>
        <w:t>）</w:t>
      </w:r>
      <w:r>
        <w:t>加强资产、债权、债务的管理，建立健全各项财务资料和台账，做好财产物资的收发、增减和使用的财务核算工作，参与其清理、报废的处置工作，防止资产流失。</w:t>
      </w:r>
    </w:p>
    <w:p>
      <w:pPr>
        <w:ind w:firstLine="480"/>
      </w:pPr>
      <w:r>
        <w:rPr>
          <w:rFonts w:hint="eastAsia"/>
          <w:lang w:eastAsia="zh-CN"/>
        </w:rPr>
        <w:t>（</w:t>
      </w:r>
      <w:r>
        <w:rPr>
          <w:rFonts w:hint="eastAsia"/>
          <w:lang w:val="en-US" w:eastAsia="zh-CN"/>
        </w:rPr>
        <w:t>9</w:t>
      </w:r>
      <w:r>
        <w:rPr>
          <w:rFonts w:hint="eastAsia"/>
          <w:lang w:eastAsia="zh-CN"/>
        </w:rPr>
        <w:t>）</w:t>
      </w:r>
      <w:r>
        <w:t>协调当地税务关系，依法纳税。</w:t>
      </w:r>
    </w:p>
    <w:p>
      <w:pPr>
        <w:ind w:firstLine="480"/>
      </w:pPr>
      <w:r>
        <w:rPr>
          <w:rFonts w:hint="eastAsia"/>
          <w:lang w:eastAsia="zh-CN"/>
        </w:rPr>
        <w:t>（</w:t>
      </w:r>
      <w:r>
        <w:rPr>
          <w:rFonts w:hint="eastAsia"/>
          <w:lang w:val="en-US" w:eastAsia="zh-CN"/>
        </w:rPr>
        <w:t>10</w:t>
      </w:r>
      <w:r>
        <w:rPr>
          <w:rFonts w:hint="eastAsia"/>
          <w:lang w:eastAsia="zh-CN"/>
        </w:rPr>
        <w:t>）</w:t>
      </w:r>
      <w:r>
        <w:t>积极参与项目成本管理和经济活动分析。</w:t>
      </w:r>
    </w:p>
    <w:p>
      <w:pPr>
        <w:ind w:firstLine="480"/>
      </w:pPr>
      <w:r>
        <w:rPr>
          <w:rFonts w:hint="eastAsia"/>
          <w:lang w:eastAsia="zh-CN"/>
        </w:rPr>
        <w:t>（</w:t>
      </w:r>
      <w:r>
        <w:rPr>
          <w:rFonts w:hint="eastAsia"/>
          <w:lang w:val="en-US" w:eastAsia="zh-CN"/>
        </w:rPr>
        <w:t>11</w:t>
      </w:r>
      <w:r>
        <w:rPr>
          <w:rFonts w:hint="eastAsia"/>
          <w:lang w:eastAsia="zh-CN"/>
        </w:rPr>
        <w:t>）</w:t>
      </w:r>
      <w:r>
        <w:t>接受国家财政部门、上级主管部门的监督检查。</w:t>
      </w:r>
    </w:p>
    <w:p>
      <w:pPr>
        <w:ind w:firstLine="480"/>
      </w:pPr>
      <w:r>
        <w:rPr>
          <w:rFonts w:hint="eastAsia"/>
          <w:lang w:eastAsia="zh-CN"/>
        </w:rPr>
        <w:t>（</w:t>
      </w:r>
      <w:r>
        <w:rPr>
          <w:rFonts w:hint="eastAsia"/>
          <w:lang w:val="en-US" w:eastAsia="zh-CN"/>
        </w:rPr>
        <w:t>12</w:t>
      </w:r>
      <w:r>
        <w:rPr>
          <w:rFonts w:hint="eastAsia"/>
          <w:lang w:eastAsia="zh-CN"/>
        </w:rPr>
        <w:t>）</w:t>
      </w:r>
      <w:r>
        <w:t>完成领导交办的其他工作。</w:t>
      </w:r>
    </w:p>
    <w:p>
      <w:pPr>
        <w:ind w:firstLine="480"/>
      </w:pPr>
      <w:r>
        <w:rPr>
          <w:rFonts w:hint="eastAsia"/>
          <w:lang w:val="en-US" w:eastAsia="zh-CN"/>
        </w:rPr>
        <w:t>2、</w:t>
      </w:r>
      <w:r>
        <w:rPr>
          <w:rFonts w:hint="eastAsia"/>
        </w:rPr>
        <w:t>采购部职责</w:t>
      </w:r>
    </w:p>
    <w:p>
      <w:pPr>
        <w:ind w:firstLine="480"/>
      </w:pPr>
      <w:r>
        <w:rPr>
          <w:rFonts w:hint="eastAsia"/>
          <w:lang w:eastAsia="zh-CN"/>
        </w:rPr>
        <w:t>（</w:t>
      </w:r>
      <w:r>
        <w:rPr>
          <w:rFonts w:hint="eastAsia"/>
          <w:lang w:val="en-US" w:eastAsia="zh-CN"/>
        </w:rPr>
        <w:t>1</w:t>
      </w:r>
      <w:r>
        <w:rPr>
          <w:rFonts w:hint="eastAsia"/>
          <w:lang w:eastAsia="zh-CN"/>
        </w:rPr>
        <w:t>）</w:t>
      </w:r>
      <w:r>
        <w:t>采购部在采购部经理的直接领导下，依照项目生产需要物资采购计划，全面负责项目的物料采购和供应工作。</w:t>
      </w:r>
    </w:p>
    <w:p>
      <w:pPr>
        <w:ind w:firstLine="480"/>
      </w:pPr>
      <w:r>
        <w:rPr>
          <w:rFonts w:hint="eastAsia"/>
          <w:lang w:eastAsia="zh-CN"/>
        </w:rPr>
        <w:t>（</w:t>
      </w:r>
      <w:r>
        <w:rPr>
          <w:rFonts w:hint="eastAsia"/>
          <w:lang w:val="en-US" w:eastAsia="zh-CN"/>
        </w:rPr>
        <w:t>2</w:t>
      </w:r>
      <w:r>
        <w:rPr>
          <w:rFonts w:hint="eastAsia"/>
          <w:lang w:eastAsia="zh-CN"/>
        </w:rPr>
        <w:t>）</w:t>
      </w:r>
      <w:r>
        <w:t>采购物资进入仓库时必须有合格证、检验单或者其他的证明材料，否则一律不得入库。</w:t>
      </w:r>
    </w:p>
    <w:p>
      <w:pPr>
        <w:ind w:firstLine="480"/>
      </w:pPr>
      <w:r>
        <w:rPr>
          <w:rFonts w:hint="eastAsia"/>
          <w:lang w:eastAsia="zh-CN"/>
        </w:rPr>
        <w:t>（</w:t>
      </w:r>
      <w:r>
        <w:rPr>
          <w:rFonts w:hint="eastAsia"/>
          <w:lang w:val="en-US" w:eastAsia="zh-CN"/>
        </w:rPr>
        <w:t>3</w:t>
      </w:r>
      <w:r>
        <w:rPr>
          <w:rFonts w:hint="eastAsia"/>
          <w:lang w:eastAsia="zh-CN"/>
        </w:rPr>
        <w:t>）</w:t>
      </w:r>
      <w:r>
        <w:t>采购部的采购工作开展须遵循以下原则：</w:t>
      </w:r>
    </w:p>
    <w:p>
      <w:pPr>
        <w:ind w:firstLine="480"/>
      </w:pPr>
      <w:r>
        <w:t>1）三保原则：</w:t>
      </w:r>
    </w:p>
    <w:p>
      <w:pPr>
        <w:ind w:firstLine="480"/>
      </w:pPr>
      <w:r>
        <w:rPr>
          <w:rFonts w:hint="eastAsia"/>
        </w:rPr>
        <w:t>①保证需要，在采购计划下达后，依照使用时间的要求，及时将需采购物品采购入库或直接送到生产现场，确保生产工作的顺利开展。</w:t>
      </w:r>
    </w:p>
    <w:p>
      <w:pPr>
        <w:ind w:firstLine="480"/>
      </w:pPr>
      <w:r>
        <w:rPr>
          <w:rFonts w:hint="eastAsia"/>
        </w:rPr>
        <w:t>②保证价格，采购时应当综合考虑需采购物品的性价比，择优采购。采购过程中如果出现超出预算而生产商又急需的情况时，必须经部门主管或总经理批准后方可进行。</w:t>
      </w:r>
    </w:p>
    <w:p>
      <w:pPr>
        <w:ind w:firstLine="480"/>
      </w:pPr>
      <w:r>
        <w:rPr>
          <w:rFonts w:hint="eastAsia"/>
        </w:rPr>
        <w:t>③保证质量，在采购各类物品时，应当认真检查采购物品的规格、型号及品质情况，确认符合要求后才能进行采购。</w:t>
      </w:r>
    </w:p>
    <w:p>
      <w:pPr>
        <w:ind w:firstLine="480"/>
      </w:pPr>
      <w:r>
        <w:t>2）三比原则：比较价格的高低，合理选择；比较质量的好坏，注重性价比；比较运输距离的远近，综合考虑成本及公司的实际需求。</w:t>
      </w:r>
    </w:p>
    <w:p>
      <w:pPr>
        <w:ind w:firstLine="480"/>
      </w:pPr>
      <w:r>
        <w:t>3）五勤原则：</w:t>
      </w:r>
    </w:p>
    <w:p>
      <w:pPr>
        <w:ind w:firstLine="480"/>
      </w:pPr>
      <w:r>
        <w:rPr>
          <w:rFonts w:hint="eastAsia"/>
        </w:rPr>
        <w:t>①勤问：遇到对材料货源情况比较熟悉的人员需要多问。</w:t>
      </w:r>
    </w:p>
    <w:p>
      <w:pPr>
        <w:ind w:firstLine="480"/>
      </w:pPr>
      <w:r>
        <w:rPr>
          <w:rFonts w:hint="eastAsia"/>
        </w:rPr>
        <w:t>②勤听：有材料方面的信息要多听，从中尽可能多的了解货源情况。</w:t>
      </w:r>
    </w:p>
    <w:p>
      <w:pPr>
        <w:ind w:firstLine="480"/>
      </w:pPr>
      <w:r>
        <w:rPr>
          <w:rFonts w:hint="eastAsia"/>
        </w:rPr>
        <w:t>③勤记：对材料货源、生产单位、物品材料的基本判定标准及其他的信息资料要做到勤记录。</w:t>
      </w:r>
    </w:p>
    <w:p>
      <w:pPr>
        <w:ind w:firstLine="480"/>
      </w:pPr>
      <w:r>
        <w:rPr>
          <w:rFonts w:hint="eastAsia"/>
        </w:rPr>
        <w:t>④勤跑：对供应商及供货企业要勤跑，以便于切实掌握物品材料的第一手信息。</w:t>
      </w:r>
    </w:p>
    <w:p>
      <w:pPr>
        <w:ind w:firstLine="480"/>
      </w:pPr>
      <w:r>
        <w:rPr>
          <w:rFonts w:hint="eastAsia"/>
        </w:rPr>
        <w:t>⑤勤看：要经常深入仓库，了解库存的基本情况，对于库存情况做到心中有数。</w:t>
      </w:r>
    </w:p>
    <w:p>
      <w:pPr>
        <w:ind w:firstLine="480"/>
      </w:pPr>
      <w:r>
        <w:rPr>
          <w:rFonts w:hint="eastAsia"/>
          <w:lang w:eastAsia="zh-CN"/>
        </w:rPr>
        <w:t>（</w:t>
      </w:r>
      <w:r>
        <w:rPr>
          <w:rFonts w:hint="eastAsia"/>
          <w:lang w:val="en-US" w:eastAsia="zh-CN"/>
        </w:rPr>
        <w:t>4</w:t>
      </w:r>
      <w:r>
        <w:rPr>
          <w:rFonts w:hint="eastAsia"/>
          <w:lang w:eastAsia="zh-CN"/>
        </w:rPr>
        <w:t>）</w:t>
      </w:r>
      <w:r>
        <w:t>对初次进行合作的供应商进行调查了解，根据实际掌握的资料与信息做出相应的评价判定。对于符合项目要求的，方可与之开展业务往来与合作。</w:t>
      </w:r>
    </w:p>
    <w:p>
      <w:pPr>
        <w:ind w:firstLine="480"/>
      </w:pPr>
      <w:r>
        <w:rPr>
          <w:rFonts w:hint="eastAsia"/>
          <w:lang w:eastAsia="zh-CN"/>
        </w:rPr>
        <w:t>（</w:t>
      </w:r>
      <w:r>
        <w:rPr>
          <w:rFonts w:hint="eastAsia"/>
          <w:lang w:val="en-US" w:eastAsia="zh-CN"/>
        </w:rPr>
        <w:t>5</w:t>
      </w:r>
      <w:r>
        <w:rPr>
          <w:rFonts w:hint="eastAsia"/>
          <w:lang w:eastAsia="zh-CN"/>
        </w:rPr>
        <w:t>）</w:t>
      </w:r>
      <w:r>
        <w:t>负责对所有与公司有业务往来的供应商或供货企业进行定期的资质评价并给出明确的评价等级。针对不同的评价等级给出相应的处理意见。</w:t>
      </w:r>
    </w:p>
    <w:p>
      <w:pPr>
        <w:ind w:firstLine="480"/>
      </w:pPr>
      <w:r>
        <w:rPr>
          <w:rFonts w:hint="eastAsia"/>
          <w:lang w:eastAsia="zh-CN"/>
        </w:rPr>
        <w:t>（</w:t>
      </w:r>
      <w:r>
        <w:rPr>
          <w:rFonts w:hint="eastAsia"/>
          <w:lang w:val="en-US" w:eastAsia="zh-CN"/>
        </w:rPr>
        <w:t>6</w:t>
      </w:r>
      <w:r>
        <w:rPr>
          <w:rFonts w:hint="eastAsia"/>
          <w:lang w:eastAsia="zh-CN"/>
        </w:rPr>
        <w:t>）</w:t>
      </w:r>
      <w:r>
        <w:t>采购工作的开展应当做到精打细算，尽力降低本项目的采购成本，避免出现浪费公司资金的情况。</w:t>
      </w:r>
    </w:p>
    <w:p>
      <w:pPr>
        <w:ind w:firstLine="480"/>
      </w:pPr>
      <w:r>
        <w:rPr>
          <w:rFonts w:hint="eastAsia"/>
          <w:lang w:eastAsia="zh-CN"/>
        </w:rPr>
        <w:t>（</w:t>
      </w:r>
      <w:r>
        <w:rPr>
          <w:rFonts w:hint="eastAsia"/>
          <w:lang w:val="en-US" w:eastAsia="zh-CN"/>
        </w:rPr>
        <w:t>7</w:t>
      </w:r>
      <w:r>
        <w:rPr>
          <w:rFonts w:hint="eastAsia"/>
          <w:lang w:eastAsia="zh-CN"/>
        </w:rPr>
        <w:t>）</w:t>
      </w:r>
      <w:r>
        <w:t>完成领导布置的其他各项工作。</w:t>
      </w:r>
    </w:p>
    <w:p>
      <w:pPr>
        <w:ind w:firstLine="480"/>
      </w:pPr>
      <w:r>
        <w:rPr>
          <w:rFonts w:hint="eastAsia"/>
          <w:lang w:val="en-US" w:eastAsia="zh-CN"/>
        </w:rPr>
        <w:t>3、</w:t>
      </w:r>
      <w:r>
        <w:rPr>
          <w:rFonts w:hint="eastAsia"/>
        </w:rPr>
        <w:t>生产部职责</w:t>
      </w:r>
    </w:p>
    <w:p>
      <w:pPr>
        <w:ind w:firstLine="480"/>
      </w:pPr>
      <w:r>
        <w:rPr>
          <w:rFonts w:hint="eastAsia"/>
          <w:lang w:eastAsia="zh-CN"/>
        </w:rPr>
        <w:t>（</w:t>
      </w:r>
      <w:r>
        <w:rPr>
          <w:rFonts w:hint="eastAsia"/>
          <w:lang w:val="en-US" w:eastAsia="zh-CN"/>
        </w:rPr>
        <w:t>1</w:t>
      </w:r>
      <w:r>
        <w:rPr>
          <w:rFonts w:hint="eastAsia"/>
          <w:lang w:eastAsia="zh-CN"/>
        </w:rPr>
        <w:t>）</w:t>
      </w:r>
      <w:r>
        <w:t>对生产计划信息进行落实并反馈。</w:t>
      </w:r>
    </w:p>
    <w:p>
      <w:pPr>
        <w:ind w:firstLine="480"/>
      </w:pPr>
      <w:r>
        <w:rPr>
          <w:rFonts w:hint="eastAsia"/>
          <w:lang w:eastAsia="zh-CN"/>
        </w:rPr>
        <w:t>（</w:t>
      </w:r>
      <w:r>
        <w:rPr>
          <w:rFonts w:hint="eastAsia"/>
          <w:lang w:val="en-US" w:eastAsia="zh-CN"/>
        </w:rPr>
        <w:t>2</w:t>
      </w:r>
      <w:r>
        <w:rPr>
          <w:rFonts w:hint="eastAsia"/>
          <w:lang w:eastAsia="zh-CN"/>
        </w:rPr>
        <w:t>）</w:t>
      </w:r>
      <w:r>
        <w:t>负责执行生产计划，密切配合其他部门，确保生产计划保质、按时地履行。</w:t>
      </w:r>
    </w:p>
    <w:p>
      <w:pPr>
        <w:ind w:firstLine="480"/>
      </w:pPr>
      <w:r>
        <w:rPr>
          <w:rFonts w:hint="eastAsia"/>
          <w:lang w:eastAsia="zh-CN"/>
        </w:rPr>
        <w:t>（</w:t>
      </w:r>
      <w:r>
        <w:rPr>
          <w:rFonts w:hint="eastAsia"/>
          <w:lang w:val="en-US" w:eastAsia="zh-CN"/>
        </w:rPr>
        <w:t>3</w:t>
      </w:r>
      <w:r>
        <w:rPr>
          <w:rFonts w:hint="eastAsia"/>
          <w:lang w:eastAsia="zh-CN"/>
        </w:rPr>
        <w:t>）</w:t>
      </w:r>
      <w:r>
        <w:t>负责执行生产设备的日常保养、维护和检修，并填写相关记录。</w:t>
      </w:r>
    </w:p>
    <w:p>
      <w:pPr>
        <w:ind w:firstLine="480"/>
      </w:pPr>
      <w:r>
        <w:rPr>
          <w:rFonts w:hint="eastAsia"/>
          <w:lang w:eastAsia="zh-CN"/>
        </w:rPr>
        <w:t>（</w:t>
      </w:r>
      <w:r>
        <w:rPr>
          <w:rFonts w:hint="eastAsia"/>
          <w:lang w:val="en-US" w:eastAsia="zh-CN"/>
        </w:rPr>
        <w:t>4</w:t>
      </w:r>
      <w:r>
        <w:rPr>
          <w:rFonts w:hint="eastAsia"/>
          <w:lang w:eastAsia="zh-CN"/>
        </w:rPr>
        <w:t>）</w:t>
      </w:r>
      <w:r>
        <w:t>组织拟订生产、设备、安全、卫生等规章制度，并执行、检查、监督、控制。</w:t>
      </w:r>
    </w:p>
    <w:p>
      <w:pPr>
        <w:ind w:firstLine="480"/>
      </w:pPr>
      <w:r>
        <w:rPr>
          <w:rFonts w:hint="eastAsia"/>
          <w:lang w:eastAsia="zh-CN"/>
        </w:rPr>
        <w:t>（</w:t>
      </w:r>
      <w:r>
        <w:rPr>
          <w:rFonts w:hint="eastAsia"/>
          <w:lang w:val="en-US" w:eastAsia="zh-CN"/>
        </w:rPr>
        <w:t>5</w:t>
      </w:r>
      <w:r>
        <w:rPr>
          <w:rFonts w:hint="eastAsia"/>
          <w:lang w:eastAsia="zh-CN"/>
        </w:rPr>
        <w:t>）</w:t>
      </w:r>
      <w:r>
        <w:t>负责抓好生产安全教育，加强安全生产的控制、实施、严格执行安全法规、生产操作规程，及时监督检查，确保安全生产，杜绝火灾、设备、人身伤害事故的发生。</w:t>
      </w:r>
    </w:p>
    <w:p>
      <w:pPr>
        <w:ind w:firstLine="480"/>
      </w:pPr>
      <w:r>
        <w:rPr>
          <w:rFonts w:hint="eastAsia"/>
          <w:lang w:eastAsia="zh-CN"/>
        </w:rPr>
        <w:t>（</w:t>
      </w:r>
      <w:r>
        <w:rPr>
          <w:rFonts w:hint="eastAsia"/>
          <w:lang w:val="en-US" w:eastAsia="zh-CN"/>
        </w:rPr>
        <w:t>6</w:t>
      </w:r>
      <w:r>
        <w:rPr>
          <w:rFonts w:hint="eastAsia"/>
          <w:lang w:eastAsia="zh-CN"/>
        </w:rPr>
        <w:t>）</w:t>
      </w:r>
      <w:r>
        <w:t>组织生产人员并提高专业技能。</w:t>
      </w:r>
    </w:p>
    <w:p>
      <w:pPr>
        <w:ind w:firstLine="480"/>
      </w:pPr>
      <w:r>
        <w:rPr>
          <w:rFonts w:hint="eastAsia"/>
          <w:lang w:eastAsia="zh-CN"/>
        </w:rPr>
        <w:t>（</w:t>
      </w:r>
      <w:r>
        <w:rPr>
          <w:rFonts w:hint="eastAsia"/>
          <w:lang w:val="en-US" w:eastAsia="zh-CN"/>
        </w:rPr>
        <w:t>7</w:t>
      </w:r>
      <w:r>
        <w:rPr>
          <w:rFonts w:hint="eastAsia"/>
          <w:lang w:eastAsia="zh-CN"/>
        </w:rPr>
        <w:t>）</w:t>
      </w:r>
      <w:r>
        <w:t>组织安排返工作业生产。</w:t>
      </w:r>
    </w:p>
    <w:p>
      <w:pPr>
        <w:ind w:firstLine="480"/>
      </w:pPr>
      <w:r>
        <w:rPr>
          <w:rFonts w:hint="eastAsia"/>
          <w:lang w:eastAsia="zh-CN"/>
        </w:rPr>
        <w:t>（</w:t>
      </w:r>
      <w:r>
        <w:rPr>
          <w:rFonts w:hint="eastAsia"/>
          <w:lang w:val="en-US" w:eastAsia="zh-CN"/>
        </w:rPr>
        <w:t>8</w:t>
      </w:r>
      <w:r>
        <w:rPr>
          <w:rFonts w:hint="eastAsia"/>
          <w:lang w:eastAsia="zh-CN"/>
        </w:rPr>
        <w:t>）</w:t>
      </w:r>
      <w:r>
        <w:t>负责组织生产现场管理工作，抓好劳动防护和6S管理。</w:t>
      </w:r>
    </w:p>
    <w:p>
      <w:pPr>
        <w:ind w:firstLine="480"/>
      </w:pPr>
      <w:r>
        <w:rPr>
          <w:rFonts w:hint="eastAsia"/>
          <w:lang w:eastAsia="zh-CN"/>
        </w:rPr>
        <w:t>（</w:t>
      </w:r>
      <w:r>
        <w:rPr>
          <w:rFonts w:hint="eastAsia"/>
          <w:lang w:val="en-US" w:eastAsia="zh-CN"/>
        </w:rPr>
        <w:t>9</w:t>
      </w:r>
      <w:r>
        <w:rPr>
          <w:rFonts w:hint="eastAsia"/>
          <w:lang w:eastAsia="zh-CN"/>
        </w:rPr>
        <w:t>）</w:t>
      </w:r>
      <w:r>
        <w:t>负责做好生产协调管理工作，平衡综合生产能力，合理安排生产作业时间。</w:t>
      </w:r>
    </w:p>
    <w:p>
      <w:pPr>
        <w:ind w:firstLine="480"/>
      </w:pPr>
      <w:r>
        <w:rPr>
          <w:rFonts w:hint="eastAsia"/>
          <w:lang w:eastAsia="zh-CN"/>
        </w:rPr>
        <w:t>（</w:t>
      </w:r>
      <w:r>
        <w:rPr>
          <w:rFonts w:hint="eastAsia"/>
          <w:lang w:val="en-US" w:eastAsia="zh-CN"/>
        </w:rPr>
        <w:t>10</w:t>
      </w:r>
      <w:r>
        <w:rPr>
          <w:rFonts w:hint="eastAsia"/>
          <w:lang w:eastAsia="zh-CN"/>
        </w:rPr>
        <w:t>）</w:t>
      </w:r>
      <w:r>
        <w:t>提高效益，减少损耗、降低生产成本。</w:t>
      </w:r>
    </w:p>
    <w:p>
      <w:pPr>
        <w:ind w:firstLine="480"/>
      </w:pPr>
      <w:r>
        <w:rPr>
          <w:rFonts w:hint="eastAsia"/>
          <w:lang w:eastAsia="zh-CN"/>
        </w:rPr>
        <w:t>（</w:t>
      </w:r>
      <w:r>
        <w:rPr>
          <w:rFonts w:hint="eastAsia"/>
          <w:lang w:val="en-US" w:eastAsia="zh-CN"/>
        </w:rPr>
        <w:t>11</w:t>
      </w:r>
      <w:r>
        <w:rPr>
          <w:rFonts w:hint="eastAsia"/>
          <w:lang w:eastAsia="zh-CN"/>
        </w:rPr>
        <w:t>）</w:t>
      </w:r>
      <w:r>
        <w:t>采取纠正和预防措施，确保实施持续改进。</w:t>
      </w:r>
    </w:p>
    <w:p>
      <w:pPr>
        <w:ind w:firstLine="480"/>
      </w:pPr>
      <w:r>
        <w:rPr>
          <w:rFonts w:hint="eastAsia"/>
          <w:lang w:eastAsia="zh-CN"/>
        </w:rPr>
        <w:t>（</w:t>
      </w:r>
      <w:r>
        <w:rPr>
          <w:rFonts w:hint="eastAsia"/>
          <w:lang w:val="en-US" w:eastAsia="zh-CN"/>
        </w:rPr>
        <w:t>12</w:t>
      </w:r>
      <w:r>
        <w:rPr>
          <w:rFonts w:hint="eastAsia"/>
          <w:lang w:eastAsia="zh-CN"/>
        </w:rPr>
        <w:t>）</w:t>
      </w:r>
      <w:r>
        <w:t>及时编制年、季、月度生产统计报表，认真做好生产统计核算基础管理工作，重视原始记录、台账、统计报表管理工作，确保统计核算规范化、统计数据的正确性。</w:t>
      </w:r>
    </w:p>
    <w:p>
      <w:pPr>
        <w:ind w:firstLine="480"/>
      </w:pPr>
      <w:r>
        <w:rPr>
          <w:rFonts w:hint="eastAsia"/>
          <w:lang w:eastAsia="zh-CN"/>
        </w:rPr>
        <w:t>（</w:t>
      </w:r>
      <w:r>
        <w:rPr>
          <w:rFonts w:hint="eastAsia"/>
          <w:lang w:val="en-US" w:eastAsia="zh-CN"/>
        </w:rPr>
        <w:t>13</w:t>
      </w:r>
      <w:r>
        <w:rPr>
          <w:rFonts w:hint="eastAsia"/>
          <w:lang w:eastAsia="zh-CN"/>
        </w:rPr>
        <w:t>）</w:t>
      </w:r>
      <w:r>
        <w:t>抓好生产统计分析报告编制。定期进行生产统计分析、经济活动分析，总结经验、找出存在的问题，提出改进工作的意见和建议。</w:t>
      </w:r>
    </w:p>
    <w:p>
      <w:pPr>
        <w:ind w:firstLine="480"/>
      </w:pPr>
      <w:r>
        <w:rPr>
          <w:rFonts w:hint="eastAsia"/>
          <w:lang w:eastAsia="zh-CN"/>
        </w:rPr>
        <w:t>（</w:t>
      </w:r>
      <w:r>
        <w:rPr>
          <w:rFonts w:hint="eastAsia"/>
          <w:lang w:val="en-US" w:eastAsia="zh-CN"/>
        </w:rPr>
        <w:t>14</w:t>
      </w:r>
      <w:r>
        <w:rPr>
          <w:rFonts w:hint="eastAsia"/>
          <w:lang w:eastAsia="zh-CN"/>
        </w:rPr>
        <w:t>）</w:t>
      </w:r>
      <w:r>
        <w:t>抓好生产管理人员的专业培训工作，并对其业务水平和工作能力定期检查、考核、评比。</w:t>
      </w:r>
    </w:p>
    <w:p>
      <w:pPr>
        <w:ind w:firstLine="480"/>
      </w:pPr>
      <w:r>
        <w:rPr>
          <w:rFonts w:hint="eastAsia"/>
          <w:lang w:eastAsia="zh-CN"/>
        </w:rPr>
        <w:t>（</w:t>
      </w:r>
      <w:r>
        <w:rPr>
          <w:rFonts w:hint="eastAsia"/>
          <w:lang w:val="en-US" w:eastAsia="zh-CN"/>
        </w:rPr>
        <w:t>15</w:t>
      </w:r>
      <w:r>
        <w:rPr>
          <w:rFonts w:hint="eastAsia"/>
          <w:lang w:eastAsia="zh-CN"/>
        </w:rPr>
        <w:t>）</w:t>
      </w:r>
      <w:r>
        <w:t>负责拟定本部门目标、工作计划，组织实施检查监督及控制。</w:t>
      </w:r>
    </w:p>
    <w:p>
      <w:pPr>
        <w:ind w:firstLine="480"/>
      </w:pPr>
      <w:r>
        <w:rPr>
          <w:rFonts w:hint="eastAsia"/>
          <w:lang w:eastAsia="zh-CN"/>
        </w:rPr>
        <w:t>（</w:t>
      </w:r>
      <w:r>
        <w:rPr>
          <w:rFonts w:hint="eastAsia"/>
          <w:lang w:val="en-US" w:eastAsia="zh-CN"/>
        </w:rPr>
        <w:t>16</w:t>
      </w:r>
      <w:r>
        <w:rPr>
          <w:rFonts w:hint="eastAsia"/>
          <w:lang w:eastAsia="zh-CN"/>
        </w:rPr>
        <w:t>）</w:t>
      </w:r>
      <w:r>
        <w:t>遵守项目各项管理制度。</w:t>
      </w:r>
    </w:p>
    <w:p>
      <w:pPr>
        <w:ind w:firstLine="480"/>
      </w:pPr>
      <w:r>
        <w:rPr>
          <w:rFonts w:hint="eastAsia"/>
          <w:lang w:eastAsia="zh-CN"/>
        </w:rPr>
        <w:t>（</w:t>
      </w:r>
      <w:r>
        <w:rPr>
          <w:rFonts w:hint="eastAsia"/>
          <w:lang w:val="en-US" w:eastAsia="zh-CN"/>
        </w:rPr>
        <w:t>17</w:t>
      </w:r>
      <w:r>
        <w:rPr>
          <w:rFonts w:hint="eastAsia"/>
          <w:lang w:eastAsia="zh-CN"/>
        </w:rPr>
        <w:t>）</w:t>
      </w:r>
      <w:r>
        <w:t>协助其他部门完成工作任务。</w:t>
      </w:r>
    </w:p>
    <w:p>
      <w:pPr>
        <w:ind w:firstLine="480"/>
      </w:pPr>
      <w:r>
        <w:rPr>
          <w:rFonts w:hint="eastAsia"/>
          <w:lang w:val="en-US" w:eastAsia="zh-CN"/>
        </w:rPr>
        <w:t>4、</w:t>
      </w:r>
      <w:r>
        <w:rPr>
          <w:rFonts w:hint="eastAsia"/>
        </w:rPr>
        <w:t>仓储部职责</w:t>
      </w:r>
    </w:p>
    <w:p>
      <w:pPr>
        <w:ind w:firstLine="480"/>
      </w:pPr>
      <w:r>
        <w:rPr>
          <w:rFonts w:hint="eastAsia"/>
          <w:lang w:eastAsia="zh-CN"/>
        </w:rPr>
        <w:t>（</w:t>
      </w:r>
      <w:r>
        <w:rPr>
          <w:rFonts w:hint="eastAsia"/>
          <w:lang w:val="en-US" w:eastAsia="zh-CN"/>
        </w:rPr>
        <w:t>1</w:t>
      </w:r>
      <w:r>
        <w:rPr>
          <w:rFonts w:hint="eastAsia"/>
          <w:lang w:eastAsia="zh-CN"/>
        </w:rPr>
        <w:t>）</w:t>
      </w:r>
      <w:r>
        <w:t>负责制定、执行和改进仓储管理制度及其作业流程，并监督确保其有效实施。</w:t>
      </w:r>
    </w:p>
    <w:p>
      <w:pPr>
        <w:ind w:firstLine="480"/>
      </w:pPr>
      <w:r>
        <w:rPr>
          <w:rFonts w:hint="eastAsia"/>
          <w:lang w:eastAsia="zh-CN"/>
        </w:rPr>
        <w:t>（</w:t>
      </w:r>
      <w:r>
        <w:rPr>
          <w:rFonts w:hint="eastAsia"/>
          <w:lang w:val="en-US" w:eastAsia="zh-CN"/>
        </w:rPr>
        <w:t>2</w:t>
      </w:r>
      <w:r>
        <w:rPr>
          <w:rFonts w:hint="eastAsia"/>
          <w:lang w:eastAsia="zh-CN"/>
        </w:rPr>
        <w:t>）</w:t>
      </w:r>
      <w:r>
        <w:t>负责研究与分析仓库空间、设备、人力与货物形态等因素，拟定完善的物资管理制度及作业程序。</w:t>
      </w:r>
    </w:p>
    <w:p>
      <w:pPr>
        <w:ind w:firstLine="480"/>
      </w:pPr>
      <w:r>
        <w:rPr>
          <w:rFonts w:hint="eastAsia"/>
          <w:lang w:eastAsia="zh-CN"/>
        </w:rPr>
        <w:t>（</w:t>
      </w:r>
      <w:r>
        <w:rPr>
          <w:rFonts w:hint="eastAsia"/>
          <w:lang w:val="en-US" w:eastAsia="zh-CN"/>
        </w:rPr>
        <w:t>3</w:t>
      </w:r>
      <w:r>
        <w:rPr>
          <w:rFonts w:hint="eastAsia"/>
          <w:lang w:eastAsia="zh-CN"/>
        </w:rPr>
        <w:t>）</w:t>
      </w:r>
      <w:r>
        <w:t>负责对进库货物外观质量进行检查并实施入库验收。</w:t>
      </w:r>
    </w:p>
    <w:p>
      <w:pPr>
        <w:ind w:firstLine="480"/>
      </w:pPr>
      <w:r>
        <w:rPr>
          <w:rFonts w:hint="eastAsia"/>
          <w:lang w:eastAsia="zh-CN"/>
        </w:rPr>
        <w:t>（</w:t>
      </w:r>
      <w:r>
        <w:rPr>
          <w:rFonts w:hint="eastAsia"/>
          <w:lang w:val="en-US" w:eastAsia="zh-CN"/>
        </w:rPr>
        <w:t>4</w:t>
      </w:r>
      <w:r>
        <w:rPr>
          <w:rFonts w:hint="eastAsia"/>
          <w:lang w:eastAsia="zh-CN"/>
        </w:rPr>
        <w:t>）</w:t>
      </w:r>
      <w:r>
        <w:t>负责对在库货物进行养护和管理工作。</w:t>
      </w:r>
    </w:p>
    <w:p>
      <w:pPr>
        <w:ind w:firstLine="480"/>
      </w:pPr>
      <w:r>
        <w:rPr>
          <w:rFonts w:hint="eastAsia"/>
          <w:lang w:eastAsia="zh-CN"/>
        </w:rPr>
        <w:t>（</w:t>
      </w:r>
      <w:r>
        <w:rPr>
          <w:rFonts w:hint="eastAsia"/>
          <w:lang w:val="en-US" w:eastAsia="zh-CN"/>
        </w:rPr>
        <w:t>5</w:t>
      </w:r>
      <w:r>
        <w:rPr>
          <w:rFonts w:hint="eastAsia"/>
          <w:lang w:eastAsia="zh-CN"/>
        </w:rPr>
        <w:t>）</w:t>
      </w:r>
      <w:r>
        <w:t>负责对出库货物进行验发等相关工作。</w:t>
      </w:r>
    </w:p>
    <w:p>
      <w:pPr>
        <w:ind w:firstLine="480"/>
      </w:pPr>
      <w:r>
        <w:rPr>
          <w:rFonts w:hint="eastAsia"/>
          <w:lang w:eastAsia="zh-CN"/>
        </w:rPr>
        <w:t>（</w:t>
      </w:r>
      <w:r>
        <w:rPr>
          <w:rFonts w:hint="eastAsia"/>
          <w:lang w:val="en-US" w:eastAsia="zh-CN"/>
        </w:rPr>
        <w:t>6</w:t>
      </w:r>
      <w:r>
        <w:rPr>
          <w:rFonts w:hint="eastAsia"/>
          <w:lang w:eastAsia="zh-CN"/>
        </w:rPr>
        <w:t>）</w:t>
      </w:r>
      <w:r>
        <w:t>负责协助对不合格会务进行处理申报，以及按照相关程序要求对废旧物料进行处理。</w:t>
      </w:r>
    </w:p>
    <w:p>
      <w:pPr>
        <w:ind w:firstLine="480"/>
      </w:pPr>
      <w:r>
        <w:rPr>
          <w:rFonts w:hint="eastAsia"/>
          <w:lang w:eastAsia="zh-CN"/>
        </w:rPr>
        <w:t>（</w:t>
      </w:r>
      <w:r>
        <w:rPr>
          <w:rFonts w:hint="eastAsia"/>
          <w:lang w:val="en-US" w:eastAsia="zh-CN"/>
        </w:rPr>
        <w:t>7</w:t>
      </w:r>
      <w:r>
        <w:rPr>
          <w:rFonts w:hint="eastAsia"/>
          <w:lang w:eastAsia="zh-CN"/>
        </w:rPr>
        <w:t>）</w:t>
      </w:r>
      <w:r>
        <w:t>负责各类货物及包装的回收、清洁、处理等工作。</w:t>
      </w:r>
    </w:p>
    <w:p>
      <w:pPr>
        <w:ind w:firstLine="480"/>
      </w:pPr>
      <w:r>
        <w:rPr>
          <w:rFonts w:hint="eastAsia"/>
          <w:lang w:eastAsia="zh-CN"/>
        </w:rPr>
        <w:t>（</w:t>
      </w:r>
      <w:r>
        <w:rPr>
          <w:rFonts w:hint="eastAsia"/>
          <w:lang w:val="en-US" w:eastAsia="zh-CN"/>
        </w:rPr>
        <w:t>8</w:t>
      </w:r>
      <w:r>
        <w:rPr>
          <w:rFonts w:hint="eastAsia"/>
          <w:lang w:eastAsia="zh-CN"/>
        </w:rPr>
        <w:t>）</w:t>
      </w:r>
      <w:r>
        <w:t>负责项目的物资贮存管理工作，对原、辅料库及成品库实施全面管理，加强对入库、贮存、发货的质量控制，保证帐、卡、物一致。</w:t>
      </w:r>
    </w:p>
    <w:p>
      <w:pPr>
        <w:ind w:firstLine="480"/>
      </w:pPr>
      <w:r>
        <w:rPr>
          <w:rFonts w:hint="eastAsia"/>
          <w:lang w:eastAsia="zh-CN"/>
        </w:rPr>
        <w:t>（</w:t>
      </w:r>
      <w:r>
        <w:rPr>
          <w:rFonts w:hint="eastAsia"/>
          <w:lang w:val="en-US" w:eastAsia="zh-CN"/>
        </w:rPr>
        <w:t>9</w:t>
      </w:r>
      <w:r>
        <w:rPr>
          <w:rFonts w:hint="eastAsia"/>
          <w:lang w:eastAsia="zh-CN"/>
        </w:rPr>
        <w:t>）</w:t>
      </w:r>
      <w:r>
        <w:t>负责确保仓库存储设施符合要求，做好库内温湿度、通风等工作，并做记录。</w:t>
      </w:r>
    </w:p>
    <w:p>
      <w:pPr>
        <w:ind w:firstLine="480"/>
      </w:pPr>
      <w:r>
        <w:rPr>
          <w:rFonts w:hint="eastAsia"/>
          <w:lang w:eastAsia="zh-CN"/>
        </w:rPr>
        <w:t>（</w:t>
      </w:r>
      <w:r>
        <w:rPr>
          <w:rFonts w:hint="eastAsia"/>
          <w:lang w:val="en-US" w:eastAsia="zh-CN"/>
        </w:rPr>
        <w:t>10</w:t>
      </w:r>
      <w:r>
        <w:rPr>
          <w:rFonts w:hint="eastAsia"/>
          <w:lang w:eastAsia="zh-CN"/>
        </w:rPr>
        <w:t>）</w:t>
      </w:r>
      <w:r>
        <w:t>负责项目仓库的ERP系统管理工作。</w:t>
      </w:r>
    </w:p>
    <w:p>
      <w:pPr>
        <w:ind w:firstLine="480"/>
      </w:pPr>
      <w:r>
        <w:rPr>
          <w:rFonts w:hint="eastAsia"/>
          <w:lang w:eastAsia="zh-CN"/>
        </w:rPr>
        <w:t>（</w:t>
      </w:r>
      <w:r>
        <w:rPr>
          <w:rFonts w:hint="eastAsia"/>
          <w:lang w:val="en-US" w:eastAsia="zh-CN"/>
        </w:rPr>
        <w:t>11</w:t>
      </w:r>
      <w:r>
        <w:rPr>
          <w:rFonts w:hint="eastAsia"/>
          <w:lang w:eastAsia="zh-CN"/>
        </w:rPr>
        <w:t>）</w:t>
      </w:r>
      <w:r>
        <w:t>负责协助财务部对仓库的管理工作，参与财务部定期组织的盘点对账工作，以及组织部门人员定期进行盘点核对工作。</w:t>
      </w:r>
    </w:p>
    <w:p>
      <w:pPr>
        <w:ind w:firstLine="480"/>
      </w:pPr>
      <w:r>
        <w:rPr>
          <w:rFonts w:hint="eastAsia"/>
          <w:lang w:eastAsia="zh-CN"/>
        </w:rPr>
        <w:t>（</w:t>
      </w:r>
      <w:r>
        <w:rPr>
          <w:rFonts w:hint="eastAsia"/>
          <w:lang w:val="en-US" w:eastAsia="zh-CN"/>
        </w:rPr>
        <w:t>12</w:t>
      </w:r>
      <w:r>
        <w:rPr>
          <w:rFonts w:hint="eastAsia"/>
          <w:lang w:eastAsia="zh-CN"/>
        </w:rPr>
        <w:t>）</w:t>
      </w:r>
      <w:r>
        <w:t>负责定期给上级领导提供库存情况的相关报表。</w:t>
      </w:r>
    </w:p>
    <w:p>
      <w:pPr>
        <w:ind w:firstLine="480"/>
      </w:pPr>
      <w:r>
        <w:rPr>
          <w:rFonts w:hint="eastAsia"/>
          <w:lang w:eastAsia="zh-CN"/>
        </w:rPr>
        <w:t>（</w:t>
      </w:r>
      <w:r>
        <w:rPr>
          <w:rFonts w:hint="eastAsia"/>
          <w:lang w:val="en-US" w:eastAsia="zh-CN"/>
        </w:rPr>
        <w:t>13</w:t>
      </w:r>
      <w:r>
        <w:rPr>
          <w:rFonts w:hint="eastAsia"/>
          <w:lang w:eastAsia="zh-CN"/>
        </w:rPr>
        <w:t>）</w:t>
      </w:r>
      <w:r>
        <w:t>负责现场的物资及仓库的安全防火、防盗工作，杜绝安全隐患。</w:t>
      </w:r>
    </w:p>
    <w:p>
      <w:pPr>
        <w:ind w:firstLine="480"/>
      </w:pPr>
      <w:r>
        <w:rPr>
          <w:rFonts w:hint="eastAsia"/>
          <w:lang w:eastAsia="zh-CN"/>
        </w:rPr>
        <w:t>（</w:t>
      </w:r>
      <w:r>
        <w:rPr>
          <w:rFonts w:hint="eastAsia"/>
          <w:lang w:val="en-US" w:eastAsia="zh-CN"/>
        </w:rPr>
        <w:t>14</w:t>
      </w:r>
      <w:r>
        <w:rPr>
          <w:rFonts w:hint="eastAsia"/>
          <w:lang w:eastAsia="zh-CN"/>
        </w:rPr>
        <w:t>）</w:t>
      </w:r>
      <w:r>
        <w:t>完成其他部门负责人交办的其他临时性工作。</w:t>
      </w:r>
    </w:p>
    <w:p>
      <w:pPr>
        <w:ind w:firstLine="480"/>
      </w:pPr>
      <w:r>
        <w:rPr>
          <w:rFonts w:hint="eastAsia"/>
          <w:lang w:val="en-US" w:eastAsia="zh-CN"/>
        </w:rPr>
        <w:t>5、</w:t>
      </w:r>
      <w:r>
        <w:rPr>
          <w:rFonts w:hint="eastAsia"/>
        </w:rPr>
        <w:t>质检部职责</w:t>
      </w:r>
    </w:p>
    <w:p>
      <w:pPr>
        <w:ind w:firstLine="480"/>
      </w:pPr>
      <w:r>
        <w:rPr>
          <w:rFonts w:hint="eastAsia"/>
          <w:lang w:eastAsia="zh-CN"/>
        </w:rPr>
        <w:t>（</w:t>
      </w:r>
      <w:r>
        <w:rPr>
          <w:rFonts w:hint="eastAsia"/>
          <w:lang w:val="en-US" w:eastAsia="zh-CN"/>
        </w:rPr>
        <w:t>1</w:t>
      </w:r>
      <w:r>
        <w:rPr>
          <w:rFonts w:hint="eastAsia"/>
          <w:lang w:eastAsia="zh-CN"/>
        </w:rPr>
        <w:t>）</w:t>
      </w:r>
      <w:r>
        <w:t>质检部在质检部主管的直接领导下，负责项目肥料的品质管理工作。</w:t>
      </w:r>
    </w:p>
    <w:p>
      <w:pPr>
        <w:ind w:firstLine="480"/>
      </w:pPr>
      <w:r>
        <w:rPr>
          <w:rFonts w:hint="eastAsia"/>
          <w:lang w:eastAsia="zh-CN"/>
        </w:rPr>
        <w:t>（</w:t>
      </w:r>
      <w:r>
        <w:rPr>
          <w:rFonts w:hint="eastAsia"/>
          <w:lang w:val="en-US" w:eastAsia="zh-CN"/>
        </w:rPr>
        <w:t>2</w:t>
      </w:r>
      <w:r>
        <w:rPr>
          <w:rFonts w:hint="eastAsia"/>
          <w:lang w:eastAsia="zh-CN"/>
        </w:rPr>
        <w:t>）</w:t>
      </w:r>
      <w:r>
        <w:t>负责对产品进行质量管理方面的指导工作。</w:t>
      </w:r>
    </w:p>
    <w:p>
      <w:pPr>
        <w:ind w:firstLine="480"/>
      </w:pPr>
      <w:r>
        <w:rPr>
          <w:rFonts w:hint="eastAsia"/>
          <w:lang w:eastAsia="zh-CN"/>
        </w:rPr>
        <w:t>（</w:t>
      </w:r>
      <w:r>
        <w:rPr>
          <w:rFonts w:hint="eastAsia"/>
          <w:lang w:val="en-US" w:eastAsia="zh-CN"/>
        </w:rPr>
        <w:t>3</w:t>
      </w:r>
      <w:r>
        <w:rPr>
          <w:rFonts w:hint="eastAsia"/>
          <w:lang w:eastAsia="zh-CN"/>
        </w:rPr>
        <w:t>）</w:t>
      </w:r>
      <w:r>
        <w:t>严格执行原材料的质量检验标准、验收规范等方面的规定。</w:t>
      </w:r>
    </w:p>
    <w:p>
      <w:pPr>
        <w:ind w:firstLine="480"/>
      </w:pPr>
      <w:r>
        <w:rPr>
          <w:rFonts w:hint="eastAsia"/>
          <w:lang w:eastAsia="zh-CN"/>
        </w:rPr>
        <w:t>（</w:t>
      </w:r>
      <w:r>
        <w:rPr>
          <w:rFonts w:hint="eastAsia"/>
          <w:lang w:val="en-US" w:eastAsia="zh-CN"/>
        </w:rPr>
        <w:t>4</w:t>
      </w:r>
      <w:r>
        <w:rPr>
          <w:rFonts w:hint="eastAsia"/>
          <w:lang w:eastAsia="zh-CN"/>
        </w:rPr>
        <w:t>）</w:t>
      </w:r>
      <w:r>
        <w:t>品质管理工作的开展应当遵循“预防为主”、“谁主管谁负责”的基本原则，力求做到权力明晰、责任明确，确保质检工作落到实处。</w:t>
      </w:r>
    </w:p>
    <w:p>
      <w:pPr>
        <w:ind w:firstLine="480"/>
      </w:pPr>
      <w:r>
        <w:rPr>
          <w:rFonts w:hint="eastAsia"/>
          <w:lang w:eastAsia="zh-CN"/>
        </w:rPr>
        <w:t>（</w:t>
      </w:r>
      <w:r>
        <w:rPr>
          <w:rFonts w:hint="eastAsia"/>
          <w:lang w:val="en-US" w:eastAsia="zh-CN"/>
        </w:rPr>
        <w:t>5</w:t>
      </w:r>
      <w:r>
        <w:rPr>
          <w:rFonts w:hint="eastAsia"/>
          <w:lang w:eastAsia="zh-CN"/>
        </w:rPr>
        <w:t>）</w:t>
      </w:r>
      <w:r>
        <w:t>质量检验可以采取自检、巡检及专职检查相配合的方式，严格执行项目肥料的质量检验标准。</w:t>
      </w:r>
    </w:p>
    <w:p>
      <w:pPr>
        <w:ind w:firstLine="480"/>
      </w:pPr>
      <w:r>
        <w:rPr>
          <w:rFonts w:hint="eastAsia"/>
          <w:lang w:eastAsia="zh-CN"/>
        </w:rPr>
        <w:t>（</w:t>
      </w:r>
      <w:r>
        <w:rPr>
          <w:rFonts w:hint="eastAsia"/>
          <w:lang w:val="en-US" w:eastAsia="zh-CN"/>
        </w:rPr>
        <w:t>6</w:t>
      </w:r>
      <w:r>
        <w:rPr>
          <w:rFonts w:hint="eastAsia"/>
          <w:lang w:eastAsia="zh-CN"/>
        </w:rPr>
        <w:t>）</w:t>
      </w:r>
      <w:r>
        <w:t>负责组织进行定期或不定期的产品质量抽检工作。发现问题及时纠正或解决。</w:t>
      </w:r>
    </w:p>
    <w:p>
      <w:pPr>
        <w:ind w:firstLine="480"/>
      </w:pPr>
      <w:r>
        <w:rPr>
          <w:rFonts w:hint="eastAsia"/>
          <w:lang w:eastAsia="zh-CN"/>
        </w:rPr>
        <w:t>（</w:t>
      </w:r>
      <w:r>
        <w:rPr>
          <w:rFonts w:hint="eastAsia"/>
          <w:lang w:val="en-US" w:eastAsia="zh-CN"/>
        </w:rPr>
        <w:t>7</w:t>
      </w:r>
      <w:r>
        <w:rPr>
          <w:rFonts w:hint="eastAsia"/>
          <w:lang w:eastAsia="zh-CN"/>
        </w:rPr>
        <w:t>）</w:t>
      </w:r>
      <w:r>
        <w:t>做好与品质管理相关数据的搜集整理工作，及时做好关于产品质量动态的分析工作，针对问题提出准确合理地改进意见。</w:t>
      </w:r>
    </w:p>
    <w:p>
      <w:pPr>
        <w:ind w:firstLine="480"/>
      </w:pPr>
      <w:r>
        <w:rPr>
          <w:rFonts w:hint="eastAsia"/>
          <w:lang w:eastAsia="zh-CN"/>
        </w:rPr>
        <w:t>（</w:t>
      </w:r>
      <w:r>
        <w:rPr>
          <w:rFonts w:hint="eastAsia"/>
          <w:lang w:val="en-US" w:eastAsia="zh-CN"/>
        </w:rPr>
        <w:t>8</w:t>
      </w:r>
      <w:r>
        <w:rPr>
          <w:rFonts w:hint="eastAsia"/>
          <w:lang w:eastAsia="zh-CN"/>
        </w:rPr>
        <w:t>）</w:t>
      </w:r>
      <w:r>
        <w:t>负责产品质量事故的调查、处理及整改验收工作。</w:t>
      </w:r>
    </w:p>
    <w:p>
      <w:pPr>
        <w:ind w:firstLine="480"/>
      </w:pPr>
      <w:r>
        <w:rPr>
          <w:rFonts w:hint="eastAsia"/>
          <w:lang w:eastAsia="zh-CN"/>
        </w:rPr>
        <w:t>（</w:t>
      </w:r>
      <w:r>
        <w:rPr>
          <w:rFonts w:hint="eastAsia"/>
          <w:lang w:val="en-US" w:eastAsia="zh-CN"/>
        </w:rPr>
        <w:t>9</w:t>
      </w:r>
      <w:r>
        <w:rPr>
          <w:rFonts w:hint="eastAsia"/>
          <w:lang w:eastAsia="zh-CN"/>
        </w:rPr>
        <w:t>）</w:t>
      </w:r>
      <w:r>
        <w:t>负责编制项目产品的质量升级规划及品质管理工作人员的培训工作。</w:t>
      </w:r>
    </w:p>
    <w:p>
      <w:pPr>
        <w:ind w:firstLine="480"/>
      </w:pPr>
      <w:r>
        <w:rPr>
          <w:rFonts w:hint="eastAsia"/>
          <w:lang w:eastAsia="zh-CN"/>
        </w:rPr>
        <w:t>（</w:t>
      </w:r>
      <w:r>
        <w:rPr>
          <w:rFonts w:hint="eastAsia"/>
          <w:lang w:val="en-US" w:eastAsia="zh-CN"/>
        </w:rPr>
        <w:t>10</w:t>
      </w:r>
      <w:r>
        <w:rPr>
          <w:rFonts w:hint="eastAsia"/>
          <w:lang w:eastAsia="zh-CN"/>
        </w:rPr>
        <w:t>）</w:t>
      </w:r>
      <w:r>
        <w:t>完成领导布置的其他各项工作。</w:t>
      </w:r>
    </w:p>
    <w:p>
      <w:pPr>
        <w:ind w:firstLine="480"/>
      </w:pPr>
      <w:r>
        <w:rPr>
          <w:rFonts w:hint="eastAsia"/>
          <w:lang w:val="en-US" w:eastAsia="zh-CN"/>
        </w:rPr>
        <w:t>6、</w:t>
      </w:r>
      <w:r>
        <w:rPr>
          <w:rFonts w:hint="eastAsia"/>
        </w:rPr>
        <w:t>运输部职责</w:t>
      </w:r>
    </w:p>
    <w:p>
      <w:pPr>
        <w:ind w:firstLine="480"/>
      </w:pPr>
      <w:r>
        <w:rPr>
          <w:rFonts w:hint="eastAsia"/>
          <w:lang w:eastAsia="zh-CN"/>
        </w:rPr>
        <w:t>（</w:t>
      </w:r>
      <w:r>
        <w:rPr>
          <w:rFonts w:hint="eastAsia"/>
          <w:lang w:val="en-US" w:eastAsia="zh-CN"/>
        </w:rPr>
        <w:t>1</w:t>
      </w:r>
      <w:r>
        <w:rPr>
          <w:rFonts w:hint="eastAsia"/>
          <w:lang w:eastAsia="zh-CN"/>
        </w:rPr>
        <w:t>）</w:t>
      </w:r>
      <w:r>
        <w:t>负责按照签订的订购合同及分货计划，跟进每一单的供货进度，及时协调并最快地解决供货过程中存在的各种问题，确保在合同期限内按时供货。</w:t>
      </w:r>
    </w:p>
    <w:p>
      <w:pPr>
        <w:ind w:firstLine="480"/>
      </w:pPr>
      <w:r>
        <w:rPr>
          <w:rFonts w:hint="eastAsia"/>
          <w:lang w:eastAsia="zh-CN"/>
        </w:rPr>
        <w:t>（</w:t>
      </w:r>
      <w:r>
        <w:rPr>
          <w:rFonts w:hint="eastAsia"/>
          <w:lang w:val="en-US" w:eastAsia="zh-CN"/>
        </w:rPr>
        <w:t>2</w:t>
      </w:r>
      <w:r>
        <w:rPr>
          <w:rFonts w:hint="eastAsia"/>
          <w:lang w:eastAsia="zh-CN"/>
        </w:rPr>
        <w:t>）</w:t>
      </w:r>
      <w:r>
        <w:t>负责按照分货计划准确无误地在物流系统内填制“调拨通知单”。</w:t>
      </w:r>
    </w:p>
    <w:p>
      <w:pPr>
        <w:ind w:firstLine="480"/>
      </w:pPr>
      <w:r>
        <w:rPr>
          <w:rFonts w:hint="eastAsia"/>
          <w:lang w:eastAsia="zh-CN"/>
        </w:rPr>
        <w:t>（</w:t>
      </w:r>
      <w:r>
        <w:rPr>
          <w:rFonts w:hint="eastAsia"/>
          <w:lang w:val="en-US" w:eastAsia="zh-CN"/>
        </w:rPr>
        <w:t>3</w:t>
      </w:r>
      <w:r>
        <w:rPr>
          <w:rFonts w:hint="eastAsia"/>
          <w:lang w:eastAsia="zh-CN"/>
        </w:rPr>
        <w:t>）</w:t>
      </w:r>
      <w:r>
        <w:t>负责提前通知仓库做好接货入仓的各项准备工作。</w:t>
      </w:r>
    </w:p>
    <w:p>
      <w:pPr>
        <w:ind w:firstLine="480"/>
      </w:pPr>
      <w:r>
        <w:rPr>
          <w:rFonts w:hint="eastAsia"/>
          <w:lang w:eastAsia="zh-CN"/>
        </w:rPr>
        <w:t>（</w:t>
      </w:r>
      <w:r>
        <w:rPr>
          <w:rFonts w:hint="eastAsia"/>
          <w:lang w:val="en-US" w:eastAsia="zh-CN"/>
        </w:rPr>
        <w:t>4</w:t>
      </w:r>
      <w:r>
        <w:rPr>
          <w:rFonts w:hint="eastAsia"/>
          <w:lang w:eastAsia="zh-CN"/>
        </w:rPr>
        <w:t>）</w:t>
      </w:r>
      <w:r>
        <w:t>负责跟进所有的物流运单，包括项目调拨的运单等，并第一时间发送设备货运通告，通知收货方。</w:t>
      </w:r>
    </w:p>
    <w:p>
      <w:pPr>
        <w:ind w:firstLine="480"/>
      </w:pPr>
      <w:r>
        <w:rPr>
          <w:rFonts w:hint="eastAsia"/>
          <w:lang w:eastAsia="zh-CN"/>
        </w:rPr>
        <w:t>（</w:t>
      </w:r>
      <w:r>
        <w:rPr>
          <w:rFonts w:hint="eastAsia"/>
          <w:lang w:val="en-US" w:eastAsia="zh-CN"/>
        </w:rPr>
        <w:t>5</w:t>
      </w:r>
      <w:r>
        <w:rPr>
          <w:rFonts w:hint="eastAsia"/>
          <w:lang w:eastAsia="zh-CN"/>
        </w:rPr>
        <w:t>）</w:t>
      </w:r>
      <w:r>
        <w:t>负责在物流系统中完成直运到货信息的登录工作。</w:t>
      </w:r>
    </w:p>
    <w:p>
      <w:pPr>
        <w:ind w:firstLine="480"/>
      </w:pPr>
      <w:r>
        <w:rPr>
          <w:rFonts w:hint="eastAsia"/>
          <w:lang w:eastAsia="zh-CN"/>
        </w:rPr>
        <w:t>（</w:t>
      </w:r>
      <w:r>
        <w:rPr>
          <w:rFonts w:hint="eastAsia"/>
          <w:lang w:val="en-US" w:eastAsia="zh-CN"/>
        </w:rPr>
        <w:t>6</w:t>
      </w:r>
      <w:r>
        <w:rPr>
          <w:rFonts w:hint="eastAsia"/>
          <w:lang w:eastAsia="zh-CN"/>
        </w:rPr>
        <w:t>）</w:t>
      </w:r>
      <w:r>
        <w:t>负责跟进货运过程中的每一个交接环节，必须确保货畅其流。</w:t>
      </w:r>
    </w:p>
    <w:p>
      <w:pPr>
        <w:ind w:firstLine="480"/>
      </w:pPr>
      <w:r>
        <w:rPr>
          <w:rFonts w:hint="eastAsia"/>
          <w:lang w:eastAsia="zh-CN"/>
        </w:rPr>
        <w:t>（</w:t>
      </w:r>
      <w:r>
        <w:rPr>
          <w:rFonts w:hint="eastAsia"/>
          <w:lang w:val="en-US" w:eastAsia="zh-CN"/>
        </w:rPr>
        <w:t>7</w:t>
      </w:r>
      <w:r>
        <w:rPr>
          <w:rFonts w:hint="eastAsia"/>
          <w:lang w:eastAsia="zh-CN"/>
        </w:rPr>
        <w:t>）</w:t>
      </w:r>
      <w:r>
        <w:t>负责根据调度指令，调动各分公司的物流系统各项工作职能全面投入，确保设备按时供货、准点到位。</w:t>
      </w:r>
    </w:p>
    <w:p>
      <w:pPr>
        <w:ind w:firstLine="480"/>
      </w:pPr>
      <w:r>
        <w:rPr>
          <w:rFonts w:hint="eastAsia"/>
          <w:lang w:eastAsia="zh-CN"/>
        </w:rPr>
        <w:t>（</w:t>
      </w:r>
      <w:r>
        <w:rPr>
          <w:rFonts w:hint="eastAsia"/>
          <w:lang w:val="en-US" w:eastAsia="zh-CN"/>
        </w:rPr>
        <w:t>8</w:t>
      </w:r>
      <w:r>
        <w:rPr>
          <w:rFonts w:hint="eastAsia"/>
          <w:lang w:eastAsia="zh-CN"/>
        </w:rPr>
        <w:t>）</w:t>
      </w:r>
      <w:r>
        <w:t>负责确认发运货物是否安全、快捷、准点到达收货方目的地。</w:t>
      </w:r>
    </w:p>
    <w:p>
      <w:pPr>
        <w:ind w:firstLine="480"/>
      </w:pPr>
      <w:r>
        <w:rPr>
          <w:rFonts w:hint="eastAsia"/>
          <w:lang w:eastAsia="zh-CN"/>
        </w:rPr>
        <w:t>（</w:t>
      </w:r>
      <w:r>
        <w:rPr>
          <w:rFonts w:hint="eastAsia"/>
          <w:lang w:val="en-US" w:eastAsia="zh-CN"/>
        </w:rPr>
        <w:t>9</w:t>
      </w:r>
      <w:r>
        <w:rPr>
          <w:rFonts w:hint="eastAsia"/>
          <w:lang w:eastAsia="zh-CN"/>
        </w:rPr>
        <w:t>）</w:t>
      </w:r>
      <w:r>
        <w:t>负责处理货运中出现的各种不良情况，记录在案并及时上报运输主管处理。</w:t>
      </w:r>
    </w:p>
    <w:p>
      <w:pPr>
        <w:ind w:firstLine="480"/>
      </w:pPr>
      <w:r>
        <w:rPr>
          <w:rFonts w:hint="eastAsia"/>
          <w:lang w:eastAsia="zh-CN"/>
        </w:rPr>
        <w:t>（</w:t>
      </w:r>
      <w:r>
        <w:rPr>
          <w:rFonts w:hint="eastAsia"/>
          <w:lang w:val="en-US" w:eastAsia="zh-CN"/>
        </w:rPr>
        <w:t>10</w:t>
      </w:r>
      <w:r>
        <w:rPr>
          <w:rFonts w:hint="eastAsia"/>
          <w:lang w:eastAsia="zh-CN"/>
        </w:rPr>
        <w:t>）</w:t>
      </w:r>
      <w:r>
        <w:t>负责货运出险后的索赔资料的收集整理工作。</w:t>
      </w:r>
    </w:p>
    <w:p>
      <w:pPr>
        <w:ind w:firstLine="480"/>
      </w:pPr>
      <w:r>
        <w:rPr>
          <w:rFonts w:hint="eastAsia"/>
          <w:lang w:eastAsia="zh-CN"/>
        </w:rPr>
        <w:t>（</w:t>
      </w:r>
      <w:r>
        <w:rPr>
          <w:rFonts w:hint="eastAsia"/>
          <w:lang w:val="en-US" w:eastAsia="zh-CN"/>
        </w:rPr>
        <w:t>11</w:t>
      </w:r>
      <w:r>
        <w:rPr>
          <w:rFonts w:hint="eastAsia"/>
          <w:lang w:eastAsia="zh-CN"/>
        </w:rPr>
        <w:t>）</w:t>
      </w:r>
      <w:r>
        <w:t>负责跟进、协调、应急处理设备发运过程中出现的各种随机性突发问题。</w:t>
      </w:r>
    </w:p>
    <w:p>
      <w:pPr>
        <w:ind w:firstLine="480"/>
      </w:pPr>
      <w:r>
        <w:rPr>
          <w:rFonts w:hint="eastAsia"/>
          <w:lang w:eastAsia="zh-CN"/>
        </w:rPr>
        <w:t>（</w:t>
      </w:r>
      <w:r>
        <w:rPr>
          <w:rFonts w:hint="eastAsia"/>
          <w:lang w:val="en-US" w:eastAsia="zh-CN"/>
        </w:rPr>
        <w:t>12</w:t>
      </w:r>
      <w:r>
        <w:rPr>
          <w:rFonts w:hint="eastAsia"/>
          <w:lang w:eastAsia="zh-CN"/>
        </w:rPr>
        <w:t>）</w:t>
      </w:r>
      <w:r>
        <w:t>负责与各物流公司核对运输费用。</w:t>
      </w:r>
    </w:p>
    <w:p>
      <w:pPr>
        <w:ind w:firstLine="480"/>
      </w:pPr>
      <w:r>
        <w:rPr>
          <w:rFonts w:hint="eastAsia"/>
          <w:lang w:eastAsia="zh-CN"/>
        </w:rPr>
        <w:t>（</w:t>
      </w:r>
      <w:r>
        <w:rPr>
          <w:rFonts w:hint="eastAsia"/>
          <w:lang w:val="en-US" w:eastAsia="zh-CN"/>
        </w:rPr>
        <w:t>13</w:t>
      </w:r>
      <w:r>
        <w:rPr>
          <w:rFonts w:hint="eastAsia"/>
          <w:lang w:eastAsia="zh-CN"/>
        </w:rPr>
        <w:t>）</w:t>
      </w:r>
      <w:r>
        <w:t>负责物流相关资料、档案的管理工作。</w:t>
      </w:r>
    </w:p>
    <w:p>
      <w:pPr>
        <w:ind w:firstLine="480"/>
      </w:pPr>
      <w:r>
        <w:rPr>
          <w:rFonts w:hint="eastAsia"/>
          <w:lang w:eastAsia="zh-CN"/>
        </w:rPr>
        <w:t>（</w:t>
      </w:r>
      <w:r>
        <w:rPr>
          <w:rFonts w:hint="eastAsia"/>
          <w:lang w:val="en-US" w:eastAsia="zh-CN"/>
        </w:rPr>
        <w:t>14</w:t>
      </w:r>
      <w:r>
        <w:rPr>
          <w:rFonts w:hint="eastAsia"/>
          <w:lang w:eastAsia="zh-CN"/>
        </w:rPr>
        <w:t>）</w:t>
      </w:r>
      <w:r>
        <w:t>完成其他部门负责人交办的其他临时性工作。</w:t>
      </w:r>
    </w:p>
    <w:p>
      <w:pPr>
        <w:ind w:firstLine="480"/>
      </w:pPr>
      <w:r>
        <w:rPr>
          <w:rFonts w:hint="eastAsia"/>
          <w:lang w:val="en-US" w:eastAsia="zh-CN"/>
        </w:rPr>
        <w:t>7、</w:t>
      </w:r>
      <w:r>
        <w:rPr>
          <w:rFonts w:hint="eastAsia"/>
        </w:rPr>
        <w:t>技术部职责</w:t>
      </w:r>
    </w:p>
    <w:p>
      <w:pPr>
        <w:ind w:firstLine="480"/>
      </w:pPr>
      <w:r>
        <w:rPr>
          <w:rFonts w:hint="eastAsia"/>
          <w:lang w:eastAsia="zh-CN"/>
        </w:rPr>
        <w:t>（</w:t>
      </w:r>
      <w:r>
        <w:rPr>
          <w:rFonts w:hint="eastAsia"/>
          <w:lang w:val="en-US" w:eastAsia="zh-CN"/>
        </w:rPr>
        <w:t>1</w:t>
      </w:r>
      <w:r>
        <w:rPr>
          <w:rFonts w:hint="eastAsia"/>
          <w:lang w:eastAsia="zh-CN"/>
        </w:rPr>
        <w:t>）</w:t>
      </w:r>
      <w:r>
        <w:t>严格遵守项目制定的各项规章制度，认真行使本部门的各项权力。</w:t>
      </w:r>
    </w:p>
    <w:p>
      <w:pPr>
        <w:ind w:firstLine="480"/>
      </w:pPr>
      <w:r>
        <w:rPr>
          <w:rFonts w:hint="eastAsia"/>
          <w:lang w:eastAsia="zh-CN"/>
        </w:rPr>
        <w:t>（</w:t>
      </w:r>
      <w:r>
        <w:rPr>
          <w:rFonts w:hint="eastAsia"/>
          <w:lang w:val="en-US" w:eastAsia="zh-CN"/>
        </w:rPr>
        <w:t>2</w:t>
      </w:r>
      <w:r>
        <w:rPr>
          <w:rFonts w:hint="eastAsia"/>
          <w:lang w:eastAsia="zh-CN"/>
        </w:rPr>
        <w:t>）</w:t>
      </w:r>
      <w:r>
        <w:t>负责制定项目的技术管理制度。</w:t>
      </w:r>
    </w:p>
    <w:p>
      <w:pPr>
        <w:ind w:firstLine="480"/>
      </w:pPr>
      <w:r>
        <w:rPr>
          <w:rFonts w:hint="eastAsia"/>
          <w:lang w:eastAsia="zh-CN"/>
        </w:rPr>
        <w:t>（</w:t>
      </w:r>
      <w:r>
        <w:rPr>
          <w:rFonts w:hint="eastAsia"/>
          <w:lang w:val="en-US" w:eastAsia="zh-CN"/>
        </w:rPr>
        <w:t>3</w:t>
      </w:r>
      <w:r>
        <w:rPr>
          <w:rFonts w:hint="eastAsia"/>
          <w:lang w:eastAsia="zh-CN"/>
        </w:rPr>
        <w:t>）</w:t>
      </w:r>
      <w:r>
        <w:t>负责建立和完善产品设计、新产品的研制、标准化技术规程等管理制度。</w:t>
      </w:r>
    </w:p>
    <w:p>
      <w:pPr>
        <w:ind w:firstLine="480"/>
      </w:pPr>
      <w:r>
        <w:rPr>
          <w:rFonts w:hint="eastAsia"/>
          <w:lang w:eastAsia="zh-CN"/>
        </w:rPr>
        <w:t>（</w:t>
      </w:r>
      <w:r>
        <w:rPr>
          <w:rFonts w:hint="eastAsia"/>
          <w:lang w:val="en-US" w:eastAsia="zh-CN"/>
        </w:rPr>
        <w:t>4</w:t>
      </w:r>
      <w:r>
        <w:rPr>
          <w:rFonts w:hint="eastAsia"/>
          <w:lang w:eastAsia="zh-CN"/>
        </w:rPr>
        <w:t>）</w:t>
      </w:r>
      <w:r>
        <w:t>负责制定、修改、完善技术规程。</w:t>
      </w:r>
    </w:p>
    <w:p>
      <w:pPr>
        <w:ind w:firstLine="480"/>
      </w:pPr>
      <w:r>
        <w:rPr>
          <w:rFonts w:hint="eastAsia"/>
          <w:lang w:eastAsia="zh-CN"/>
        </w:rPr>
        <w:t>（</w:t>
      </w:r>
      <w:r>
        <w:rPr>
          <w:rFonts w:hint="eastAsia"/>
          <w:lang w:val="en-US" w:eastAsia="zh-CN"/>
        </w:rPr>
        <w:t>5</w:t>
      </w:r>
      <w:r>
        <w:rPr>
          <w:rFonts w:hint="eastAsia"/>
          <w:lang w:eastAsia="zh-CN"/>
        </w:rPr>
        <w:t>）</w:t>
      </w:r>
      <w:r>
        <w:t>负责各类技术信息和资料的收集、研制、整理、分析研究、汇总和归档管理工作。</w:t>
      </w:r>
    </w:p>
    <w:p>
      <w:pPr>
        <w:ind w:firstLine="480"/>
      </w:pPr>
      <w:r>
        <w:rPr>
          <w:rFonts w:hint="eastAsia"/>
          <w:lang w:eastAsia="zh-CN"/>
        </w:rPr>
        <w:t>（</w:t>
      </w:r>
      <w:r>
        <w:rPr>
          <w:rFonts w:hint="eastAsia"/>
          <w:lang w:val="en-US" w:eastAsia="zh-CN"/>
        </w:rPr>
        <w:t>6</w:t>
      </w:r>
      <w:r>
        <w:rPr>
          <w:rFonts w:hint="eastAsia"/>
          <w:lang w:eastAsia="zh-CN"/>
        </w:rPr>
        <w:t>）</w:t>
      </w:r>
      <w:r>
        <w:t>负责及时指导、处理和解决工作中出现的技术问题，确保工作的正常运行。</w:t>
      </w:r>
    </w:p>
    <w:p>
      <w:pPr>
        <w:ind w:firstLine="480"/>
      </w:pPr>
      <w:r>
        <w:rPr>
          <w:rFonts w:hint="eastAsia"/>
          <w:lang w:eastAsia="zh-CN"/>
        </w:rPr>
        <w:t>（</w:t>
      </w:r>
      <w:r>
        <w:rPr>
          <w:rFonts w:hint="eastAsia"/>
          <w:lang w:val="en-US" w:eastAsia="zh-CN"/>
        </w:rPr>
        <w:t>7</w:t>
      </w:r>
      <w:r>
        <w:rPr>
          <w:rFonts w:hint="eastAsia"/>
          <w:lang w:eastAsia="zh-CN"/>
        </w:rPr>
        <w:t>）</w:t>
      </w:r>
      <w:r>
        <w:t>负责为项目相关部门和客户提供技术服务、技术指导维修维护，技术培训和技术咨询服务。</w:t>
      </w:r>
    </w:p>
    <w:p>
      <w:pPr>
        <w:ind w:firstLine="480"/>
      </w:pPr>
      <w:r>
        <w:rPr>
          <w:rFonts w:hint="eastAsia"/>
          <w:lang w:eastAsia="zh-CN"/>
        </w:rPr>
        <w:t>（</w:t>
      </w:r>
      <w:r>
        <w:rPr>
          <w:rFonts w:hint="eastAsia"/>
          <w:lang w:val="en-US" w:eastAsia="zh-CN"/>
        </w:rPr>
        <w:t>8</w:t>
      </w:r>
      <w:r>
        <w:rPr>
          <w:rFonts w:hint="eastAsia"/>
          <w:lang w:eastAsia="zh-CN"/>
        </w:rPr>
        <w:t>）</w:t>
      </w:r>
      <w:r>
        <w:t>负责为产品售后服务中出现的重大技术问题及时提供技术支持和服务。</w:t>
      </w:r>
    </w:p>
    <w:p>
      <w:pPr>
        <w:ind w:firstLine="480"/>
      </w:pPr>
      <w:r>
        <w:rPr>
          <w:rFonts w:hint="eastAsia"/>
          <w:lang w:eastAsia="zh-CN"/>
        </w:rPr>
        <w:t>（</w:t>
      </w:r>
      <w:r>
        <w:rPr>
          <w:rFonts w:hint="eastAsia"/>
          <w:lang w:val="en-US" w:eastAsia="zh-CN"/>
        </w:rPr>
        <w:t>9</w:t>
      </w:r>
      <w:r>
        <w:rPr>
          <w:rFonts w:hint="eastAsia"/>
          <w:lang w:eastAsia="zh-CN"/>
        </w:rPr>
        <w:t>）</w:t>
      </w:r>
      <w:r>
        <w:t>负责协助综合管理部对本项目相关人员进行专业技能培训。</w:t>
      </w:r>
    </w:p>
    <w:p>
      <w:pPr>
        <w:ind w:firstLine="480"/>
      </w:pPr>
      <w:r>
        <w:rPr>
          <w:rFonts w:hint="eastAsia"/>
          <w:lang w:eastAsia="zh-CN"/>
        </w:rPr>
        <w:t>（</w:t>
      </w:r>
      <w:r>
        <w:rPr>
          <w:rFonts w:hint="eastAsia"/>
          <w:lang w:val="en-US" w:eastAsia="zh-CN"/>
        </w:rPr>
        <w:t>10</w:t>
      </w:r>
      <w:r>
        <w:rPr>
          <w:rFonts w:hint="eastAsia"/>
          <w:lang w:eastAsia="zh-CN"/>
        </w:rPr>
        <w:t>）</w:t>
      </w:r>
      <w:r>
        <w:t>认真完成项目领导交办的其他工作任务。</w:t>
      </w:r>
    </w:p>
    <w:p>
      <w:pPr>
        <w:ind w:firstLine="480"/>
      </w:pPr>
      <w:r>
        <w:rPr>
          <w:rFonts w:hint="eastAsia"/>
          <w:lang w:val="en-US" w:eastAsia="zh-CN"/>
        </w:rPr>
        <w:t>8、</w:t>
      </w:r>
      <w:r>
        <w:rPr>
          <w:rFonts w:hint="eastAsia"/>
        </w:rPr>
        <w:t>综合管理部职责</w:t>
      </w:r>
    </w:p>
    <w:p>
      <w:pPr>
        <w:ind w:firstLine="480"/>
      </w:pPr>
      <w:r>
        <w:rPr>
          <w:rFonts w:hint="eastAsia"/>
          <w:lang w:eastAsia="zh-CN"/>
        </w:rPr>
        <w:t>（</w:t>
      </w:r>
      <w:r>
        <w:rPr>
          <w:rFonts w:hint="eastAsia"/>
          <w:lang w:val="en-US" w:eastAsia="zh-CN"/>
        </w:rPr>
        <w:t>1</w:t>
      </w:r>
      <w:r>
        <w:rPr>
          <w:rFonts w:hint="eastAsia"/>
          <w:lang w:eastAsia="zh-CN"/>
        </w:rPr>
        <w:t>）</w:t>
      </w:r>
      <w:r>
        <w:t>负责项目制度建设与管理：</w:t>
      </w:r>
    </w:p>
    <w:p>
      <w:pPr>
        <w:ind w:firstLine="480"/>
      </w:pPr>
      <w:r>
        <w:t>1）编制项目管理的各项规章制度及员工的日常行为规范并监督实施。</w:t>
      </w:r>
    </w:p>
    <w:p>
      <w:pPr>
        <w:ind w:firstLine="480"/>
      </w:pPr>
      <w:r>
        <w:t>2）根据项目进行状况，及时对人力资源各项规章制度进行修改和完善。</w:t>
      </w:r>
    </w:p>
    <w:p>
      <w:pPr>
        <w:ind w:firstLine="480"/>
      </w:pPr>
      <w:r>
        <w:rPr>
          <w:rFonts w:hint="eastAsia"/>
          <w:lang w:val="en-US" w:eastAsia="zh-CN"/>
        </w:rPr>
        <w:t>（2）</w:t>
      </w:r>
      <w:r>
        <w:t>负责项目招聘管理：</w:t>
      </w:r>
    </w:p>
    <w:p>
      <w:pPr>
        <w:ind w:firstLine="480"/>
      </w:pPr>
      <w:r>
        <w:t>1）根据项目具体需要及各部门对员工的需求状况，编制员工需求计划。</w:t>
      </w:r>
    </w:p>
    <w:p>
      <w:pPr>
        <w:ind w:firstLine="480"/>
      </w:pPr>
      <w:r>
        <w:t>2）选择适当的招聘途径进行人员招聘。</w:t>
      </w:r>
    </w:p>
    <w:p>
      <w:pPr>
        <w:ind w:firstLine="480"/>
      </w:pPr>
      <w:r>
        <w:t>3）人员面试组织工作。</w:t>
      </w:r>
    </w:p>
    <w:p>
      <w:pPr>
        <w:ind w:firstLine="480"/>
      </w:pPr>
      <w:r>
        <w:t>4）做好被录用员工的入职手续办理工作。</w:t>
      </w:r>
    </w:p>
    <w:p>
      <w:pPr>
        <w:ind w:firstLine="480"/>
      </w:pPr>
      <w:r>
        <w:rPr>
          <w:rFonts w:hint="eastAsia"/>
          <w:lang w:eastAsia="zh-CN"/>
        </w:rPr>
        <w:t>（</w:t>
      </w:r>
      <w:r>
        <w:rPr>
          <w:rFonts w:hint="eastAsia"/>
          <w:lang w:val="en-US" w:eastAsia="zh-CN"/>
        </w:rPr>
        <w:t>3</w:t>
      </w:r>
      <w:r>
        <w:rPr>
          <w:rFonts w:hint="eastAsia"/>
          <w:lang w:eastAsia="zh-CN"/>
        </w:rPr>
        <w:t>）</w:t>
      </w:r>
      <w:r>
        <w:t>负责项目培训管理：</w:t>
      </w:r>
    </w:p>
    <w:p>
      <w:pPr>
        <w:ind w:firstLine="480"/>
      </w:pPr>
      <w:r>
        <w:t>1）编制项目培训计划，报领导审批后执行。</w:t>
      </w:r>
    </w:p>
    <w:p>
      <w:pPr>
        <w:ind w:firstLine="480"/>
      </w:pPr>
      <w:r>
        <w:t>2）组织培训、培训效果评估、培训档案建立及管理。</w:t>
      </w:r>
    </w:p>
    <w:p>
      <w:pPr>
        <w:ind w:firstLine="480"/>
      </w:pPr>
      <w:r>
        <w:rPr>
          <w:rFonts w:hint="eastAsia"/>
          <w:lang w:eastAsia="zh-CN"/>
        </w:rPr>
        <w:t>（</w:t>
      </w:r>
      <w:r>
        <w:rPr>
          <w:rFonts w:hint="eastAsia"/>
          <w:lang w:val="en-US" w:eastAsia="zh-CN"/>
        </w:rPr>
        <w:t>4</w:t>
      </w:r>
      <w:r>
        <w:rPr>
          <w:rFonts w:hint="eastAsia"/>
          <w:lang w:eastAsia="zh-CN"/>
        </w:rPr>
        <w:t>）</w:t>
      </w:r>
      <w:r>
        <w:t>负责项目绩效考核：</w:t>
      </w:r>
    </w:p>
    <w:p>
      <w:pPr>
        <w:ind w:firstLine="480"/>
      </w:pPr>
      <w:r>
        <w:t>1）建立健全绩效考核标准，编制考核办法及实施方案。</w:t>
      </w:r>
    </w:p>
    <w:p>
      <w:pPr>
        <w:ind w:firstLine="480"/>
      </w:pPr>
      <w:r>
        <w:t>2）负责员工的日常考勤管理，进行统计、整理与分析工作。</w:t>
      </w:r>
    </w:p>
    <w:p>
      <w:pPr>
        <w:ind w:firstLine="480"/>
      </w:pPr>
      <w:r>
        <w:t>3）负责员工的考核、评优、评先的组织工作。</w:t>
      </w:r>
    </w:p>
    <w:p>
      <w:pPr>
        <w:ind w:firstLine="480"/>
      </w:pPr>
      <w:r>
        <w:t>4）接收、处理有关员工绩效考核的投诉。</w:t>
      </w:r>
    </w:p>
    <w:p>
      <w:pPr>
        <w:ind w:firstLine="480"/>
      </w:pPr>
      <w:r>
        <w:t>5）做好相应的职位说明书，并根据项目职位调整需要进行相应的变更，保证职位说明书与实际相符。</w:t>
      </w:r>
    </w:p>
    <w:p>
      <w:pPr>
        <w:ind w:firstLine="480"/>
      </w:pPr>
      <w:r>
        <w:rPr>
          <w:rFonts w:hint="eastAsia"/>
          <w:lang w:eastAsia="zh-CN"/>
        </w:rPr>
        <w:t>（</w:t>
      </w:r>
      <w:r>
        <w:rPr>
          <w:rFonts w:hint="eastAsia"/>
          <w:lang w:val="en-US" w:eastAsia="zh-CN"/>
        </w:rPr>
        <w:t>5</w:t>
      </w:r>
      <w:r>
        <w:rPr>
          <w:rFonts w:hint="eastAsia"/>
          <w:lang w:eastAsia="zh-CN"/>
        </w:rPr>
        <w:t>）</w:t>
      </w:r>
      <w:r>
        <w:t>负责薪酬与福利制度：</w:t>
      </w:r>
    </w:p>
    <w:p>
      <w:pPr>
        <w:ind w:firstLine="480"/>
      </w:pPr>
      <w:r>
        <w:t>1）组织制定适合本项目的薪酬管理制度。</w:t>
      </w:r>
    </w:p>
    <w:p>
      <w:pPr>
        <w:ind w:firstLine="480"/>
      </w:pPr>
      <w:r>
        <w:t>2）按规定做好日常工资计划、核算、发放及统计分析工作。</w:t>
      </w:r>
    </w:p>
    <w:p>
      <w:pPr>
        <w:ind w:firstLine="480"/>
      </w:pPr>
      <w:r>
        <w:t>3）根据相关规定，负责办理员工的各项保险及福利事宜。</w:t>
      </w:r>
    </w:p>
    <w:p>
      <w:pPr>
        <w:ind w:firstLine="480"/>
      </w:pPr>
      <w:r>
        <w:rPr>
          <w:rFonts w:hint="eastAsia"/>
          <w:lang w:eastAsia="zh-CN"/>
        </w:rPr>
        <w:t>（</w:t>
      </w:r>
      <w:r>
        <w:rPr>
          <w:rFonts w:hint="eastAsia"/>
          <w:lang w:val="en-US" w:eastAsia="zh-CN"/>
        </w:rPr>
        <w:t>6</w:t>
      </w:r>
      <w:r>
        <w:rPr>
          <w:rFonts w:hint="eastAsia"/>
          <w:lang w:eastAsia="zh-CN"/>
        </w:rPr>
        <w:t>）</w:t>
      </w:r>
      <w:r>
        <w:t>负责其他项目工作：</w:t>
      </w:r>
    </w:p>
    <w:p>
      <w:pPr>
        <w:ind w:firstLine="480"/>
      </w:pPr>
      <w:r>
        <w:t>1）负责项目生产基础设施的建设与管理工作。</w:t>
      </w:r>
    </w:p>
    <w:p>
      <w:pPr>
        <w:ind w:firstLine="480"/>
      </w:pPr>
      <w:r>
        <w:t>2）负责项目生产车间的消防安全等管理工作。</w:t>
      </w:r>
    </w:p>
    <w:p>
      <w:pPr>
        <w:ind w:firstLine="480"/>
      </w:pPr>
      <w:r>
        <w:t>3）领导布置的其他各项工作。</w:t>
      </w:r>
    </w:p>
    <w:p>
      <w:pPr>
        <w:ind w:firstLine="480"/>
      </w:pPr>
      <w:r>
        <w:rPr>
          <w:rFonts w:hint="eastAsia"/>
          <w:lang w:val="en-US" w:eastAsia="zh-CN"/>
        </w:rPr>
        <w:t>9、</w:t>
      </w:r>
      <w:r>
        <w:rPr>
          <w:rFonts w:hint="eastAsia"/>
        </w:rPr>
        <w:t>售后服务部职责</w:t>
      </w:r>
    </w:p>
    <w:p>
      <w:pPr>
        <w:ind w:firstLine="480"/>
      </w:pPr>
      <w:r>
        <w:rPr>
          <w:rFonts w:hint="eastAsia"/>
          <w:lang w:eastAsia="zh-CN"/>
        </w:rPr>
        <w:t>（</w:t>
      </w:r>
      <w:r>
        <w:rPr>
          <w:rFonts w:hint="eastAsia"/>
          <w:lang w:val="en-US" w:eastAsia="zh-CN"/>
        </w:rPr>
        <w:t>1</w:t>
      </w:r>
      <w:r>
        <w:rPr>
          <w:rFonts w:hint="eastAsia"/>
          <w:lang w:eastAsia="zh-CN"/>
        </w:rPr>
        <w:t>）</w:t>
      </w:r>
      <w:r>
        <w:t>组织编制项目售后服务工作计划及费用预算。</w:t>
      </w:r>
    </w:p>
    <w:p>
      <w:pPr>
        <w:ind w:firstLine="480"/>
      </w:pPr>
      <w:r>
        <w:rPr>
          <w:rFonts w:hint="eastAsia"/>
          <w:lang w:eastAsia="zh-CN"/>
        </w:rPr>
        <w:t>（</w:t>
      </w:r>
      <w:r>
        <w:rPr>
          <w:rFonts w:hint="eastAsia"/>
          <w:lang w:val="en-US" w:eastAsia="zh-CN"/>
        </w:rPr>
        <w:t>2</w:t>
      </w:r>
      <w:r>
        <w:rPr>
          <w:rFonts w:hint="eastAsia"/>
          <w:lang w:eastAsia="zh-CN"/>
        </w:rPr>
        <w:t>）</w:t>
      </w:r>
      <w:r>
        <w:t>负责对售后服务策略进行调整与完善并组织实施。</w:t>
      </w:r>
    </w:p>
    <w:p>
      <w:pPr>
        <w:ind w:firstLine="480"/>
      </w:pPr>
      <w:r>
        <w:rPr>
          <w:rFonts w:hint="eastAsia"/>
          <w:lang w:eastAsia="zh-CN"/>
        </w:rPr>
        <w:t>（</w:t>
      </w:r>
      <w:r>
        <w:rPr>
          <w:rFonts w:hint="eastAsia"/>
          <w:lang w:val="en-US" w:eastAsia="zh-CN"/>
        </w:rPr>
        <w:t>3</w:t>
      </w:r>
      <w:r>
        <w:rPr>
          <w:rFonts w:hint="eastAsia"/>
          <w:lang w:eastAsia="zh-CN"/>
        </w:rPr>
        <w:t>）</w:t>
      </w:r>
      <w:r>
        <w:t>负责业务联系并落实各项工作安排，建立良好的合作关系。</w:t>
      </w:r>
    </w:p>
    <w:p>
      <w:pPr>
        <w:ind w:firstLine="480"/>
      </w:pPr>
      <w:r>
        <w:rPr>
          <w:rFonts w:hint="eastAsia"/>
          <w:lang w:eastAsia="zh-CN"/>
        </w:rPr>
        <w:t>（</w:t>
      </w:r>
      <w:r>
        <w:rPr>
          <w:rFonts w:hint="eastAsia"/>
          <w:lang w:val="en-US" w:eastAsia="zh-CN"/>
        </w:rPr>
        <w:t>4</w:t>
      </w:r>
      <w:r>
        <w:rPr>
          <w:rFonts w:hint="eastAsia"/>
          <w:lang w:eastAsia="zh-CN"/>
        </w:rPr>
        <w:t>）</w:t>
      </w:r>
      <w:r>
        <w:t>强化服务意识、成本意识的观念，保证售后服务高效的有序进行。</w:t>
      </w:r>
    </w:p>
    <w:p>
      <w:pPr>
        <w:ind w:firstLine="480"/>
      </w:pPr>
      <w:r>
        <w:rPr>
          <w:rFonts w:hint="eastAsia"/>
          <w:lang w:eastAsia="zh-CN"/>
        </w:rPr>
        <w:t>（</w:t>
      </w:r>
      <w:r>
        <w:rPr>
          <w:rFonts w:hint="eastAsia"/>
          <w:lang w:val="en-US" w:eastAsia="zh-CN"/>
        </w:rPr>
        <w:t>5</w:t>
      </w:r>
      <w:r>
        <w:rPr>
          <w:rFonts w:hint="eastAsia"/>
          <w:lang w:eastAsia="zh-CN"/>
        </w:rPr>
        <w:t>）</w:t>
      </w:r>
      <w:r>
        <w:t>组织本部门开发创新多种服务手段，完成售后服务指标并及时回款。</w:t>
      </w:r>
    </w:p>
    <w:p>
      <w:pPr>
        <w:ind w:firstLine="480"/>
      </w:pPr>
      <w:r>
        <w:rPr>
          <w:rFonts w:hint="eastAsia"/>
          <w:lang w:eastAsia="zh-CN"/>
        </w:rPr>
        <w:t>（</w:t>
      </w:r>
      <w:r>
        <w:rPr>
          <w:rFonts w:hint="eastAsia"/>
          <w:lang w:val="en-US" w:eastAsia="zh-CN"/>
        </w:rPr>
        <w:t>6</w:t>
      </w:r>
      <w:r>
        <w:rPr>
          <w:rFonts w:hint="eastAsia"/>
          <w:lang w:eastAsia="zh-CN"/>
        </w:rPr>
        <w:t>）</w:t>
      </w:r>
      <w:r>
        <w:t>进行客户分析，建立客户关系，挖掘客户需求，协助处理投诉，跟踪处理投诉结果，进行客户满意度调查。</w:t>
      </w:r>
    </w:p>
    <w:p>
      <w:pPr>
        <w:ind w:firstLine="480"/>
      </w:pPr>
      <w:r>
        <w:rPr>
          <w:rFonts w:hint="eastAsia"/>
          <w:lang w:eastAsia="zh-CN"/>
        </w:rPr>
        <w:t>（</w:t>
      </w:r>
      <w:r>
        <w:rPr>
          <w:rFonts w:hint="eastAsia"/>
          <w:lang w:val="en-US" w:eastAsia="zh-CN"/>
        </w:rPr>
        <w:t>7</w:t>
      </w:r>
      <w:r>
        <w:rPr>
          <w:rFonts w:hint="eastAsia"/>
          <w:lang w:eastAsia="zh-CN"/>
        </w:rPr>
        <w:t>）</w:t>
      </w:r>
      <w:r>
        <w:t>管理售后服务人员，帮助建立、补充、发展、培养服务队伍并指导服务顾问，完成各种信息报表及其他报表。</w:t>
      </w:r>
    </w:p>
    <w:p>
      <w:pPr>
        <w:ind w:firstLine="480"/>
      </w:pPr>
      <w:r>
        <w:rPr>
          <w:rFonts w:hint="eastAsia"/>
          <w:lang w:eastAsia="zh-CN"/>
        </w:rPr>
        <w:t>（</w:t>
      </w:r>
      <w:r>
        <w:rPr>
          <w:rFonts w:hint="eastAsia"/>
          <w:lang w:val="en-US" w:eastAsia="zh-CN"/>
        </w:rPr>
        <w:t>8</w:t>
      </w:r>
      <w:r>
        <w:rPr>
          <w:rFonts w:hint="eastAsia"/>
          <w:lang w:eastAsia="zh-CN"/>
        </w:rPr>
        <w:t>）</w:t>
      </w:r>
      <w:r>
        <w:t>搜集、接收和受理客户对产品的咨询与意见。</w:t>
      </w:r>
    </w:p>
    <w:p>
      <w:pPr>
        <w:ind w:firstLine="480"/>
      </w:pPr>
      <w:r>
        <w:rPr>
          <w:rFonts w:hint="eastAsia"/>
          <w:lang w:eastAsia="zh-CN"/>
        </w:rPr>
        <w:t>（</w:t>
      </w:r>
      <w:r>
        <w:rPr>
          <w:rFonts w:hint="eastAsia"/>
          <w:lang w:val="en-US" w:eastAsia="zh-CN"/>
        </w:rPr>
        <w:t>9</w:t>
      </w:r>
      <w:r>
        <w:rPr>
          <w:rFonts w:hint="eastAsia"/>
          <w:lang w:eastAsia="zh-CN"/>
        </w:rPr>
        <w:t>）</w:t>
      </w:r>
      <w:r>
        <w:t>处理各类客户投诉及市场投诉，第一时间反馈。</w:t>
      </w:r>
    </w:p>
    <w:p>
      <w:pPr>
        <w:ind w:firstLine="480"/>
      </w:pPr>
      <w:r>
        <w:rPr>
          <w:rFonts w:hint="eastAsia"/>
          <w:lang w:eastAsia="zh-CN"/>
        </w:rPr>
        <w:t>（</w:t>
      </w:r>
      <w:r>
        <w:rPr>
          <w:rFonts w:hint="eastAsia"/>
          <w:lang w:val="en-US" w:eastAsia="zh-CN"/>
        </w:rPr>
        <w:t>10</w:t>
      </w:r>
      <w:r>
        <w:rPr>
          <w:rFonts w:hint="eastAsia"/>
          <w:lang w:eastAsia="zh-CN"/>
        </w:rPr>
        <w:t>）</w:t>
      </w:r>
      <w:r>
        <w:t>负责客户回访与开展重点客户关怀计划，了解客户需求。</w:t>
      </w:r>
    </w:p>
    <w:p>
      <w:pPr>
        <w:ind w:firstLine="480"/>
      </w:pPr>
      <w:r>
        <w:rPr>
          <w:rFonts w:hint="eastAsia"/>
          <w:lang w:eastAsia="zh-CN"/>
        </w:rPr>
        <w:t>（</w:t>
      </w:r>
      <w:r>
        <w:rPr>
          <w:rFonts w:hint="eastAsia"/>
          <w:lang w:val="en-US" w:eastAsia="zh-CN"/>
        </w:rPr>
        <w:t>11</w:t>
      </w:r>
      <w:r>
        <w:rPr>
          <w:rFonts w:hint="eastAsia"/>
          <w:lang w:eastAsia="zh-CN"/>
        </w:rPr>
        <w:t>）</w:t>
      </w:r>
      <w:r>
        <w:t>保存客户基本资料，并进行整理、分类与更新。</w:t>
      </w:r>
    </w:p>
    <w:p>
      <w:pPr>
        <w:ind w:firstLine="480"/>
      </w:pPr>
      <w:r>
        <w:rPr>
          <w:rFonts w:hint="eastAsia"/>
          <w:lang w:eastAsia="zh-CN"/>
        </w:rPr>
        <w:t>（</w:t>
      </w:r>
      <w:r>
        <w:rPr>
          <w:rFonts w:hint="eastAsia"/>
          <w:lang w:val="en-US" w:eastAsia="zh-CN"/>
        </w:rPr>
        <w:t>12</w:t>
      </w:r>
      <w:r>
        <w:rPr>
          <w:rFonts w:hint="eastAsia"/>
          <w:lang w:eastAsia="zh-CN"/>
        </w:rPr>
        <w:t>）</w:t>
      </w:r>
      <w:r>
        <w:t>向相关部门反馈客户意见及建议。</w:t>
      </w:r>
    </w:p>
    <w:p>
      <w:pPr>
        <w:ind w:firstLine="480"/>
      </w:pPr>
      <w:r>
        <w:rPr>
          <w:rFonts w:hint="eastAsia"/>
          <w:lang w:eastAsia="zh-CN"/>
        </w:rPr>
        <w:t>（</w:t>
      </w:r>
      <w:r>
        <w:rPr>
          <w:rFonts w:hint="eastAsia"/>
          <w:lang w:val="en-US" w:eastAsia="zh-CN"/>
        </w:rPr>
        <w:t>13</w:t>
      </w:r>
      <w:r>
        <w:rPr>
          <w:rFonts w:hint="eastAsia"/>
          <w:lang w:eastAsia="zh-CN"/>
        </w:rPr>
        <w:t>）</w:t>
      </w:r>
      <w:r>
        <w:t>配处理产品退货、换货等工作。</w:t>
      </w:r>
    </w:p>
    <w:p>
      <w:pPr>
        <w:ind w:firstLine="480"/>
      </w:pPr>
      <w:r>
        <w:rPr>
          <w:rFonts w:hint="eastAsia"/>
          <w:lang w:eastAsia="zh-CN"/>
        </w:rPr>
        <w:t>（</w:t>
      </w:r>
      <w:r>
        <w:rPr>
          <w:rFonts w:hint="eastAsia"/>
          <w:lang w:val="en-US" w:eastAsia="zh-CN"/>
        </w:rPr>
        <w:t>14</w:t>
      </w:r>
      <w:r>
        <w:rPr>
          <w:rFonts w:hint="eastAsia"/>
          <w:lang w:eastAsia="zh-CN"/>
        </w:rPr>
        <w:t>）</w:t>
      </w:r>
      <w:r>
        <w:t>定期对客户进行回访，了解产品的实际状况。</w:t>
      </w:r>
    </w:p>
    <w:p>
      <w:pPr>
        <w:ind w:firstLine="480"/>
      </w:pPr>
      <w:r>
        <w:rPr>
          <w:rFonts w:hint="eastAsia"/>
          <w:lang w:eastAsia="zh-CN"/>
        </w:rPr>
        <w:t>（</w:t>
      </w:r>
      <w:r>
        <w:rPr>
          <w:rFonts w:hint="eastAsia"/>
          <w:lang w:val="en-US" w:eastAsia="zh-CN"/>
        </w:rPr>
        <w:t>15</w:t>
      </w:r>
      <w:r>
        <w:rPr>
          <w:rFonts w:hint="eastAsia"/>
          <w:lang w:eastAsia="zh-CN"/>
        </w:rPr>
        <w:t>）</w:t>
      </w:r>
      <w:r>
        <w:t>完成其他部门负责人交办的其他临时性工作。</w:t>
      </w:r>
    </w:p>
    <w:p>
      <w:pPr>
        <w:widowControl/>
        <w:spacing w:before="0" w:after="0" w:line="240" w:lineRule="auto"/>
        <w:ind w:firstLine="0" w:firstLineChars="0"/>
        <w:jc w:val="left"/>
      </w:pPr>
      <w:r>
        <w:br w:type="page"/>
      </w:r>
    </w:p>
    <w:p>
      <w:pPr>
        <w:pStyle w:val="6"/>
        <w:bidi w:val="0"/>
      </w:pPr>
      <w:bookmarkStart w:id="336" w:name="_Toc116121479"/>
      <w:bookmarkStart w:id="337" w:name="_Toc27374"/>
      <w:bookmarkStart w:id="338" w:name="_Toc118293242"/>
      <w:r>
        <w:rPr>
          <w:rFonts w:hint="eastAsia"/>
          <w:lang w:val="en-US" w:eastAsia="zh-CN"/>
        </w:rPr>
        <w:t>（三）</w:t>
      </w:r>
      <w:r>
        <w:rPr>
          <w:rFonts w:hint="eastAsia"/>
        </w:rPr>
        <w:t>人员配备计划</w:t>
      </w:r>
      <w:bookmarkEnd w:id="336"/>
      <w:bookmarkEnd w:id="337"/>
      <w:bookmarkEnd w:id="338"/>
    </w:p>
    <w:p>
      <w:pPr>
        <w:ind w:firstLine="480"/>
        <w:rPr>
          <w:b/>
          <w:bCs/>
        </w:rPr>
      </w:pPr>
      <w:r>
        <w:rPr>
          <w:rFonts w:hint="eastAsia"/>
          <w:b/>
          <w:bCs/>
          <w:lang w:eastAsia="zh-CN"/>
        </w:rPr>
        <w:t>（</w:t>
      </w:r>
      <w:r>
        <w:rPr>
          <w:rFonts w:hint="eastAsia"/>
          <w:b/>
          <w:bCs/>
          <w:lang w:val="en-US" w:eastAsia="zh-CN"/>
        </w:rPr>
        <w:t>一</w:t>
      </w:r>
      <w:r>
        <w:rPr>
          <w:rFonts w:hint="eastAsia"/>
          <w:b/>
          <w:bCs/>
          <w:lang w:eastAsia="zh-CN"/>
        </w:rPr>
        <w:t>）</w:t>
      </w:r>
      <w:r>
        <w:rPr>
          <w:rFonts w:hint="eastAsia"/>
          <w:b/>
          <w:bCs/>
        </w:rPr>
        <w:t>人员配备原则</w:t>
      </w:r>
    </w:p>
    <w:p>
      <w:pPr>
        <w:ind w:firstLine="480"/>
      </w:pPr>
      <w:r>
        <w:rPr>
          <w:rFonts w:hint="eastAsia"/>
        </w:rPr>
        <w:t>在本项目管理组织机构的组建中，项目人员是本次项目工作的内在，是完成本次采购任务的关键，对此，在人员配置方面应遵循以下原则。</w:t>
      </w:r>
    </w:p>
    <w:p>
      <w:pPr>
        <w:ind w:firstLine="480"/>
      </w:pPr>
      <w:r>
        <w:t>1</w:t>
      </w:r>
      <w:r>
        <w:rPr>
          <w:rFonts w:hint="eastAsia"/>
          <w:lang w:eastAsia="zh-CN"/>
        </w:rPr>
        <w:t>、</w:t>
      </w:r>
      <w:r>
        <w:t>经济效益原则：项目人员配备计划的拟定要以项目的具体需要为依据，以保证经济效益的提高为前提，它不是盲目地扩大服务人员队伍，而是为了保证服务效益的提高。</w:t>
      </w:r>
    </w:p>
    <w:p>
      <w:pPr>
        <w:ind w:firstLine="480"/>
      </w:pPr>
      <w:r>
        <w:t>2</w:t>
      </w:r>
      <w:r>
        <w:rPr>
          <w:rFonts w:hint="eastAsia"/>
          <w:lang w:eastAsia="zh-CN"/>
        </w:rPr>
        <w:t>、</w:t>
      </w:r>
      <w:r>
        <w:t>任人唯贤原则：在人事选聘方面，大公无私，实事求是地发现人才，爱护人才，本着求贤若渴的精神，重视和使用确有真才实学的人。</w:t>
      </w:r>
    </w:p>
    <w:p>
      <w:pPr>
        <w:ind w:firstLine="480"/>
      </w:pPr>
      <w:r>
        <w:t>3</w:t>
      </w:r>
      <w:r>
        <w:rPr>
          <w:rFonts w:hint="eastAsia"/>
          <w:lang w:eastAsia="zh-CN"/>
        </w:rPr>
        <w:t>、</w:t>
      </w:r>
      <w:r>
        <w:t>因事择人原则：因事择人就是员工的选聘应以职位的空缺和实际工作的需要为出发点，以职位对人员的实际要求为标准，选拔、录用各类人员。</w:t>
      </w:r>
    </w:p>
    <w:p>
      <w:pPr>
        <w:ind w:firstLine="480"/>
      </w:pPr>
      <w:r>
        <w:t>4</w:t>
      </w:r>
      <w:r>
        <w:rPr>
          <w:rFonts w:hint="eastAsia"/>
          <w:lang w:eastAsia="zh-CN"/>
        </w:rPr>
        <w:t>、</w:t>
      </w:r>
      <w:r>
        <w:t>量才使用原则：量才使用就是根据每个人的能力大小而安排合适的岗位，人的差异是客观存在的，一个人只有处在最能发挥其才能的岗位上，才能干得最好。</w:t>
      </w:r>
    </w:p>
    <w:p>
      <w:pPr>
        <w:ind w:firstLine="480"/>
      </w:pPr>
      <w:r>
        <w:t>5</w:t>
      </w:r>
      <w:r>
        <w:rPr>
          <w:rFonts w:hint="eastAsia"/>
          <w:lang w:eastAsia="zh-CN"/>
        </w:rPr>
        <w:t>、</w:t>
      </w:r>
      <w:r>
        <w:t>程序化、规范化原则：员工的选拔必须遵循一定的标准和程序，科学合理地确定组织员工的选拔标准和聘任程序是组织聘任优秀人才的重要保证。只有严格按照规定的程序和标准办事，才能选聘到真正愿为本项目的工作质量作出贡献的人才。</w:t>
      </w:r>
    </w:p>
    <w:p>
      <w:pPr>
        <w:ind w:firstLine="480"/>
      </w:pPr>
      <w:r>
        <w:t>6</w:t>
      </w:r>
      <w:r>
        <w:rPr>
          <w:rFonts w:hint="eastAsia"/>
          <w:lang w:eastAsia="zh-CN"/>
        </w:rPr>
        <w:t>、</w:t>
      </w:r>
      <w:r>
        <w:t>因材起用原则：所谓因材起用，是指根据人的能力和素质的不同，去安排不同要求的工作。从组织中人的角度来考虑，只有根据人的特点来安排工作，才能使人的潜能得到最充分地发挥，使人的工作热情得到最大限度地激发。如果学非所用、大材小用或小材大用，不仅会严重影响组织效率，也会造成人力资源计划的失效。</w:t>
      </w:r>
    </w:p>
    <w:p>
      <w:pPr>
        <w:ind w:firstLine="480"/>
      </w:pPr>
      <w:r>
        <w:t>7</w:t>
      </w:r>
      <w:r>
        <w:rPr>
          <w:rFonts w:hint="eastAsia"/>
          <w:lang w:eastAsia="zh-CN"/>
        </w:rPr>
        <w:t>、</w:t>
      </w:r>
      <w:r>
        <w:t>用人所长原则：所谓用人所长，是指在用人时不能够求全责备，管理者应注重发挥人的长处。在现实中，由于人的知识、能力、个性发展是不平衡的，组织中的工作任务要求又具有多样性，因此，完全意义上的“通才”，“全才”是不存在的，即使存在，组织也不一定非要选择用这种“通才”，而应该选择最适合空缺职位要求的候选人。有效的管理就是要能够发挥人的长处，并使其弱点减少到最小。</w:t>
      </w:r>
    </w:p>
    <w:p>
      <w:pPr>
        <w:ind w:firstLine="480"/>
      </w:pPr>
      <w:r>
        <w:t>8</w:t>
      </w:r>
      <w:r>
        <w:rPr>
          <w:rFonts w:hint="eastAsia"/>
          <w:lang w:eastAsia="zh-CN"/>
        </w:rPr>
        <w:t>、</w:t>
      </w:r>
      <w:r>
        <w:t>动态平衡原则：处在动态环境中的组织，是不断变革和发展的。组织对其成员的要求也是在不断变动的，当然，工作中人的能力和知识也是在不断地提高和丰富的。因此人与事的配合需要进行不断地协调平衡。所谓动态平衡，就是要使那些能力发展充分的人，去从事组织中更为重要的工作，同时也要使能力平平、不符合职位需要的人得到识别及合理的调整，最终实现人与职位、工作的动态平衡。</w:t>
      </w:r>
    </w:p>
    <w:p>
      <w:pPr>
        <w:ind w:firstLine="480"/>
        <w:rPr>
          <w:b/>
          <w:bCs/>
        </w:rPr>
      </w:pPr>
      <w:r>
        <w:rPr>
          <w:rFonts w:hint="eastAsia"/>
          <w:b/>
          <w:bCs/>
          <w:lang w:eastAsia="zh-CN"/>
        </w:rPr>
        <w:t>（</w:t>
      </w:r>
      <w:r>
        <w:rPr>
          <w:rFonts w:hint="eastAsia"/>
          <w:b/>
          <w:bCs/>
          <w:lang w:val="en-US" w:eastAsia="zh-CN"/>
        </w:rPr>
        <w:t>二</w:t>
      </w:r>
      <w:r>
        <w:rPr>
          <w:rFonts w:hint="eastAsia"/>
          <w:b/>
          <w:bCs/>
          <w:lang w:eastAsia="zh-CN"/>
        </w:rPr>
        <w:t>）</w:t>
      </w:r>
      <w:r>
        <w:rPr>
          <w:rFonts w:hint="eastAsia"/>
          <w:b/>
          <w:bCs/>
        </w:rPr>
        <w:t>岗位设置原则</w:t>
      </w:r>
    </w:p>
    <w:p>
      <w:pPr>
        <w:ind w:firstLine="480"/>
      </w:pPr>
      <w:r>
        <w:rPr>
          <w:rFonts w:hint="eastAsia"/>
        </w:rPr>
        <w:t>根据项目性质展开工作分析，设置不同的部门，而不同部门又有不同岗位，不同的岗位又有不同的职责，常见的岗位设置原则具体说明如下：</w:t>
      </w:r>
    </w:p>
    <w:p>
      <w:pPr>
        <w:ind w:firstLine="480"/>
      </w:pPr>
      <w:r>
        <w:t>1</w:t>
      </w:r>
      <w:r>
        <w:rPr>
          <w:rFonts w:hint="eastAsia"/>
          <w:lang w:eastAsia="zh-CN"/>
        </w:rPr>
        <w:t>、</w:t>
      </w:r>
      <w:r>
        <w:t>因事设岗原则。</w:t>
      </w:r>
    </w:p>
    <w:p>
      <w:pPr>
        <w:ind w:firstLine="480"/>
      </w:pPr>
      <w:r>
        <w:t>2</w:t>
      </w:r>
      <w:r>
        <w:rPr>
          <w:rFonts w:hint="eastAsia"/>
          <w:lang w:eastAsia="zh-CN"/>
        </w:rPr>
        <w:t>、</w:t>
      </w:r>
      <w:r>
        <w:t>最低数量原则。</w:t>
      </w:r>
    </w:p>
    <w:p>
      <w:pPr>
        <w:ind w:firstLine="480"/>
      </w:pPr>
      <w:r>
        <w:t>3</w:t>
      </w:r>
      <w:r>
        <w:rPr>
          <w:rFonts w:hint="eastAsia"/>
          <w:lang w:eastAsia="zh-CN"/>
        </w:rPr>
        <w:t>、</w:t>
      </w:r>
      <w:r>
        <w:t>有效配合原则。</w:t>
      </w:r>
    </w:p>
    <w:p>
      <w:pPr>
        <w:ind w:firstLine="480"/>
      </w:pPr>
      <w:r>
        <w:t>4</w:t>
      </w:r>
      <w:r>
        <w:rPr>
          <w:rFonts w:hint="eastAsia"/>
          <w:lang w:eastAsia="zh-CN"/>
        </w:rPr>
        <w:t>、</w:t>
      </w:r>
      <w:r>
        <w:t>责权统一原则。</w:t>
      </w:r>
    </w:p>
    <w:p>
      <w:pPr>
        <w:ind w:firstLine="480"/>
      </w:pPr>
      <w:r>
        <w:t>5</w:t>
      </w:r>
      <w:r>
        <w:rPr>
          <w:rFonts w:hint="eastAsia"/>
          <w:lang w:eastAsia="zh-CN"/>
        </w:rPr>
        <w:t>、</w:t>
      </w:r>
      <w:r>
        <w:t>有效管理幅度原则。</w:t>
      </w:r>
    </w:p>
    <w:p>
      <w:pPr>
        <w:ind w:firstLine="480"/>
        <w:rPr>
          <w:b/>
          <w:bCs/>
        </w:rPr>
      </w:pPr>
      <w:r>
        <w:rPr>
          <w:rFonts w:hint="eastAsia"/>
          <w:b/>
          <w:bCs/>
          <w:lang w:eastAsia="zh-CN"/>
        </w:rPr>
        <w:t>（</w:t>
      </w:r>
      <w:r>
        <w:rPr>
          <w:rFonts w:hint="eastAsia"/>
          <w:b/>
          <w:bCs/>
          <w:lang w:val="en-US" w:eastAsia="zh-CN"/>
        </w:rPr>
        <w:t>三</w:t>
      </w:r>
      <w:r>
        <w:rPr>
          <w:rFonts w:hint="eastAsia"/>
          <w:b/>
          <w:bCs/>
          <w:lang w:eastAsia="zh-CN"/>
        </w:rPr>
        <w:t>）</w:t>
      </w:r>
      <w:r>
        <w:rPr>
          <w:rFonts w:hint="eastAsia"/>
          <w:b/>
          <w:bCs/>
        </w:rPr>
        <w:t>人员素质要求</w:t>
      </w:r>
    </w:p>
    <w:p>
      <w:pPr>
        <w:ind w:firstLine="480"/>
      </w:pPr>
      <w:r>
        <w:rPr>
          <w:rFonts w:hint="eastAsia"/>
          <w:lang w:val="en-US" w:eastAsia="zh-CN"/>
        </w:rPr>
        <w:t>1、</w:t>
      </w:r>
      <w:r>
        <w:rPr>
          <w:rFonts w:hint="eastAsia"/>
        </w:rPr>
        <w:t>总体要求</w:t>
      </w:r>
    </w:p>
    <w:p>
      <w:pPr>
        <w:ind w:firstLine="480"/>
      </w:pPr>
      <w:r>
        <w:rPr>
          <w:rFonts w:hint="eastAsia"/>
          <w:lang w:eastAsia="zh-CN"/>
        </w:rPr>
        <w:t>（</w:t>
      </w:r>
      <w:r>
        <w:rPr>
          <w:rFonts w:hint="eastAsia"/>
          <w:lang w:val="en-US" w:eastAsia="zh-CN"/>
        </w:rPr>
        <w:t>1</w:t>
      </w:r>
      <w:r>
        <w:rPr>
          <w:rFonts w:hint="eastAsia"/>
          <w:lang w:eastAsia="zh-CN"/>
        </w:rPr>
        <w:t>）</w:t>
      </w:r>
      <w:r>
        <w:t>统一认识，强化全员的责任意识，明确工作职责，激发全员在工作过程中的积极性，主动性和创造性。</w:t>
      </w:r>
    </w:p>
    <w:p>
      <w:pPr>
        <w:ind w:firstLine="480"/>
      </w:pPr>
      <w:r>
        <w:rPr>
          <w:rFonts w:hint="eastAsia"/>
          <w:lang w:eastAsia="zh-CN"/>
        </w:rPr>
        <w:t>（</w:t>
      </w:r>
      <w:r>
        <w:rPr>
          <w:rFonts w:hint="eastAsia"/>
          <w:lang w:val="en-US" w:eastAsia="zh-CN"/>
        </w:rPr>
        <w:t>2</w:t>
      </w:r>
      <w:r>
        <w:rPr>
          <w:rFonts w:hint="eastAsia"/>
          <w:lang w:eastAsia="zh-CN"/>
        </w:rPr>
        <w:t>）</w:t>
      </w:r>
      <w:r>
        <w:t>明确责任，细化工作任务、明确责任、从严管理，全面落实各项项目的实施方案，确保在工作过程中顺利进行。</w:t>
      </w:r>
    </w:p>
    <w:p>
      <w:pPr>
        <w:ind w:firstLine="480"/>
      </w:pPr>
      <w:r>
        <w:rPr>
          <w:rFonts w:hint="eastAsia"/>
          <w:lang w:eastAsia="zh-CN"/>
        </w:rPr>
        <w:t>（</w:t>
      </w:r>
      <w:r>
        <w:rPr>
          <w:rFonts w:hint="eastAsia"/>
          <w:lang w:val="en-US" w:eastAsia="zh-CN"/>
        </w:rPr>
        <w:t>3</w:t>
      </w:r>
      <w:r>
        <w:rPr>
          <w:rFonts w:hint="eastAsia"/>
          <w:lang w:eastAsia="zh-CN"/>
        </w:rPr>
        <w:t>）</w:t>
      </w:r>
      <w:r>
        <w:t>强化执行，严格按照项目所制定的各项工作方案，遇到问题主动提出解决，认真克服工作中不主动、不积极问题，按时、保质保量地完成本项目的工作。</w:t>
      </w:r>
    </w:p>
    <w:p>
      <w:pPr>
        <w:ind w:firstLine="480"/>
      </w:pPr>
      <w:r>
        <w:rPr>
          <w:rFonts w:hint="eastAsia"/>
          <w:lang w:val="en-US" w:eastAsia="zh-CN"/>
        </w:rPr>
        <w:t>2、</w:t>
      </w:r>
      <w:r>
        <w:rPr>
          <w:rFonts w:hint="eastAsia"/>
        </w:rPr>
        <w:t>生产人员素质要求</w:t>
      </w:r>
    </w:p>
    <w:p>
      <w:pPr>
        <w:ind w:firstLine="480"/>
      </w:pPr>
      <w:r>
        <w:rPr>
          <w:rFonts w:hint="eastAsia"/>
          <w:lang w:eastAsia="zh-CN"/>
        </w:rPr>
        <w:t>（</w:t>
      </w:r>
      <w:r>
        <w:rPr>
          <w:rFonts w:hint="eastAsia"/>
          <w:lang w:val="en-US" w:eastAsia="zh-CN"/>
        </w:rPr>
        <w:t>1</w:t>
      </w:r>
      <w:r>
        <w:rPr>
          <w:rFonts w:hint="eastAsia"/>
          <w:lang w:eastAsia="zh-CN"/>
        </w:rPr>
        <w:t>）</w:t>
      </w:r>
      <w:r>
        <w:t>熟练掌握生产车间各项工作和规章制度，并能严格执行。</w:t>
      </w:r>
    </w:p>
    <w:p>
      <w:pPr>
        <w:ind w:firstLine="480"/>
      </w:pPr>
      <w:r>
        <w:rPr>
          <w:rFonts w:hint="eastAsia"/>
          <w:lang w:eastAsia="zh-CN"/>
        </w:rPr>
        <w:t>（</w:t>
      </w:r>
      <w:r>
        <w:rPr>
          <w:rFonts w:hint="eastAsia"/>
          <w:lang w:val="en-US" w:eastAsia="zh-CN"/>
        </w:rPr>
        <w:t>2</w:t>
      </w:r>
      <w:r>
        <w:rPr>
          <w:rFonts w:hint="eastAsia"/>
          <w:lang w:eastAsia="zh-CN"/>
        </w:rPr>
        <w:t>）</w:t>
      </w:r>
      <w:r>
        <w:t>熟练掌握生产车间各类设备、工艺流程，并能独立操作。</w:t>
      </w:r>
    </w:p>
    <w:p>
      <w:pPr>
        <w:ind w:firstLine="480"/>
      </w:pPr>
      <w:r>
        <w:rPr>
          <w:rFonts w:hint="eastAsia"/>
          <w:lang w:eastAsia="zh-CN"/>
        </w:rPr>
        <w:t>（</w:t>
      </w:r>
      <w:r>
        <w:rPr>
          <w:rFonts w:hint="eastAsia"/>
          <w:lang w:val="en-US" w:eastAsia="zh-CN"/>
        </w:rPr>
        <w:t>3</w:t>
      </w:r>
      <w:r>
        <w:rPr>
          <w:rFonts w:hint="eastAsia"/>
          <w:lang w:eastAsia="zh-CN"/>
        </w:rPr>
        <w:t>）</w:t>
      </w:r>
      <w:r>
        <w:t>持健康证上岗，吃苦耐劳，具有良好的道德观。</w:t>
      </w:r>
    </w:p>
    <w:p>
      <w:pPr>
        <w:ind w:firstLine="480"/>
      </w:pPr>
      <w:r>
        <w:rPr>
          <w:rFonts w:hint="eastAsia"/>
          <w:lang w:eastAsia="zh-CN"/>
        </w:rPr>
        <w:t>（</w:t>
      </w:r>
      <w:r>
        <w:rPr>
          <w:rFonts w:hint="eastAsia"/>
          <w:lang w:val="en-US" w:eastAsia="zh-CN"/>
        </w:rPr>
        <w:t>4</w:t>
      </w:r>
      <w:r>
        <w:rPr>
          <w:rFonts w:hint="eastAsia"/>
          <w:lang w:eastAsia="zh-CN"/>
        </w:rPr>
        <w:t>）</w:t>
      </w:r>
      <w:r>
        <w:t>了解并遵守车间各项日常工作及规章制度。</w:t>
      </w:r>
    </w:p>
    <w:p>
      <w:pPr>
        <w:ind w:firstLine="480"/>
      </w:pPr>
      <w:r>
        <w:rPr>
          <w:rFonts w:hint="eastAsia"/>
          <w:lang w:eastAsia="zh-CN"/>
        </w:rPr>
        <w:t>（</w:t>
      </w:r>
      <w:r>
        <w:rPr>
          <w:rFonts w:hint="eastAsia"/>
          <w:lang w:val="en-US" w:eastAsia="zh-CN"/>
        </w:rPr>
        <w:t>5</w:t>
      </w:r>
      <w:r>
        <w:rPr>
          <w:rFonts w:hint="eastAsia"/>
          <w:lang w:eastAsia="zh-CN"/>
        </w:rPr>
        <w:t>）</w:t>
      </w:r>
      <w:r>
        <w:t>出现任何异常情况时除自己能够及时汇报，不谎报不隐瞒外，同时对其他员工能够提醒教育，并监督揭发。</w:t>
      </w:r>
    </w:p>
    <w:p>
      <w:pPr>
        <w:ind w:firstLine="480"/>
      </w:pPr>
      <w:r>
        <w:rPr>
          <w:rFonts w:hint="eastAsia"/>
          <w:lang w:val="en-US" w:eastAsia="zh-CN"/>
        </w:rPr>
        <w:t>3、</w:t>
      </w:r>
      <w:r>
        <w:rPr>
          <w:rFonts w:hint="eastAsia"/>
        </w:rPr>
        <w:t>管理人员素质要求</w:t>
      </w:r>
    </w:p>
    <w:p>
      <w:pPr>
        <w:ind w:firstLine="480"/>
      </w:pPr>
      <w:r>
        <w:rPr>
          <w:rFonts w:hint="eastAsia"/>
        </w:rPr>
        <w:t>合格的管理人员必须具备相应的素质和能力，主要包括以下几点内容：</w:t>
      </w:r>
    </w:p>
    <w:p>
      <w:pPr>
        <w:ind w:firstLine="480"/>
      </w:pPr>
      <w:r>
        <w:rPr>
          <w:rFonts w:hint="eastAsia"/>
          <w:lang w:eastAsia="zh-CN"/>
        </w:rPr>
        <w:t>（</w:t>
      </w:r>
      <w:r>
        <w:rPr>
          <w:rFonts w:hint="eastAsia"/>
          <w:lang w:val="en-US" w:eastAsia="zh-CN"/>
        </w:rPr>
        <w:t>1</w:t>
      </w:r>
      <w:r>
        <w:rPr>
          <w:rFonts w:hint="eastAsia"/>
          <w:lang w:eastAsia="zh-CN"/>
        </w:rPr>
        <w:t>）</w:t>
      </w:r>
      <w:r>
        <w:t>过硬的业务知识和水平：因为本项目的肥料业务具有一定的专业性，所以要求管理者也要具备一定的专业知识、具备一定的技术水平和能力，这是管理者不可缺少的条件。</w:t>
      </w:r>
    </w:p>
    <w:p>
      <w:pPr>
        <w:ind w:firstLine="480"/>
      </w:pPr>
      <w:r>
        <w:rPr>
          <w:rFonts w:hint="eastAsia"/>
          <w:lang w:eastAsia="zh-CN"/>
        </w:rPr>
        <w:t>（</w:t>
      </w:r>
      <w:r>
        <w:rPr>
          <w:rFonts w:hint="eastAsia"/>
          <w:lang w:val="en-US" w:eastAsia="zh-CN"/>
        </w:rPr>
        <w:t>2</w:t>
      </w:r>
      <w:r>
        <w:rPr>
          <w:rFonts w:hint="eastAsia"/>
          <w:lang w:eastAsia="zh-CN"/>
        </w:rPr>
        <w:t>）</w:t>
      </w:r>
      <w:r>
        <w:t>良好的道德品质：担任管理职务的人拥有相当的权力，而组织对其权力的运用往往难以进行及时、有效的监督，所以权力能否正确运用在很大程度上取决于管理人员的良知。此外，管理者能否有效影响和激发下属的积极性，也在很大程度上取决于管理者个人的道德品质。</w:t>
      </w:r>
    </w:p>
    <w:p>
      <w:pPr>
        <w:ind w:firstLine="480"/>
      </w:pPr>
      <w:r>
        <w:rPr>
          <w:rFonts w:hint="eastAsia"/>
          <w:lang w:eastAsia="zh-CN"/>
        </w:rPr>
        <w:t>（</w:t>
      </w:r>
      <w:r>
        <w:rPr>
          <w:rFonts w:hint="eastAsia"/>
          <w:lang w:val="en-US" w:eastAsia="zh-CN"/>
        </w:rPr>
        <w:t>3</w:t>
      </w:r>
      <w:r>
        <w:rPr>
          <w:rFonts w:hint="eastAsia"/>
          <w:lang w:eastAsia="zh-CN"/>
        </w:rPr>
        <w:t>）</w:t>
      </w:r>
      <w:r>
        <w:t>富于创新的精神：管理者的任务不仅是执行上级的命令，维持系统的运转，而且要在组织系统或部门的工作中不断创新。只有不断创新，组织才能充满生机，不断发展。</w:t>
      </w:r>
    </w:p>
    <w:p>
      <w:pPr>
        <w:ind w:firstLine="480"/>
      </w:pPr>
      <w:r>
        <w:rPr>
          <w:rFonts w:hint="eastAsia"/>
          <w:lang w:eastAsia="zh-CN"/>
        </w:rPr>
        <w:t>（</w:t>
      </w:r>
      <w:r>
        <w:rPr>
          <w:rFonts w:hint="eastAsia"/>
          <w:lang w:val="en-US" w:eastAsia="zh-CN"/>
        </w:rPr>
        <w:t>4</w:t>
      </w:r>
      <w:r>
        <w:rPr>
          <w:rFonts w:hint="eastAsia"/>
          <w:lang w:eastAsia="zh-CN"/>
        </w:rPr>
        <w:t>）</w:t>
      </w:r>
      <w:r>
        <w:t>良好的决策能力：管理过程中充满了决策。决策能力是管理人员应具备的一种重要能力。</w:t>
      </w:r>
    </w:p>
    <w:p>
      <w:pPr>
        <w:ind w:firstLine="480"/>
      </w:pPr>
      <w:r>
        <w:rPr>
          <w:rFonts w:hint="eastAsia"/>
          <w:lang w:eastAsia="zh-CN"/>
        </w:rPr>
        <w:t>（</w:t>
      </w:r>
      <w:r>
        <w:rPr>
          <w:rFonts w:hint="eastAsia"/>
          <w:lang w:val="en-US" w:eastAsia="zh-CN"/>
        </w:rPr>
        <w:t>5</w:t>
      </w:r>
      <w:r>
        <w:rPr>
          <w:rFonts w:hint="eastAsia"/>
          <w:lang w:eastAsia="zh-CN"/>
        </w:rPr>
        <w:t>）</w:t>
      </w:r>
      <w:r>
        <w:t>较强的沟通能力：管理人员既要善于理解别人，也需要别人理解自己。组织成员之间的相互理解是组织成功的基本保证，而要实现相互理解就要借助信息沟通才能完成。沟通的效果决定了管理者与员工相互理解和相互信任的程度。作为管理者必须具有进行有效沟通的技能。</w:t>
      </w:r>
    </w:p>
    <w:p>
      <w:pPr>
        <w:ind w:firstLine="480"/>
      </w:pPr>
      <w:r>
        <w:rPr>
          <w:rFonts w:hint="eastAsia"/>
          <w:lang w:eastAsia="zh-CN"/>
        </w:rPr>
        <w:t>（</w:t>
      </w:r>
      <w:r>
        <w:rPr>
          <w:rFonts w:hint="eastAsia"/>
          <w:lang w:val="en-US" w:eastAsia="zh-CN"/>
        </w:rPr>
        <w:t>6</w:t>
      </w:r>
      <w:r>
        <w:rPr>
          <w:rFonts w:hint="eastAsia"/>
          <w:lang w:eastAsia="zh-CN"/>
        </w:rPr>
        <w:t>）</w:t>
      </w:r>
      <w:r>
        <w:t>较强的组织协调能力：管理者的职责之一就是实现组织内部各部门各环节的密切配合，所以管理者应有较强的组织协调能力，能够按分工协作的要求合理调配人员，布置工作任务，同时，管理者要善于协调内部员工之间的关系，创造和谐、融洽的气氛。</w:t>
      </w:r>
    </w:p>
    <w:p>
      <w:pPr>
        <w:ind w:firstLine="480"/>
      </w:pPr>
      <w:r>
        <w:rPr>
          <w:rFonts w:hint="eastAsia"/>
          <w:lang w:val="en-US" w:eastAsia="zh-CN"/>
        </w:rPr>
        <w:t>4、</w:t>
      </w:r>
      <w:r>
        <w:rPr>
          <w:rFonts w:hint="eastAsia"/>
        </w:rPr>
        <w:t>其他工作人员要求</w:t>
      </w:r>
    </w:p>
    <w:p>
      <w:pPr>
        <w:ind w:firstLine="480"/>
      </w:pPr>
      <w:r>
        <w:rPr>
          <w:rFonts w:hint="eastAsia"/>
          <w:lang w:eastAsia="zh-CN"/>
        </w:rPr>
        <w:t>（</w:t>
      </w:r>
      <w:r>
        <w:rPr>
          <w:rFonts w:hint="eastAsia"/>
          <w:lang w:val="en-US" w:eastAsia="zh-CN"/>
        </w:rPr>
        <w:t>1</w:t>
      </w:r>
      <w:r>
        <w:rPr>
          <w:rFonts w:hint="eastAsia"/>
          <w:lang w:eastAsia="zh-CN"/>
        </w:rPr>
        <w:t>）</w:t>
      </w:r>
      <w:r>
        <w:t>有责任心和职业道德：对工作要认真、负责，有事业心和责任感，这是成为一名合格员工的首要条件。对于自己的本职工作一定要力求完美，尽职尽责，不能马马虎虎，随随便便应付了事，态度比能力更加重要。</w:t>
      </w:r>
    </w:p>
    <w:p>
      <w:pPr>
        <w:ind w:firstLine="480"/>
      </w:pPr>
      <w:r>
        <w:rPr>
          <w:rFonts w:hint="eastAsia"/>
          <w:lang w:eastAsia="zh-CN"/>
        </w:rPr>
        <w:t>（</w:t>
      </w:r>
      <w:r>
        <w:rPr>
          <w:rFonts w:hint="eastAsia"/>
          <w:lang w:val="en-US" w:eastAsia="zh-CN"/>
        </w:rPr>
        <w:t>2</w:t>
      </w:r>
      <w:r>
        <w:rPr>
          <w:rFonts w:hint="eastAsia"/>
          <w:lang w:eastAsia="zh-CN"/>
        </w:rPr>
        <w:t>）</w:t>
      </w:r>
      <w:r>
        <w:t>有不断创新的精神：在项目实施过程中，工作人员要学会创新，运用创新思维，打碎旧的思维模式，创造性开展本职工作，在工作中不要局限于要我怎么做，关键是要把工作做好，结果是目的，过程是手段，要学会尝试用更简捷、成本更低、效率更高的手段去实现目的。</w:t>
      </w:r>
    </w:p>
    <w:p>
      <w:pPr>
        <w:ind w:firstLine="480"/>
      </w:pPr>
      <w:r>
        <w:rPr>
          <w:rFonts w:hint="eastAsia"/>
          <w:lang w:eastAsia="zh-CN"/>
        </w:rPr>
        <w:t>（</w:t>
      </w:r>
      <w:r>
        <w:rPr>
          <w:rFonts w:hint="eastAsia"/>
          <w:lang w:val="en-US" w:eastAsia="zh-CN"/>
        </w:rPr>
        <w:t>3</w:t>
      </w:r>
      <w:r>
        <w:rPr>
          <w:rFonts w:hint="eastAsia"/>
          <w:lang w:eastAsia="zh-CN"/>
        </w:rPr>
        <w:t>）</w:t>
      </w:r>
      <w:r>
        <w:t>正确看待自己与公司的关系、敢于承担责任：处在某一职位、某一岗位的干部或员工，能自觉地意识到自己所担负的责任。有了自觉的责任意识之后，才会产生积极、圆满的工作效果。没有责任意识或不能承担责任的员工，不可能成为优秀的员工。想要圆满完成项目任务，必须首先要知道自己承担的是什么样的工作，为完成这份工作，有哪些具体要求，如时间的要求、质量的要求，成本的要求等等，以及这些要求规定实现的路径或者程序，相关的支持性文件，和周围的人群建立良好的工作关系，要乐于为他人提供扶持和帮助，最终实现公司、员工双赢。</w:t>
      </w:r>
    </w:p>
    <w:p>
      <w:pPr>
        <w:ind w:firstLine="480"/>
      </w:pPr>
      <w:r>
        <w:rPr>
          <w:rFonts w:hint="eastAsia"/>
          <w:lang w:eastAsia="zh-CN"/>
        </w:rPr>
        <w:t>（</w:t>
      </w:r>
      <w:r>
        <w:rPr>
          <w:rFonts w:hint="eastAsia"/>
          <w:lang w:val="en-US" w:eastAsia="zh-CN"/>
        </w:rPr>
        <w:t>4</w:t>
      </w:r>
      <w:r>
        <w:rPr>
          <w:rFonts w:hint="eastAsia"/>
          <w:lang w:eastAsia="zh-CN"/>
        </w:rPr>
        <w:t>）</w:t>
      </w:r>
      <w:r>
        <w:t>要维护公司和项目的利益和形象，严格要求自己言行：每个员工的言行举动，所作所为、不仅仅是个人的表现，同时是对公司形象的宣传。遵纪守法是义务，履行责任是天职。任何不遵纪守法的行为最终都是搬起石头砸自己的脚，因此在项目服务过程中，必须遵纪守法，坚决避免做出损害公司利益和形象的行为。</w:t>
      </w:r>
    </w:p>
    <w:p>
      <w:pPr>
        <w:pStyle w:val="6"/>
        <w:bidi w:val="0"/>
      </w:pPr>
      <w:bookmarkStart w:id="339" w:name="_Toc116121480"/>
      <w:bookmarkStart w:id="340" w:name="_Toc16209"/>
      <w:bookmarkStart w:id="341" w:name="_Toc118293243"/>
      <w:r>
        <w:rPr>
          <w:rFonts w:hint="eastAsia"/>
          <w:lang w:val="en-US" w:eastAsia="zh-CN"/>
        </w:rPr>
        <w:t>（四）</w:t>
      </w:r>
      <w:r>
        <w:rPr>
          <w:rFonts w:hint="eastAsia"/>
        </w:rPr>
        <w:t>人员岗位职责</w:t>
      </w:r>
      <w:bookmarkEnd w:id="339"/>
      <w:bookmarkEnd w:id="340"/>
      <w:bookmarkEnd w:id="341"/>
    </w:p>
    <w:p>
      <w:pPr>
        <w:keepNext w:val="0"/>
        <w:keepLines w:val="0"/>
        <w:pageBreakBefore w:val="0"/>
        <w:kinsoku/>
        <w:wordWrap/>
        <w:overflowPunct/>
        <w:topLinePunct w:val="0"/>
        <w:autoSpaceDE/>
        <w:autoSpaceDN/>
        <w:bidi w:val="0"/>
        <w:adjustRightInd w:val="0"/>
        <w:snapToGrid w:val="0"/>
        <w:spacing w:line="480" w:lineRule="auto"/>
        <w:ind w:firstLine="562" w:firstLineChars="200"/>
        <w:textAlignment w:val="auto"/>
        <w:rPr>
          <w:b/>
          <w:bCs/>
        </w:rPr>
      </w:pPr>
      <w:r>
        <w:rPr>
          <w:rFonts w:hint="eastAsia"/>
          <w:b/>
          <w:bCs/>
          <w:lang w:eastAsia="zh-CN"/>
        </w:rPr>
        <w:t>（</w:t>
      </w:r>
      <w:r>
        <w:rPr>
          <w:rFonts w:hint="eastAsia"/>
          <w:b/>
          <w:bCs/>
          <w:lang w:val="en-US" w:eastAsia="zh-CN"/>
        </w:rPr>
        <w:t>一</w:t>
      </w:r>
      <w:r>
        <w:rPr>
          <w:rFonts w:hint="eastAsia"/>
          <w:b/>
          <w:bCs/>
          <w:lang w:eastAsia="zh-CN"/>
        </w:rPr>
        <w:t>）</w:t>
      </w:r>
      <w:r>
        <w:rPr>
          <w:rFonts w:hint="eastAsia"/>
          <w:b/>
          <w:bCs/>
        </w:rPr>
        <w:t>项目经理职责</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1</w:t>
      </w:r>
      <w:r>
        <w:rPr>
          <w:rFonts w:hint="eastAsia"/>
          <w:lang w:eastAsia="zh-CN"/>
        </w:rPr>
        <w:t>、</w:t>
      </w:r>
      <w:r>
        <w:t>贯彻执行国家、行政主管部门有关法律、法规、政策和标准，执行公司的各项管理制度。</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2</w:t>
      </w:r>
      <w:r>
        <w:rPr>
          <w:rFonts w:hint="eastAsia"/>
          <w:lang w:eastAsia="zh-CN"/>
        </w:rPr>
        <w:t>、</w:t>
      </w:r>
      <w:r>
        <w:t>经授权组建项目部，确定项目部的组织机构，选择聘用管理人员，根据质量/环境/职业健康安全管理体系要求确定管理人员职责，并定期进行考核、评价和奖惩。</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3</w:t>
      </w:r>
      <w:r>
        <w:rPr>
          <w:rFonts w:hint="eastAsia"/>
          <w:lang w:eastAsia="zh-CN"/>
        </w:rPr>
        <w:t>、</w:t>
      </w:r>
      <w:r>
        <w:t>协助公司完成项目的检查、鉴定和评奖申报工作。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4</w:t>
      </w:r>
      <w:r>
        <w:rPr>
          <w:rFonts w:hint="eastAsia"/>
          <w:lang w:eastAsia="zh-CN"/>
        </w:rPr>
        <w:t>、</w:t>
      </w:r>
      <w:r>
        <w:t>负责在本项目内贯彻落实公司质量/环境/职业健康安全方针和总体目标，主持制定项目质量/环境/职业健康安全目标。</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5</w:t>
      </w:r>
      <w:r>
        <w:rPr>
          <w:rFonts w:hint="eastAsia"/>
          <w:lang w:eastAsia="zh-CN"/>
        </w:rPr>
        <w:t>、</w:t>
      </w:r>
      <w:r>
        <w:t>负责对项目实施全过程、全面管理，组织制定项目部的各项管理制度。</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6</w:t>
      </w:r>
      <w:r>
        <w:rPr>
          <w:rFonts w:hint="eastAsia"/>
          <w:lang w:eastAsia="zh-CN"/>
        </w:rPr>
        <w:t>、</w:t>
      </w:r>
      <w:r>
        <w:t>严格履行与采购单位签订的合同和与公司签订的“项目管理目标责任书”并进行阶段性目标控制，确保项目目标的实现。</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7</w:t>
      </w:r>
      <w:r>
        <w:rPr>
          <w:rFonts w:hint="eastAsia"/>
          <w:lang w:eastAsia="zh-CN"/>
        </w:rPr>
        <w:t>、</w:t>
      </w:r>
      <w:r>
        <w:t>负责组织编制项目质量计划、项目管理实施规划，配合采购单位做好货物验收工作。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8</w:t>
      </w:r>
      <w:r>
        <w:rPr>
          <w:rFonts w:hint="eastAsia"/>
          <w:lang w:eastAsia="zh-CN"/>
        </w:rPr>
        <w:t>、</w:t>
      </w:r>
      <w:r>
        <w:t>负责对项目的人力、材料、机械设备、资金、技术、信息等生产要素进行优化配置和动态管理，积极推广和应用新技术、新工艺、新材料。</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9</w:t>
      </w:r>
      <w:r>
        <w:rPr>
          <w:rFonts w:hint="eastAsia"/>
          <w:lang w:eastAsia="zh-CN"/>
        </w:rPr>
        <w:t>、</w:t>
      </w:r>
      <w:r>
        <w:t>严格财务制度，建立成本控制体系，加强成本管理，搞好经济分析与核算。</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10</w:t>
      </w:r>
      <w:r>
        <w:rPr>
          <w:rFonts w:hint="eastAsia"/>
          <w:lang w:eastAsia="zh-CN"/>
        </w:rPr>
        <w:t>、</w:t>
      </w:r>
      <w:r>
        <w:t>积极开展市场调查，主动收集肥料市场信息，参与项目追踪、公关、进行区域性市场开发和本项目后续的滚动开发工作。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11</w:t>
      </w:r>
      <w:r>
        <w:rPr>
          <w:rFonts w:hint="eastAsia"/>
          <w:lang w:eastAsia="zh-CN"/>
        </w:rPr>
        <w:t>、</w:t>
      </w:r>
      <w:r>
        <w:t>做好项目部的思想政治工作。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12</w:t>
      </w:r>
      <w:r>
        <w:rPr>
          <w:rFonts w:hint="eastAsia"/>
          <w:lang w:eastAsia="zh-CN"/>
        </w:rPr>
        <w:t>、</w:t>
      </w:r>
      <w:r>
        <w:t>负责协调处理项目部的内部与外部事项。</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13</w:t>
      </w:r>
      <w:r>
        <w:rPr>
          <w:rFonts w:hint="eastAsia"/>
          <w:lang w:eastAsia="zh-CN"/>
        </w:rPr>
        <w:t>、</w:t>
      </w:r>
      <w:r>
        <w:t>负责开展人员培训工作。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14</w:t>
      </w:r>
      <w:r>
        <w:rPr>
          <w:rFonts w:hint="eastAsia"/>
          <w:lang w:eastAsia="zh-CN"/>
        </w:rPr>
        <w:t>、</w:t>
      </w:r>
      <w:r>
        <w:t>完成领导交办的其他工作。</w:t>
      </w:r>
    </w:p>
    <w:p>
      <w:pPr>
        <w:keepNext w:val="0"/>
        <w:keepLines w:val="0"/>
        <w:pageBreakBefore w:val="0"/>
        <w:kinsoku/>
        <w:wordWrap/>
        <w:overflowPunct/>
        <w:topLinePunct w:val="0"/>
        <w:autoSpaceDE/>
        <w:autoSpaceDN/>
        <w:bidi w:val="0"/>
        <w:adjustRightInd w:val="0"/>
        <w:snapToGrid w:val="0"/>
        <w:spacing w:line="480" w:lineRule="auto"/>
        <w:ind w:firstLine="562" w:firstLineChars="200"/>
        <w:textAlignment w:val="auto"/>
        <w:rPr>
          <w:rFonts w:hint="eastAsia"/>
          <w:b/>
          <w:bCs/>
          <w:lang w:eastAsia="zh-CN"/>
        </w:rPr>
      </w:pPr>
      <w:r>
        <w:rPr>
          <w:rFonts w:hint="eastAsia"/>
          <w:b/>
          <w:bCs/>
          <w:lang w:eastAsia="zh-CN"/>
        </w:rPr>
        <w:t>（</w:t>
      </w:r>
      <w:r>
        <w:rPr>
          <w:rFonts w:hint="eastAsia"/>
          <w:b/>
          <w:bCs/>
          <w:lang w:val="en-US" w:eastAsia="zh-CN"/>
        </w:rPr>
        <w:t>二</w:t>
      </w:r>
      <w:r>
        <w:rPr>
          <w:rFonts w:hint="eastAsia"/>
          <w:b/>
          <w:bCs/>
          <w:lang w:eastAsia="zh-CN"/>
        </w:rPr>
        <w:t>）财务部岗位职责</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1</w:t>
      </w:r>
      <w:r>
        <w:rPr>
          <w:rFonts w:hint="eastAsia"/>
          <w:lang w:eastAsia="zh-CN"/>
        </w:rPr>
        <w:t>、</w:t>
      </w:r>
      <w:r>
        <w:t>财务部经理：</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1）负责日常财务核算管理工作。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2）定期编制和汇总各类财务报表，并提供有关基础财务资料。</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3）定期或不定期编制财务分析报告。</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4）编制年度财务预算，并动态监控预算的执行情况。</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5）组织中期和年度会计查账工作，保证及时公告。</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6）组织协调与税务部门的工作，督促各单位严格遵守国家税法和发票管理的有关规定。</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7）修订和完善各项财务制度及内部规定。</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8）定期检查财务制度建设及执行情况。</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9）监督检查日常会计核算的真实性、准确性，报表反映利润、费用等指标的真实性。</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10）考查资产增减的情况和往来款构成及清理情况等。</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11）完成领导交办的其他工作。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2</w:t>
      </w:r>
      <w:r>
        <w:rPr>
          <w:rFonts w:hint="eastAsia"/>
          <w:lang w:eastAsia="zh-CN"/>
        </w:rPr>
        <w:t>、</w:t>
      </w:r>
      <w:r>
        <w:t>财务部会计：</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1）负责审核和办理相关的财务收支工作。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2）编制记账凭证及会计报表，登记会计账簿等相关事务。</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3）记账、算账、报账要做到手续完备、内容真实、数字准确、账目清楚、按期报送。</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4）妥善保管会计凭证、账簿、报表等资料，做好公司财务文件资料的保密工作。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5）负责对因公报销的费用进行审核，并根据审核后的记账凭证进行登记。</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6）负责纳税申报、税收计算与统计等工作，另外还须编制好纳税相关的报表。</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7）做好固定资产的核查与盘点工作，及时编制各类固定资产账目。</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3</w:t>
      </w:r>
      <w:r>
        <w:rPr>
          <w:rFonts w:hint="eastAsia"/>
          <w:lang w:eastAsia="zh-CN"/>
        </w:rPr>
        <w:t>、</w:t>
      </w:r>
      <w:r>
        <w:t>财务部出纳：</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1）负责票据审核工作。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2）负责员工工资核算、税款的缴纳以及费用报销等工作。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3）根据项目的实际需要提取、送存及保管现金，确保项目运营活动的顺利进行。</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4）依照相关规定，按时办理有关税款的申报缴纳等工作。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5）领导交代的其他事务的处理。</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4</w:t>
      </w:r>
      <w:r>
        <w:rPr>
          <w:rFonts w:hint="eastAsia"/>
          <w:lang w:eastAsia="zh-CN"/>
        </w:rPr>
        <w:t>、</w:t>
      </w:r>
      <w:r>
        <w:t>财务部统计：</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1）负责财税帐的记账凭证编制和报表报送的相关工作。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2）编制公司的政府统计报表。</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3）负责对外部年度财务审计和专项审计的工作。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4）协助会计对项目成本的管控与核算。</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5）完成领导安排的其他工作。</w:t>
      </w:r>
    </w:p>
    <w:p>
      <w:pPr>
        <w:keepNext w:val="0"/>
        <w:keepLines w:val="0"/>
        <w:pageBreakBefore w:val="0"/>
        <w:kinsoku/>
        <w:wordWrap/>
        <w:overflowPunct/>
        <w:topLinePunct w:val="0"/>
        <w:autoSpaceDE/>
        <w:autoSpaceDN/>
        <w:bidi w:val="0"/>
        <w:adjustRightInd w:val="0"/>
        <w:snapToGrid w:val="0"/>
        <w:spacing w:line="480" w:lineRule="auto"/>
        <w:ind w:firstLine="562" w:firstLineChars="200"/>
        <w:textAlignment w:val="auto"/>
        <w:rPr>
          <w:rFonts w:hint="eastAsia"/>
          <w:b/>
          <w:bCs/>
          <w:lang w:eastAsia="zh-CN"/>
        </w:rPr>
      </w:pPr>
      <w:r>
        <w:rPr>
          <w:rFonts w:hint="eastAsia"/>
          <w:b/>
          <w:bCs/>
          <w:lang w:eastAsia="zh-CN"/>
        </w:rPr>
        <w:t>（</w:t>
      </w:r>
      <w:r>
        <w:rPr>
          <w:rFonts w:hint="eastAsia"/>
          <w:b/>
          <w:bCs/>
          <w:lang w:val="en-US" w:eastAsia="zh-CN"/>
        </w:rPr>
        <w:t>三</w:t>
      </w:r>
      <w:r>
        <w:rPr>
          <w:rFonts w:hint="eastAsia"/>
          <w:b/>
          <w:bCs/>
          <w:lang w:eastAsia="zh-CN"/>
        </w:rPr>
        <w:t>）生产部岗位职责</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1</w:t>
      </w:r>
      <w:r>
        <w:rPr>
          <w:rFonts w:hint="eastAsia"/>
          <w:lang w:eastAsia="zh-CN"/>
        </w:rPr>
        <w:t>、</w:t>
      </w:r>
      <w:r>
        <w:t>生产部经理：</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1）全面负责生产部日常行政工作和人员管理工作。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2）负责贯彻实施项目的各项规章制度。</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3）负责保质、保量、按时完成项目肥料生产任务。</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4）负责主持召开项目肥料生产会议。</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5）负责本部门生产方针、目标的分解落实工作。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6）负责项目生产组织和安全环保的管理工作。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7）负责肥料生产组织中规章制度的建立、完善和推进执行工作。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8）负责按“6S”标准进行现场综合管理工作。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9）掌握肥料生产执行情况，为保证生产效率负责。</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10）负责肥料生产作业计划的平衡、编制和执行工作。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11）负责肥料生产完成的统计和分析工作。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12）负责肥料生产作业准备，组织均衡生产。</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13）负责采购方急需肥料的生产组织和保证供货。</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14）负责工序在制品和肥料成品储备的制定、执行和控制工作。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15）负责肥料生产过程的组织、协调和调度工作，处理现场问题。</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16）负责定期将肥料生产工作总结上报项目经理和采购方管理人员。</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17）负责生产部的节能降耗工作及固体废弃物处理的控制工作。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18）负责生产部突发事件的处理。</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19）负责生产部的日常、月度和年度考核和分析工作。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20）保守项目商业秘密，恪守职业道德。</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2</w:t>
      </w:r>
      <w:r>
        <w:rPr>
          <w:rFonts w:hint="eastAsia"/>
          <w:lang w:eastAsia="zh-CN"/>
        </w:rPr>
        <w:t>、</w:t>
      </w:r>
      <w:r>
        <w:t>车间主任：</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1）根据生产部下达的肥料生产计划，制定车间生产任务，合理调度人员，保质保量地按时完成肥料加工生产任务。</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2）加强车间人员安全培训，落实安全措施，及时排除隐患确保职工安全生产。</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3）分配好各岗位生产任务，监督各岗位的工作进度。</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4）及时发现、解决生产中遇到的各种问题，并将生产问题及时总结上报，杜绝以后类似错误发生。</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5）负责提供改进生产流程、生产设备及生产环境的建议并与技术部门及时沟通，确定技术文件、工艺文件及标准的落实。</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6）按“6S”要求，抓好生产现场管理工作。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7）据生产要求，做好物资材料有效分配和使用，保障生产顺利进行。</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8）参加生产例会，与相关部门及时沟通生产情况。</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9）了解职工思想动态，协助解决职工实际困难，稳定队伍。</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10）抓好车间节能降耗工作，生产成本控制机工艺纪律监督落实。</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11）负责对车间员工展开技能培训，提高员工劳动技能。</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12）根据项目质量部门的要求，配合车间质检人员做好员工的质量培训，提高员工的质量意识。</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13）负责部门内生产设备维护及保养的管理工作。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14）负责定期将部门内生产报表及工作总结上报上级领导。</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3</w:t>
      </w:r>
      <w:r>
        <w:rPr>
          <w:rFonts w:hint="eastAsia"/>
          <w:lang w:eastAsia="zh-CN"/>
        </w:rPr>
        <w:t>、</w:t>
      </w:r>
      <w:r>
        <w:t>生产班组长：</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1）在车间主任的指挥领导下，认真做好本班组的日常管理工作。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2）负责本班组的人员、物资、设备等的综合管理，确保生产计划顺利实现。</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3）熟悉产品的生产工艺流程和基本技术特点，具备一定的生产管理、质量管理、生产安全等方面的知识。</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4）依照车间下达的生产计划，合理调度安排本班组的各项生产活动。</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5）监督指导班组员工严格执行质量管理体系的相关规程和要求。</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6）发现生产过程中所存在的问题并及时实施恰当的处理措施。如果遇到自己无法妥善解决的问题时，应当及时向部门主管及时请示汇报。</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7）严格执行项目的生产安全管理制度，不定期地对生产现场进行安全检查，发现安全隐患应及时予以排除。</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8）指导本班组员工正确规范地使用生产设备，负责对相关设备进行日常的维护与保养工作。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9）负责班组员工的日常考核及技术和业务培训工作。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10）监督指导班组员工做好日常的工作开展。</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4</w:t>
      </w:r>
      <w:r>
        <w:rPr>
          <w:rFonts w:hint="eastAsia"/>
          <w:lang w:eastAsia="zh-CN"/>
        </w:rPr>
        <w:t>、</w:t>
      </w:r>
      <w:r>
        <w:t>操作工：</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1）熟悉本岗位的工作要求，熟练掌握本岗位的操作技能和操作方法。</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2）坚决服从车间主任的工作安排，依照指示进行生产，确保肥料的生产进度及产品质量符合公司的要求。</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3）配合质检员处理生产过程中出现的肥料的质量问题。</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4）严格依照岗位操作规范进行操作。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5）正确规范地使用各种生产工具设备，做好相关工具设施的日常维护保养工作。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6）认真做好本岗位的“6S”工作，发现问题应及时向部门负责人进行汇报。</w:t>
      </w:r>
    </w:p>
    <w:p>
      <w:pPr>
        <w:keepNext w:val="0"/>
        <w:keepLines w:val="0"/>
        <w:pageBreakBefore w:val="0"/>
        <w:kinsoku/>
        <w:wordWrap/>
        <w:overflowPunct/>
        <w:topLinePunct w:val="0"/>
        <w:autoSpaceDE/>
        <w:autoSpaceDN/>
        <w:bidi w:val="0"/>
        <w:adjustRightInd w:val="0"/>
        <w:snapToGrid w:val="0"/>
        <w:spacing w:line="480" w:lineRule="auto"/>
        <w:ind w:firstLine="562" w:firstLineChars="200"/>
        <w:textAlignment w:val="auto"/>
        <w:rPr>
          <w:rFonts w:hint="eastAsia"/>
          <w:b/>
          <w:bCs/>
          <w:lang w:eastAsia="zh-CN"/>
        </w:rPr>
      </w:pPr>
      <w:r>
        <w:rPr>
          <w:rFonts w:hint="eastAsia"/>
          <w:b/>
          <w:bCs/>
          <w:lang w:eastAsia="zh-CN"/>
        </w:rPr>
        <w:t>（</w:t>
      </w:r>
      <w:r>
        <w:rPr>
          <w:rFonts w:hint="eastAsia"/>
          <w:b/>
          <w:bCs/>
          <w:lang w:val="en-US" w:eastAsia="zh-CN"/>
        </w:rPr>
        <w:t>四</w:t>
      </w:r>
      <w:r>
        <w:rPr>
          <w:rFonts w:hint="eastAsia"/>
          <w:b/>
          <w:bCs/>
          <w:lang w:eastAsia="zh-CN"/>
        </w:rPr>
        <w:t>）采购部岗位职责</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1</w:t>
      </w:r>
      <w:r>
        <w:rPr>
          <w:rFonts w:hint="eastAsia"/>
          <w:lang w:eastAsia="zh-CN"/>
        </w:rPr>
        <w:t>、</w:t>
      </w:r>
      <w:r>
        <w:t>采购部经理：</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1）在项目经理的直接领导下，负责采购部的日常管理工作。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2）认真做好项目所需的物资材料的采购工作，努力达成项目计划的物料种类、库存要求及利润目标，确保项目各项工作的顺利开展。</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3）熟悉物资的采购业务及其流程，了解项目所需物资的市场供应情况。</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4）依据经营策略与发展方向制定项目物资的采购策略。</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5）审核各部门的采购计划，统筹规划采购工作。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6）组织编制供应商开发计划、整体采购计划等，指导监督各项采购计划的具体执行，确保项目采购计划顺利达成。</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7）指导并监督下属依照采购进程和价格控制要求开展采购活动，确保项目的采购计划顺利完成。</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8）组织制定并监督实施项目的采购预算，控制采购成本。</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9）指导下属开展新供应商的开发，妥善处理公司与供应商的关系。</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10）建立并完善供应商管理体系。</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2</w:t>
      </w:r>
      <w:r>
        <w:rPr>
          <w:rFonts w:hint="eastAsia"/>
          <w:lang w:eastAsia="zh-CN"/>
        </w:rPr>
        <w:t>、</w:t>
      </w:r>
      <w:r>
        <w:t>采购部职员：</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1）在采购部经理的领导下，开展项目物资的采购工作。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2）熟悉采购流程和采购基本知识，了解相关产品的市场信息动态。</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3）对采购的相关物品的市场信息进行收集，提供最佳采购方案。</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4）协助部门领导对主要供应商进行资信调查。</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5）按照制订的采购计划执行物资、材料、设备等具体采购工作。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6）协助相关部门妥善处理采购物品在使用过程中出现的问题。</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7）部门领导指派的其他任务。</w:t>
      </w:r>
    </w:p>
    <w:p>
      <w:pPr>
        <w:keepNext w:val="0"/>
        <w:keepLines w:val="0"/>
        <w:pageBreakBefore w:val="0"/>
        <w:kinsoku/>
        <w:wordWrap/>
        <w:overflowPunct/>
        <w:topLinePunct w:val="0"/>
        <w:autoSpaceDE/>
        <w:autoSpaceDN/>
        <w:bidi w:val="0"/>
        <w:adjustRightInd w:val="0"/>
        <w:snapToGrid w:val="0"/>
        <w:spacing w:line="480" w:lineRule="auto"/>
        <w:ind w:firstLine="562" w:firstLineChars="200"/>
        <w:textAlignment w:val="auto"/>
        <w:rPr>
          <w:rFonts w:hint="eastAsia"/>
          <w:b/>
          <w:bCs/>
          <w:lang w:eastAsia="zh-CN"/>
        </w:rPr>
      </w:pPr>
      <w:r>
        <w:rPr>
          <w:rFonts w:hint="eastAsia"/>
          <w:b/>
          <w:bCs/>
          <w:lang w:eastAsia="zh-CN"/>
        </w:rPr>
        <w:t>（</w:t>
      </w:r>
      <w:r>
        <w:rPr>
          <w:rFonts w:hint="eastAsia"/>
          <w:b/>
          <w:bCs/>
          <w:lang w:val="en-US" w:eastAsia="zh-CN"/>
        </w:rPr>
        <w:t>五</w:t>
      </w:r>
      <w:r>
        <w:rPr>
          <w:rFonts w:hint="eastAsia"/>
          <w:b/>
          <w:bCs/>
          <w:lang w:eastAsia="zh-CN"/>
        </w:rPr>
        <w:t>）质检部岗位职责</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1</w:t>
      </w:r>
      <w:r>
        <w:rPr>
          <w:rFonts w:hint="eastAsia"/>
          <w:lang w:eastAsia="zh-CN"/>
        </w:rPr>
        <w:t>、</w:t>
      </w:r>
      <w:r>
        <w:t>质检部经理：</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1）负责项目质量管理体系的建立和持续改进肥料质量工作。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2）负责项目肥料原材料进货、生产过程以及成品检验三个环节的检验工作。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3）负责项目肥料质量信息反馈的统计分析，及时与上级领导和其他部门沟通。</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4）参与项目内部质量审核，协调和落实纠正，和预防措施，跟踪验证，负责供货方审核验证工作。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5）负责各种肥料质量文件、工艺技术文件的发放管理工作。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6）负责不合格肥料的识别与监督处理，并跟踪不合格品的处理结果，负责纠正预防措施和实施与验证工作。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7）监督肥料的各项检验活动，控制不合格进仓、进厂或用于生产。</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8）对不合格的肥料通知仓储部不准出公司。</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9）定期向质量上级领导反映质量情况，对质量进行全面管理，确保肥料质量长期稳定提高。</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2</w:t>
      </w:r>
      <w:r>
        <w:rPr>
          <w:rFonts w:hint="eastAsia"/>
          <w:lang w:eastAsia="zh-CN"/>
        </w:rPr>
        <w:t>、</w:t>
      </w:r>
      <w:r>
        <w:t>质检员：</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1）严格遵循对于物料及产品质量的相关要求及检验标准，把好品质关。</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2）依照产品工艺文件或合同要求等开展检验，确保做到不合格原材料不投产、不合格在制品不继续生产、不合格产品不出车间。</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3）认真做好原材料的入库检验工作。对于检验结果符合要求的，安排办理相关的入库手续；检验结果如不符合要求的，将不予办理入库手续并及时通知相关部门做好后续的处理工作。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4）积极配合车间做好相关的质量检验工作，及时做好相应的记录工作。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5）检验过程中如发现存在质量问题的，应当及时通知相关人员及相关部门。对于存在的问题比较严重的，必须及时向公司负责人进行汇报。</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6）对于检验过程中发现的不合格品，应当及时做好不合格品的标识工作。同时通知生产车间做好不合格品的记录与分类隔离工作，避免出现混淆。</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7）依照岗位规范要求认真、准确、务实的填写相关表单，力求做到资料及数据的真实、准确、可靠。</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8）认真做好各类质量管理资料的归档管理工作。</w:t>
      </w:r>
    </w:p>
    <w:p>
      <w:pPr>
        <w:keepNext w:val="0"/>
        <w:keepLines w:val="0"/>
        <w:pageBreakBefore w:val="0"/>
        <w:kinsoku/>
        <w:wordWrap/>
        <w:overflowPunct/>
        <w:topLinePunct w:val="0"/>
        <w:autoSpaceDE/>
        <w:autoSpaceDN/>
        <w:bidi w:val="0"/>
        <w:adjustRightInd w:val="0"/>
        <w:snapToGrid w:val="0"/>
        <w:spacing w:line="480" w:lineRule="auto"/>
        <w:ind w:firstLine="562" w:firstLineChars="200"/>
        <w:textAlignment w:val="auto"/>
        <w:rPr>
          <w:rFonts w:hint="eastAsia"/>
          <w:b/>
          <w:bCs/>
          <w:lang w:eastAsia="zh-CN"/>
        </w:rPr>
      </w:pPr>
      <w:r>
        <w:rPr>
          <w:rFonts w:hint="eastAsia"/>
          <w:b/>
          <w:bCs/>
          <w:lang w:eastAsia="zh-CN"/>
        </w:rPr>
        <w:t>（</w:t>
      </w:r>
      <w:r>
        <w:rPr>
          <w:rFonts w:hint="eastAsia"/>
          <w:b/>
          <w:bCs/>
          <w:lang w:val="en-US" w:eastAsia="zh-CN"/>
        </w:rPr>
        <w:t>六</w:t>
      </w:r>
      <w:r>
        <w:rPr>
          <w:rFonts w:hint="eastAsia"/>
          <w:b/>
          <w:bCs/>
          <w:lang w:eastAsia="zh-CN"/>
        </w:rPr>
        <w:t>）仓储部岗位职责</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1</w:t>
      </w:r>
      <w:r>
        <w:rPr>
          <w:rFonts w:hint="eastAsia"/>
          <w:lang w:eastAsia="zh-CN"/>
        </w:rPr>
        <w:t>、</w:t>
      </w:r>
      <w:r>
        <w:t>仓储部经理：</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1）负责仓储部的日常管理工作。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2）负责做好物料及产品的收发管理控制工作。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3）仔细做好原材料和成品的标识与分类工作。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4）合理做好仓库区域的整体规划工作，确保仓库储藏物品的存放整齐有序。</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5）做好物料及产品的出入库记账工作的指导与监督，确保账目与实物相符。</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6）组织做好仓库的安全管理工作，加强日常的安全检查。发现问题或隐患应当及时处理；</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7）熟悉仓库物品的库存情况，及时对库存的呆滞物料向上级领导提出合理的处理意见。</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8）组织做好仓库的“6S”管理工作。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9）仓储部工作人员日常工作开展的指导和监督管理工作。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2</w:t>
      </w:r>
      <w:r>
        <w:rPr>
          <w:rFonts w:hint="eastAsia"/>
          <w:lang w:eastAsia="zh-CN"/>
        </w:rPr>
        <w:t>、</w:t>
      </w:r>
      <w:r>
        <w:t>仓管员：</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1）应按规定严格执行入库手续，物料或成品进仓时，要核实数量、规格、种类是否与货单一致，物料入库时还要核对是否按采购订单的数量和要求的交货日期交货。</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2）入库的物料和成品应分堆放整齐，杜绝不安全因素，并设物料卡，标识清楚。</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3）存货入库后应及时入账，准确登记。</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4）领用物料部门应开具领料单，若需配套领料时，应配套领用，仓管员应按审核无误的领料单和先进先出的原则发料。</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5）成品库须按发货单发货，手续不全不予发货，如遇特殊情况，则须获得公司领导同意后方可发货，事后应补方可发货。</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6）车间领用物料或成品发货后应及时登记有关账卡。</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7）仓管员应坚持日清月结，凭单下账，不跨月记账，按时上交报表，做到账、物、卡一致。</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8）仓管员要定期做好盘点工作，计算仓库内现有的物料种类与数量，掌握和明了库存的实际情况，作为采购或进货的参考，物料经盘点后，若发生实际库存数量与账面结存数量不符，除追查差异的原因外，还要编制盘点损益单，经审批后调整账面数字，使之与实际数字相符。</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9）随时了解仓库的储备情况，有无储备不足或超储积压、呆滞和不需要现象的发生，并及时上报。</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10）定期上报不合格存货资料，并根据有关规定及时处理。</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11）做好防火、防盗、防爆工作并保持库内清洁、整齐、空气流通，定期检查存货、防止存货变质。</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12）严禁在仓库内吸烟、用火和乱接使用电器。</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13）上下班前应做好门、窗、电、水的开关工作。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14）仓管员要按时上下班，遵守公司各项规章制度，如遇突发情况要延长工作时间，仓管人员要无条件服从。</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15）仓管员要立足本职，坚守岗位，熟练业务，具备高度责任感，要乐于听取他人意见或批评，服从领导、以礼待人、热情服务、自觉维护本公司的良好形象和声誉。</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16）要妥善保管好原始凭证，账本以及各类文件，要保守商业秘密，不得擅自将有关文件带出公司。</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17）调动或离职前，首先办理账目移交手续，要求逐项核对点收，如有短缺，必须限期查清，方可移交，移交双方及上级主管人员必须签字确认。</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18）仓管人员如不履行自己的职责，对公司的财产造成损失，公司有权追究其经济责任，情况严重的，应追究其法律责任。</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3</w:t>
      </w:r>
      <w:r>
        <w:rPr>
          <w:rFonts w:hint="eastAsia"/>
          <w:lang w:eastAsia="zh-CN"/>
        </w:rPr>
        <w:t>、</w:t>
      </w:r>
      <w:r>
        <w:t>叉车司机：</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1）严格遵守叉车安全操作规程，确保安全运行，杜绝安全事故的发生。</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2）根据具体装卸要求，安全驾驶叉车对设备进行水平、垂直方向的搬运，指导搬运工将设备堆放到卡板，不得超高超宽。</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3）取、堆垛物料托盘时，应小心谨慎缓慢操作，防止造成托盘或物料的损坏。</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4）慎造成托盘损坏时，若是轻微损伤，应及时修补，减少经济损失，若损伤无法修补的，应按实际损失折价或全额赔偿。</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5）工作时应注意规范操作，驾驶时必须集中精神，不可麻痹大意，多视角观察，确保库区其他作业人员的安全。</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6）叉车启动时，注意观察周围是否有其他车辆、行人或障碍物，转弯时要看倒后镜及观察左右侧的情况，要亮指示灯并鸣喇叭，倒车时应先看倒后镜及回头观察情况，无障碍物始能行驶。</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7）叉车装运的设备不能太高，以免挡住司机的视线，导致事故的发生。</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8）检查并核对出入库产品的品种、规格及数量，确保出入库准确无误，并在规定的时间内完成。</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9）根据叉车日常的保养规定和使用说明，及时的清洁保养叉车及其附属部件，并做好记录。</w:t>
      </w:r>
    </w:p>
    <w:p>
      <w:pPr>
        <w:keepNext w:val="0"/>
        <w:keepLines w:val="0"/>
        <w:pageBreakBefore w:val="0"/>
        <w:kinsoku/>
        <w:wordWrap/>
        <w:overflowPunct/>
        <w:topLinePunct w:val="0"/>
        <w:autoSpaceDE/>
        <w:autoSpaceDN/>
        <w:bidi w:val="0"/>
        <w:adjustRightInd w:val="0"/>
        <w:snapToGrid w:val="0"/>
        <w:spacing w:line="480" w:lineRule="auto"/>
        <w:ind w:firstLine="562" w:firstLineChars="200"/>
        <w:textAlignment w:val="auto"/>
        <w:rPr>
          <w:rFonts w:hint="eastAsia"/>
          <w:b/>
          <w:bCs/>
          <w:lang w:eastAsia="zh-CN"/>
        </w:rPr>
      </w:pPr>
      <w:r>
        <w:rPr>
          <w:rFonts w:hint="eastAsia"/>
          <w:b/>
          <w:bCs/>
          <w:lang w:eastAsia="zh-CN"/>
        </w:rPr>
        <w:t>（</w:t>
      </w:r>
      <w:r>
        <w:rPr>
          <w:rFonts w:hint="eastAsia"/>
          <w:b/>
          <w:bCs/>
          <w:lang w:val="en-US" w:eastAsia="zh-CN"/>
        </w:rPr>
        <w:t>七</w:t>
      </w:r>
      <w:r>
        <w:rPr>
          <w:rFonts w:hint="eastAsia"/>
          <w:b/>
          <w:bCs/>
          <w:lang w:eastAsia="zh-CN"/>
        </w:rPr>
        <w:t>）运输部岗位职责</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1</w:t>
      </w:r>
      <w:r>
        <w:rPr>
          <w:rFonts w:hint="eastAsia"/>
          <w:lang w:eastAsia="zh-CN"/>
        </w:rPr>
        <w:t>、</w:t>
      </w:r>
      <w:r>
        <w:t>运输部经理：</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1）严格贯彻、执行党和国家有关运输的方针、政策和路线，按照行业规定和公司要求，负责项目运输生产的组织、协调、管理和调度指挥工作。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2）极开展运输工作，提倡优质服务，完成各项运输任务。</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3）负责项目运输生产协议的签订并监督执行，领导运输生产的计划统计、收入检查和堵漏补收工作。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4）组织领导运输生产的技术管理、成本管理，组织编制、下达运输生产年度、月度计划。</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5）负责货运组织管理工作，组织制定、修改公司《行车组织规则》。</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6）配合抓好智力和人才开发，加强对运输部人员的思想教育、文化教育和技术业务培训，对改善职工劳动条件和工作环境提出合理的建议。</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7）加强运输车辆的维护和管理，降低运营成本，提高经济效益。</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8）完成上级领导交办的其他工作。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2</w:t>
      </w:r>
      <w:r>
        <w:rPr>
          <w:rFonts w:hint="eastAsia"/>
          <w:lang w:eastAsia="zh-CN"/>
        </w:rPr>
        <w:t>、</w:t>
      </w:r>
      <w:r>
        <w:t>发货主管：</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1）严格执行配送计划，组织、指导有关肥料送达活动。</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2）检查发货过程中肥料丢失及破损情况，并进行问题处理。</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3）全面负责从接收发货单到成品接收并发货的过程控制、货运信息及发货单证管理等工作。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4）评价及选择货运方案、最佳货运路线、方式和最低成本，并提出运输工具及方法的建议。</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5）负责发货员管理，组织、协调、检查发货员日常业务，对发货员的整体工作负责，保证出货装运及其包装符合采购方的要求。</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6）积极配合部门内其他岗位工作，并与销售部积极合作，提高部门运作水平和管理水平。</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7）全面负责第三方物流公司、快递公司和采购方的沟通、谈判和关系维护。</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8）完成上级领导安排的其他临时性的任务。</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3</w:t>
      </w:r>
      <w:r>
        <w:rPr>
          <w:rFonts w:hint="eastAsia"/>
          <w:lang w:eastAsia="zh-CN"/>
        </w:rPr>
        <w:t>、</w:t>
      </w:r>
      <w:r>
        <w:t>发货员：</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1）负责发货前的产品齐套、配件齐套及非标装柜单的配套检查。</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2）将货物贴上发货单或快递单并交给承运人。</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3）负责管理各种运输关系。</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4）跟踪货物运输状况，确保设备按时到达。</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5）检查货物的包装情况，保证包装完好。</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4</w:t>
      </w:r>
      <w:r>
        <w:rPr>
          <w:rFonts w:hint="eastAsia"/>
          <w:lang w:eastAsia="zh-CN"/>
        </w:rPr>
        <w:t>、</w:t>
      </w:r>
      <w:r>
        <w:t>调度员：</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1）负责车辆调度、运输组织工作，按计划完成运输任务。</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2）负责制定并下达装车计划。</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3）与收货方联系，确认前一天装运车辆到达情况，对不能按时到达的车辆查清其原因。</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4）及时与相关单位沟通，做好装、卸车的协调工作。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5）做好肥料库存量、到货情况的统计工作，每月完成本月运输存在情况分析及解决办法。</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5</w:t>
      </w:r>
      <w:r>
        <w:rPr>
          <w:rFonts w:hint="eastAsia"/>
          <w:lang w:eastAsia="zh-CN"/>
        </w:rPr>
        <w:t>、</w:t>
      </w:r>
      <w:r>
        <w:t>统计员：</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1）按时收集有关统计资料，及时、准确呈报各种统计报表。</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2）及时提供、准确分析指标计划的完成情况，当好领导的参谋。</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3）负责物流成品仓每日与财务、仓库发货单据衔接及核对工作。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4）按照上级规定，做好定期报表的布置、检查，做好综合统计分析工作。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5）保管并汇编本单位历史统计资料和原始资料。</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6）完成领导临时交代的工作。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6</w:t>
      </w:r>
      <w:r>
        <w:rPr>
          <w:rFonts w:hint="eastAsia"/>
          <w:lang w:eastAsia="zh-CN"/>
        </w:rPr>
        <w:t>、</w:t>
      </w:r>
      <w:r>
        <w:t>安全员：</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1）掌握车辆动态，及时解决车辆进行中出现的疑难问题和车辆途中抛锚的救援工作，掌握加强员工考勤，按时填报车辆动态日报。</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2）贯彻合理使用车辆、严格执行载重标准和合理拖挂的规定，检查和督促驾驶员做好爱车例行维护工作，及时纠正车辆使用不当、维修不善、违章操作等情况，并报告经理处理。</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3）办理驾驶员交接车辆手续，组织驾驶员及有关人员熟悉本公司运输车辆的构造特点和技术性能。</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4）会同有关人员办理接收新车和车辆调拨、改装、改型、封存、报废等手续，以及车辆年终盘存工作。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5）会同有关人员编报年、季、月度车辆（发动机）大修、维护计划，督促驾驶员按计划规定的日期进行维修。</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6）按时做好防寒、防冻、防滑、预热、保温、防暑降温等准备工作；登记、保管暂时不用的车辆临时装备。</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7）会同有关人员办理车辆年检和安全技术责任事故的分析处理，定期组织评定车辆技术等级，拟定提高车辆技术等级措施，按期做好有关资料的上报工作。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8）了解项目技术经济定额完成情况，参加定额分析会议，研究和制订改进措施。</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7</w:t>
      </w:r>
      <w:r>
        <w:rPr>
          <w:rFonts w:hint="eastAsia"/>
          <w:lang w:eastAsia="zh-CN"/>
        </w:rPr>
        <w:t>、</w:t>
      </w:r>
      <w:r>
        <w:t>驾驶员：</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1）遵守项目的各项规章制度，信守劳动合同，热爱本职工作，努力学习提高驾驶员的思想素质、业务水平、服务态度和操作等技能水平。防范车辆事故的发生，做到爱惜车辆为珍惜自己的生命。</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rPr>
          <w:rFonts w:hint="eastAsia" w:eastAsia="宋体"/>
          <w:lang w:eastAsia="zh-CN"/>
        </w:rPr>
      </w:pPr>
      <w:r>
        <w:rPr>
          <w:rFonts w:hint="eastAsia"/>
        </w:rPr>
        <w:t>（</w:t>
      </w:r>
      <w:r>
        <w:t>2）平时勤学习安全教育，服从领导，团结互助，爱岗位敬业。</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3）服从上级领导安排，积极配合肥料运输工作，及时主动向管理人员汇报出车辆配送运转情况。</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rPr>
          <w:rFonts w:hint="eastAsia" w:eastAsia="宋体"/>
          <w:lang w:eastAsia="zh-CN"/>
        </w:rPr>
      </w:pPr>
      <w:r>
        <w:rPr>
          <w:rFonts w:hint="eastAsia"/>
        </w:rPr>
        <w:t>（</w:t>
      </w:r>
      <w:r>
        <w:t>4）认真做好本职工作，提高操作技能，保持成本意识观念，实事求是。</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rPr>
          <w:rFonts w:hint="eastAsia" w:eastAsia="宋体"/>
          <w:lang w:eastAsia="zh-CN"/>
        </w:rPr>
      </w:pPr>
      <w:r>
        <w:rPr>
          <w:rFonts w:hint="eastAsia"/>
        </w:rPr>
        <w:t>（</w:t>
      </w:r>
      <w:r>
        <w:t>5）不得随意将车转借他人驾驶，不准公车私用，特殊情况要由上级领导批准。</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rPr>
          <w:rFonts w:hint="eastAsia" w:eastAsia="宋体"/>
          <w:lang w:eastAsia="zh-CN"/>
        </w:rPr>
      </w:pPr>
      <w:r>
        <w:rPr>
          <w:rFonts w:hint="eastAsia"/>
        </w:rPr>
        <w:t>（</w:t>
      </w:r>
      <w:r>
        <w:t>6）出车前实施出车前准备，检查车辆刹车，轮胎气压，机油，燃油，水是否正常，零件是否齐备，保证车辆安全。</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rPr>
          <w:rFonts w:hint="eastAsia" w:eastAsia="宋体"/>
          <w:lang w:eastAsia="zh-CN"/>
        </w:rPr>
      </w:pPr>
      <w:r>
        <w:rPr>
          <w:rFonts w:hint="eastAsia"/>
        </w:rPr>
        <w:t>（</w:t>
      </w:r>
      <w:r>
        <w:t>7）遵守交通规则，注意行车安全，节约燃料，圆满完成肥料运输任务。</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rPr>
          <w:rFonts w:hint="eastAsia" w:eastAsia="宋体"/>
          <w:lang w:eastAsia="zh-CN"/>
        </w:rPr>
      </w:pPr>
      <w:r>
        <w:rPr>
          <w:rFonts w:hint="eastAsia"/>
        </w:rPr>
        <w:t>（</w:t>
      </w:r>
      <w:r>
        <w:t>8）依据驾驶员应知应会，及时分析排除故障，对复杂故障通报有关人员，并提出排除意见及时处理，保障车辆安全正常行驶。</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9）依据车辆保养制度，对车辆运行前后实施维护保养，行驶中注意和观察仪表是否正常，对异常部位及时调整和故障排除。驾驶员如果人为造成车辆损坏及伤及他人和物件根据情节轻重公司将做出相应处罚。</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10）完成领导安排的其他工作。</w:t>
      </w:r>
    </w:p>
    <w:p>
      <w:pPr>
        <w:keepNext w:val="0"/>
        <w:keepLines w:val="0"/>
        <w:pageBreakBefore w:val="0"/>
        <w:kinsoku/>
        <w:wordWrap/>
        <w:overflowPunct/>
        <w:topLinePunct w:val="0"/>
        <w:autoSpaceDE/>
        <w:autoSpaceDN/>
        <w:bidi w:val="0"/>
        <w:adjustRightInd w:val="0"/>
        <w:snapToGrid w:val="0"/>
        <w:spacing w:line="480" w:lineRule="auto"/>
        <w:ind w:firstLine="562" w:firstLineChars="200"/>
        <w:textAlignment w:val="auto"/>
        <w:rPr>
          <w:rFonts w:hint="eastAsia"/>
          <w:b/>
          <w:bCs/>
          <w:lang w:eastAsia="zh-CN"/>
        </w:rPr>
      </w:pPr>
      <w:r>
        <w:rPr>
          <w:rFonts w:hint="eastAsia"/>
          <w:b/>
          <w:bCs/>
          <w:lang w:eastAsia="zh-CN"/>
        </w:rPr>
        <w:t>（</w:t>
      </w:r>
      <w:r>
        <w:rPr>
          <w:rFonts w:hint="eastAsia"/>
          <w:b/>
          <w:bCs/>
          <w:lang w:val="en-US" w:eastAsia="zh-CN"/>
        </w:rPr>
        <w:t>八</w:t>
      </w:r>
      <w:r>
        <w:rPr>
          <w:rFonts w:hint="eastAsia"/>
          <w:b/>
          <w:bCs/>
          <w:lang w:eastAsia="zh-CN"/>
        </w:rPr>
        <w:t>）技术部岗位职责</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1</w:t>
      </w:r>
      <w:r>
        <w:rPr>
          <w:rFonts w:hint="eastAsia"/>
          <w:lang w:eastAsia="zh-CN"/>
        </w:rPr>
        <w:t>、</w:t>
      </w:r>
      <w:r>
        <w:t>技术部经理：</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1）合理安排技术部人员的工作，了解技术人员的工作能力和特长，合理安排其能够胜任的工作，并根据个人能力随时调换岗位。</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2）召开技术部内部会议，传达会议精神，了解各员工的工作情况，交换看法，沟通思想。</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3）牵头组织项目质量方面管理工作。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4）负责项目质量管理体系的管理工作。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5）负责项目技术部文件的指导编制工作。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6）负责项目技术部一般技术质量文件的签发工作。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7）积极对外联系，适时掌握相关的技术质量信息。</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2</w:t>
      </w:r>
      <w:r>
        <w:rPr>
          <w:rFonts w:hint="eastAsia"/>
          <w:lang w:eastAsia="zh-CN"/>
        </w:rPr>
        <w:t>、</w:t>
      </w:r>
      <w:r>
        <w:t>技术员：</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1）配合其他部门处理相关技术问题。</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2）积极参与学习培训，不断提高技术水平。</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3）做好产品研发设计资料的整理归档工作，严守技术机密，杜绝出现技术资料流失的情况。</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4）完成部门经理布置的其他工作任务。</w:t>
      </w:r>
    </w:p>
    <w:p>
      <w:pPr>
        <w:keepNext w:val="0"/>
        <w:keepLines w:val="0"/>
        <w:pageBreakBefore w:val="0"/>
        <w:kinsoku/>
        <w:wordWrap/>
        <w:overflowPunct/>
        <w:topLinePunct w:val="0"/>
        <w:autoSpaceDE/>
        <w:autoSpaceDN/>
        <w:bidi w:val="0"/>
        <w:adjustRightInd w:val="0"/>
        <w:snapToGrid w:val="0"/>
        <w:spacing w:line="480" w:lineRule="auto"/>
        <w:ind w:firstLine="562" w:firstLineChars="200"/>
        <w:textAlignment w:val="auto"/>
        <w:rPr>
          <w:rFonts w:hint="eastAsia"/>
          <w:b/>
          <w:bCs/>
          <w:lang w:eastAsia="zh-CN"/>
        </w:rPr>
      </w:pPr>
      <w:r>
        <w:rPr>
          <w:rFonts w:hint="eastAsia"/>
          <w:b/>
          <w:bCs/>
          <w:lang w:eastAsia="zh-CN"/>
        </w:rPr>
        <w:t>（</w:t>
      </w:r>
      <w:r>
        <w:rPr>
          <w:rFonts w:hint="eastAsia"/>
          <w:b/>
          <w:bCs/>
          <w:lang w:val="en-US" w:eastAsia="zh-CN"/>
        </w:rPr>
        <w:t>九</w:t>
      </w:r>
      <w:r>
        <w:rPr>
          <w:rFonts w:hint="eastAsia"/>
          <w:b/>
          <w:bCs/>
          <w:lang w:eastAsia="zh-CN"/>
        </w:rPr>
        <w:t>）售后服务部岗位职责</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1</w:t>
      </w:r>
      <w:r>
        <w:rPr>
          <w:rFonts w:hint="eastAsia"/>
          <w:lang w:eastAsia="zh-CN"/>
        </w:rPr>
        <w:t>、</w:t>
      </w:r>
      <w:r>
        <w:t>售后服务部经理：</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1）制定售后服务管理制度和业务流程工作标准。</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2）制定售后服务工作计划，保证售后服务月度和年度经营指标的完成。</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3）售后服务部日常的协调管理。</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4）处理用户投诉。</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5）制定售后服务部内训计划并组织实施。</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6）售后服务部全体员工的月度和年度考核。</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2</w:t>
      </w:r>
      <w:r>
        <w:rPr>
          <w:rFonts w:hint="eastAsia"/>
          <w:lang w:eastAsia="zh-CN"/>
        </w:rPr>
        <w:t>、</w:t>
      </w:r>
      <w:r>
        <w:t>客服：</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1）搜集所有与客户有关的资料，以便根据信息及时作出相关处理，并进行存档备案。</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2）指导客户肥料使用技术及注意事项等相关事宜。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3）与其他部门协调，定期拜访客户，了解客户的使用情况和新的要求，并做好客户拜访记录表。</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4）与客户交流时应热情亲切，细心了发生问题时的状况，并提出解决方法。</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5）接到客户售后服务需求电话后，要做好信息登记工作。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6）每一次售后服务都要有详细的售后记录，记录必须按月整理成册交财务部存档。</w:t>
      </w:r>
    </w:p>
    <w:p>
      <w:pPr>
        <w:keepNext w:val="0"/>
        <w:keepLines w:val="0"/>
        <w:pageBreakBefore w:val="0"/>
        <w:kinsoku/>
        <w:wordWrap/>
        <w:overflowPunct/>
        <w:topLinePunct w:val="0"/>
        <w:autoSpaceDE/>
        <w:autoSpaceDN/>
        <w:bidi w:val="0"/>
        <w:adjustRightInd w:val="0"/>
        <w:snapToGrid w:val="0"/>
        <w:spacing w:line="480" w:lineRule="auto"/>
        <w:ind w:firstLine="562" w:firstLineChars="200"/>
        <w:textAlignment w:val="auto"/>
        <w:rPr>
          <w:rFonts w:hint="eastAsia"/>
          <w:b/>
          <w:bCs/>
          <w:lang w:eastAsia="zh-CN"/>
        </w:rPr>
      </w:pPr>
      <w:r>
        <w:rPr>
          <w:rFonts w:hint="eastAsia"/>
          <w:b/>
          <w:bCs/>
          <w:lang w:eastAsia="zh-CN"/>
        </w:rPr>
        <w:t>（</w:t>
      </w:r>
      <w:r>
        <w:rPr>
          <w:rFonts w:hint="eastAsia"/>
          <w:b/>
          <w:bCs/>
          <w:lang w:val="en-US" w:eastAsia="zh-CN"/>
        </w:rPr>
        <w:t>十</w:t>
      </w:r>
      <w:r>
        <w:rPr>
          <w:rFonts w:hint="eastAsia"/>
          <w:b/>
          <w:bCs/>
          <w:lang w:eastAsia="zh-CN"/>
        </w:rPr>
        <w:t>）综合管理部岗位职责</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1</w:t>
      </w:r>
      <w:r>
        <w:rPr>
          <w:rFonts w:hint="eastAsia"/>
          <w:lang w:eastAsia="zh-CN"/>
        </w:rPr>
        <w:t>、</w:t>
      </w:r>
      <w:r>
        <w:t>人力资源专员：</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1）做好人员的招聘工作（统计各部门的用人招聘需求，经项目经理审核同意后实施开展人员的招聘）。</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2）员工的入职、离职的管理及员工关系的处理。</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3）后勤物资的保管及物资申领工作的管理。</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4）社保办理及工伤的处理。</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5）员工的日常考勤管理。</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6）车辆的派车安排及管理。</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7）门禁卡及考勤卡的制作与发放。</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8）主管交代的其他事务。</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2</w:t>
      </w:r>
      <w:r>
        <w:rPr>
          <w:rFonts w:hint="eastAsia"/>
          <w:lang w:eastAsia="zh-CN"/>
        </w:rPr>
        <w:t>、</w:t>
      </w:r>
      <w:r>
        <w:t>行政专员：</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1）规章制度的制定及修改。</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2）负责起草项目的相关通知、合同、计划报告总结等文件资料。</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3）文档资料的整理归档。</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4）日常行政事务的开展实施。</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5）人员的培训工作以及会议的会议记录工作。</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7）项目规章制度施行的监督和管理。</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8）各部门办公秩序和工作纪律状况的监督和维护。</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9）主管交代的其他事务。</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t>3</w:t>
      </w:r>
      <w:r>
        <w:rPr>
          <w:rFonts w:hint="eastAsia"/>
          <w:lang w:eastAsia="zh-CN"/>
        </w:rPr>
        <w:t>、</w:t>
      </w:r>
      <w:r>
        <w:t>档案管理人员：</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1）在综合管理部的领导下负责档案整理、编目、鉴定、统计、排列和检索工作编制等工作，严格按照档案管理制度的要求管理档案管理室。</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2）负责档案管理制度规定的各项档案的收进和移出工作，严格履行交接手续，准确掌握室内档案全宗、案卷数量及档案的保管期限等。</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3）负责档案管理室内部整理，档案装具和案卷排放整齐、科学有序，保证库内无灰尘，整洁美观。</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4）检查档案安全保管情况，发现对档案有害因素时，要及时上报采取措施。认真做好“七防”工作（防尘、防光、防潮、防火、防盗、防高温、防虫蛀），做到以防为主，防治结合，保证档案的完整与安全。</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5）明确档案利用工作的目的，积极主动地做好接待工作，不断提高服务质量。</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6）正确处理好利用和保密的关系，增强保密观念，严守项目机密，严格执行借阅、查阅登记制度。</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7）负责档案、资料调借工作，做到提供准确、及时主动。用后及时清洁，按时入室归位。</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8）应用电子计算机编目检索、存贮及调用档案；利用裱糊及复印技术，掌握对纸张破损、字迹褪变、扩散的现行档案进行抢救的方法。严禁出现以下行为：</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①毁损、丢失或私自烧毁项目档案。</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②私自向外界提供、抄摘项目档案。</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③涂改、伪造档案。</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④未及时上报归档或管理不善的档案管理者。</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⑤未按手续进行借阅、外带者或越级查阅者（档案管理者同罚）。</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9）负责档案、资料利用效果的信息反馈工作，收集利用典型事例，年终写出利用分析综合报告，及实例选编。</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10）完成领导交办的临时性工作任务。</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11）年末认真总结本岗位工作及制订下年工作计划，写出书面材料。</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12）负责项目档案的收集、整理、保管、鉴定、统计和提供利用的工作人员。</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13）严格执行档案借阅制度，档案内容一律不得外传。</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14）文件、档案、资料要专人、专柜保管，离开档案室要随手关灯、关窗、关门，钥匙随身携带，安全意识强。</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15）档案主要供应本校使用，如外单位需要查阅、利用档案资料，须经领导批准同意。经同意借阅的档案，必须由借阅人严格保管，防止遗失和泄密，阅后必须及时归还给档案保管员。</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16）档案库房是保管档案的机要重地，非档案管理人员未经许可一律不得进入库房。</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17）要定期或不定期地进行保密情况检查，如发现有泄密情况，要及时报告有关部门和领导，积极采取有效措施。</w:t>
      </w:r>
    </w:p>
    <w:p>
      <w:pPr>
        <w:keepNext w:val="0"/>
        <w:keepLines w:val="0"/>
        <w:pageBreakBefore w:val="0"/>
        <w:kinsoku/>
        <w:wordWrap/>
        <w:overflowPunct/>
        <w:topLinePunct w:val="0"/>
        <w:autoSpaceDE/>
        <w:autoSpaceDN/>
        <w:bidi w:val="0"/>
        <w:adjustRightInd w:val="0"/>
        <w:snapToGrid w:val="0"/>
        <w:spacing w:line="480" w:lineRule="auto"/>
        <w:ind w:firstLine="560" w:firstLineChars="200"/>
        <w:textAlignment w:val="auto"/>
      </w:pPr>
      <w:r>
        <w:rPr>
          <w:rFonts w:hint="eastAsia"/>
        </w:rPr>
        <w:t>（</w:t>
      </w:r>
      <w:r>
        <w:t>18）在库房内不得存放易燃品和私人物品，严禁吸烟。做好通风、降湿、防火、防盗和卫生工作。</w:t>
      </w:r>
    </w:p>
    <w:p>
      <w:pPr>
        <w:widowControl/>
        <w:spacing w:before="0" w:after="0" w:line="240" w:lineRule="auto"/>
        <w:ind w:firstLine="0" w:firstLineChars="0"/>
        <w:jc w:val="left"/>
      </w:pPr>
      <w:r>
        <w:br w:type="page"/>
      </w:r>
    </w:p>
    <w:p>
      <w:pPr>
        <w:pStyle w:val="5"/>
        <w:bidi w:val="0"/>
      </w:pPr>
      <w:bookmarkStart w:id="342" w:name="_Ref118206702"/>
      <w:bookmarkStart w:id="343" w:name="_Toc116121486"/>
      <w:bookmarkStart w:id="344" w:name="_Ref118206700"/>
      <w:bookmarkStart w:id="345" w:name="_Toc118293245"/>
      <w:bookmarkStart w:id="346" w:name="_Toc15189"/>
      <w:bookmarkStart w:id="347" w:name="_Ref118206709"/>
      <w:bookmarkStart w:id="348" w:name="_Toc118223549"/>
      <w:r>
        <w:rPr>
          <w:rFonts w:hint="eastAsia"/>
          <w:lang w:val="en-US" w:eastAsia="zh-CN"/>
        </w:rPr>
        <w:t>五、</w:t>
      </w:r>
      <w:r>
        <w:rPr>
          <w:rFonts w:hint="eastAsia"/>
        </w:rPr>
        <w:t>拟配备的技术人员更换的违约处罚措施</w:t>
      </w:r>
      <w:bookmarkEnd w:id="342"/>
      <w:bookmarkEnd w:id="343"/>
      <w:bookmarkEnd w:id="344"/>
      <w:bookmarkEnd w:id="345"/>
      <w:bookmarkEnd w:id="346"/>
      <w:bookmarkEnd w:id="347"/>
      <w:bookmarkEnd w:id="348"/>
    </w:p>
    <w:p>
      <w:pPr>
        <w:ind w:firstLine="480"/>
      </w:pPr>
      <w:r>
        <w:rPr>
          <w:rFonts w:hint="eastAsia"/>
        </w:rPr>
        <w:t>如若中标，我公司保证投标所报的全部技术和管理人员均为我公司员工，全部全职投入本项目工作，不出现兼职情况，我公司承诺，如果所派技术人员在规定时间内全部及时到位，或未经招标人同意缺位超过</w:t>
      </w:r>
      <w:r>
        <w:t>24小时，或更换技术人员的（无论何种原因，无论是否获得招标人同意）或因招标人发现有兼职情况而要求更换项目经理及主要人员的，我公司愿意承担合同条款规定的全部责任，并对违约罚款金额承诺如下：</w:t>
      </w:r>
    </w:p>
    <w:tbl>
      <w:tblPr>
        <w:tblStyle w:val="33"/>
        <w:tblW w:w="8190" w:type="dxa"/>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75"/>
        <w:gridCol w:w="5120"/>
        <w:gridCol w:w="2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530" w:type="dxa"/>
            <w:vAlign w:val="center"/>
          </w:tcPr>
          <w:p>
            <w:pPr>
              <w:pStyle w:val="53"/>
            </w:pPr>
            <w:r>
              <w:t>序号</w:t>
            </w:r>
          </w:p>
        </w:tc>
        <w:tc>
          <w:tcPr>
            <w:tcW w:w="5090" w:type="dxa"/>
            <w:vAlign w:val="center"/>
          </w:tcPr>
          <w:p>
            <w:pPr>
              <w:pStyle w:val="53"/>
            </w:pPr>
            <w:r>
              <w:t>违约说明</w:t>
            </w:r>
          </w:p>
        </w:tc>
        <w:tc>
          <w:tcPr>
            <w:tcW w:w="2450" w:type="dxa"/>
            <w:vAlign w:val="center"/>
          </w:tcPr>
          <w:p>
            <w:pPr>
              <w:pStyle w:val="53"/>
            </w:pPr>
            <w:r>
              <w:t>违约金额（人民币元）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530" w:type="dxa"/>
            <w:vAlign w:val="center"/>
          </w:tcPr>
          <w:p>
            <w:pPr>
              <w:pStyle w:val="53"/>
            </w:pPr>
            <w:r>
              <w:t>1</w:t>
            </w:r>
          </w:p>
        </w:tc>
        <w:tc>
          <w:tcPr>
            <w:tcW w:w="5090" w:type="dxa"/>
            <w:vAlign w:val="center"/>
          </w:tcPr>
          <w:p>
            <w:pPr>
              <w:pStyle w:val="53"/>
            </w:pPr>
            <w:r>
              <w:t>更换项目经理、技术负责人</w:t>
            </w:r>
          </w:p>
        </w:tc>
        <w:tc>
          <w:tcPr>
            <w:tcW w:w="2450" w:type="dxa"/>
            <w:vAlign w:val="center"/>
          </w:tcPr>
          <w:p>
            <w:pPr>
              <w:pStyle w:val="53"/>
            </w:pPr>
            <w:r>
              <w:t>10000元/人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530" w:type="dxa"/>
            <w:vMerge w:val="restart"/>
            <w:vAlign w:val="center"/>
          </w:tcPr>
          <w:p>
            <w:pPr>
              <w:pStyle w:val="53"/>
            </w:pPr>
            <w:r>
              <w:t>2</w:t>
            </w:r>
          </w:p>
        </w:tc>
        <w:tc>
          <w:tcPr>
            <w:tcW w:w="5090" w:type="dxa"/>
            <w:vAlign w:val="center"/>
          </w:tcPr>
          <w:p>
            <w:pPr>
              <w:pStyle w:val="53"/>
            </w:pPr>
            <w:r>
              <w:t>项目经理岗位空缺或未到位</w:t>
            </w:r>
          </w:p>
        </w:tc>
        <w:tc>
          <w:tcPr>
            <w:tcW w:w="2450" w:type="dxa"/>
            <w:vAlign w:val="center"/>
          </w:tcPr>
          <w:p>
            <w:pPr>
              <w:pStyle w:val="53"/>
            </w:pPr>
            <w:r>
              <w:t>1000元/人·天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530" w:type="dxa"/>
            <w:vMerge w:val="continue"/>
            <w:vAlign w:val="center"/>
          </w:tcPr>
          <w:p>
            <w:pPr>
              <w:pStyle w:val="53"/>
            </w:pPr>
          </w:p>
        </w:tc>
        <w:tc>
          <w:tcPr>
            <w:tcW w:w="5090" w:type="dxa"/>
            <w:vAlign w:val="center"/>
          </w:tcPr>
          <w:p>
            <w:pPr>
              <w:pStyle w:val="53"/>
            </w:pPr>
            <w:r>
              <w:t>项目技术负责人岗位空缺或未到位</w:t>
            </w:r>
          </w:p>
        </w:tc>
        <w:tc>
          <w:tcPr>
            <w:tcW w:w="2450" w:type="dxa"/>
            <w:vAlign w:val="center"/>
          </w:tcPr>
          <w:p>
            <w:pPr>
              <w:pStyle w:val="53"/>
            </w:pPr>
            <w:r>
              <w:t>1000元/人·天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530" w:type="dxa"/>
            <w:vMerge w:val="continue"/>
            <w:vAlign w:val="center"/>
          </w:tcPr>
          <w:p>
            <w:pPr>
              <w:pStyle w:val="53"/>
            </w:pPr>
          </w:p>
        </w:tc>
        <w:tc>
          <w:tcPr>
            <w:tcW w:w="5090" w:type="dxa"/>
            <w:vAlign w:val="center"/>
          </w:tcPr>
          <w:p>
            <w:pPr>
              <w:pStyle w:val="53"/>
            </w:pPr>
            <w:r>
              <w:t>其他主要施工管理及技术人员岗位空缺或未到位</w:t>
            </w:r>
          </w:p>
        </w:tc>
        <w:tc>
          <w:tcPr>
            <w:tcW w:w="2450" w:type="dxa"/>
            <w:vAlign w:val="center"/>
          </w:tcPr>
          <w:p>
            <w:pPr>
              <w:pStyle w:val="53"/>
            </w:pPr>
            <w:r>
              <w:t>500元/人·天</w:t>
            </w:r>
          </w:p>
        </w:tc>
      </w:tr>
    </w:tbl>
    <w:p>
      <w:pPr>
        <w:ind w:firstLine="480"/>
      </w:pPr>
      <w:r>
        <w:rPr>
          <w:rFonts w:hint="eastAsia"/>
        </w:rPr>
        <w:t>如果我公司的实际投入情况不满足投标文件的承诺，我公司愿意无条件接受合同条款的处罚，并为此承担赔偿及法律责任。</w:t>
      </w:r>
    </w:p>
    <w:p>
      <w:pPr>
        <w:rPr>
          <w:rFonts w:hint="eastAsia"/>
          <w:lang w:val="en-US" w:eastAsia="zh-CN"/>
        </w:rPr>
      </w:pPr>
      <w:bookmarkStart w:id="349" w:name="_Ref118206728"/>
      <w:bookmarkStart w:id="350" w:name="_Toc118293246"/>
      <w:bookmarkStart w:id="351" w:name="_Toc115429278"/>
      <w:bookmarkStart w:id="352" w:name="_Ref118206734"/>
      <w:bookmarkStart w:id="353" w:name="_Toc118223550"/>
      <w:bookmarkStart w:id="354" w:name="_Ref118206725"/>
      <w:r>
        <w:rPr>
          <w:rFonts w:hint="eastAsia"/>
          <w:lang w:val="en-US" w:eastAsia="zh-CN"/>
        </w:rPr>
        <w:br w:type="page"/>
      </w:r>
    </w:p>
    <w:p>
      <w:pPr>
        <w:pStyle w:val="5"/>
        <w:bidi w:val="0"/>
      </w:pPr>
      <w:bookmarkStart w:id="355" w:name="_Toc7083"/>
      <w:r>
        <w:rPr>
          <w:rFonts w:hint="eastAsia"/>
          <w:lang w:val="en-US" w:eastAsia="zh-CN"/>
        </w:rPr>
        <w:t>六、</w:t>
      </w:r>
      <w:r>
        <w:t>备品、备货措施</w:t>
      </w:r>
      <w:bookmarkEnd w:id="349"/>
      <w:bookmarkEnd w:id="350"/>
      <w:bookmarkEnd w:id="351"/>
      <w:bookmarkEnd w:id="352"/>
      <w:bookmarkEnd w:id="353"/>
      <w:bookmarkEnd w:id="354"/>
      <w:bookmarkEnd w:id="355"/>
    </w:p>
    <w:p>
      <w:pPr>
        <w:pStyle w:val="6"/>
        <w:bidi w:val="0"/>
        <w:rPr>
          <w:rFonts w:hint="eastAsia"/>
          <w:lang w:val="en-US" w:eastAsia="zh-CN"/>
        </w:rPr>
      </w:pPr>
      <w:bookmarkStart w:id="356" w:name="_Toc32179"/>
      <w:r>
        <w:rPr>
          <w:rFonts w:hint="eastAsia"/>
          <w:lang w:val="en-US" w:eastAsia="zh-CN"/>
        </w:rPr>
        <w:t>（一）售后供货数量发生变化的备货措施</w:t>
      </w:r>
      <w:bookmarkEnd w:id="356"/>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lang w:eastAsia="zh-CN"/>
        </w:rPr>
        <w:t>（</w:t>
      </w:r>
      <w:r>
        <w:rPr>
          <w:rFonts w:hint="eastAsia"/>
          <w:lang w:val="en-US" w:eastAsia="zh-CN"/>
        </w:rPr>
        <w:t>一</w:t>
      </w:r>
      <w:r>
        <w:rPr>
          <w:rFonts w:hint="eastAsia"/>
          <w:lang w:eastAsia="zh-CN"/>
        </w:rPr>
        <w:t>）</w:t>
      </w:r>
      <w:r>
        <w:t>如因需要，供货量变化超出暂定供货量的10%时，甲方以书面通知我方，此项通知甲方应充分考虑我方的合理备料和加工周期，具体增减数量以甲方书面通知为准。</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lang w:eastAsia="zh-CN"/>
        </w:rPr>
        <w:t>（</w:t>
      </w:r>
      <w:r>
        <w:rPr>
          <w:rFonts w:hint="eastAsia"/>
          <w:lang w:val="en-US" w:eastAsia="zh-CN"/>
        </w:rPr>
        <w:t>二</w:t>
      </w:r>
      <w:r>
        <w:rPr>
          <w:rFonts w:hint="eastAsia"/>
          <w:lang w:eastAsia="zh-CN"/>
        </w:rPr>
        <w:t>）</w:t>
      </w:r>
      <w:r>
        <w:t>因甲方要求的产品加工方式及原材料品种变更而引起变更产品（即合同中约定的产品）供货期由我方、甲、丙方另行协商确定，且供货不得影响相应进度。</w:t>
      </w:r>
    </w:p>
    <w:p>
      <w:pPr>
        <w:pStyle w:val="6"/>
        <w:bidi w:val="0"/>
        <w:rPr>
          <w:rFonts w:hint="eastAsia"/>
          <w:lang w:val="en-US" w:eastAsia="zh-CN"/>
        </w:rPr>
      </w:pPr>
      <w:bookmarkStart w:id="357" w:name="_Toc3567"/>
      <w:r>
        <w:rPr>
          <w:rFonts w:hint="eastAsia"/>
          <w:lang w:val="en-US" w:eastAsia="zh-CN"/>
        </w:rPr>
        <w:t>（二）售后遇有紧急情况的备货措施</w:t>
      </w:r>
      <w:bookmarkEnd w:id="357"/>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rPr>
        <w:t>售后遇有紧急情况，我公司在接到通知或订单时，第一时间启动应急方案，立即报告公司领导，组织相关部门进行评审，及时组织相关原材料，下发紧急订单到相关部门组织生产，一般情况下</w:t>
      </w:r>
      <w:r>
        <w:t>3天内可将货物送到客户指定的地点。</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lang w:eastAsia="zh-CN"/>
        </w:rPr>
        <w:t>（</w:t>
      </w:r>
      <w:r>
        <w:rPr>
          <w:rFonts w:hint="eastAsia"/>
          <w:lang w:val="en-US" w:eastAsia="zh-CN"/>
        </w:rPr>
        <w:t>一</w:t>
      </w:r>
      <w:r>
        <w:rPr>
          <w:rFonts w:hint="eastAsia"/>
          <w:lang w:eastAsia="zh-CN"/>
        </w:rPr>
        <w:t>）</w:t>
      </w:r>
      <w:r>
        <w:t>物资供应部自接到紧急订单时，及时了解材料库存情况，根据库存情况立即调配各种原辅材料。经常供应的客户，一般情况下我公司会根据各个客户生产情况备有一定库存量的原辅材料，如果库存量不够或没有的情况下，我公司物资供应部会根据实际情况及时下达紧急供货通知单到相应的生产厂家，及时保证客户紧急订单的需求。</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lang w:eastAsia="zh-CN"/>
        </w:rPr>
        <w:t>（</w:t>
      </w:r>
      <w:r>
        <w:rPr>
          <w:rFonts w:hint="eastAsia"/>
          <w:lang w:val="en-US" w:eastAsia="zh-CN"/>
        </w:rPr>
        <w:t>二</w:t>
      </w:r>
      <w:r>
        <w:rPr>
          <w:rFonts w:hint="eastAsia"/>
          <w:lang w:eastAsia="zh-CN"/>
        </w:rPr>
        <w:t>）</w:t>
      </w:r>
      <w:r>
        <w:t>生产部自接到紧急订单任务时，立即下达紧急生产通知单到相应生产车间，车间负责人根据订单要求及时调整生产机台数量，组织相关人员进生生产，车间负责人会根据实际情况，实行3天24小时生产制来完成订单任务。经常供应的客户，一般情况下我公司会根据各个客户生产情况备有一定库存量的产品。</w:t>
      </w:r>
    </w:p>
    <w:p>
      <w:pPr>
        <w:pStyle w:val="6"/>
        <w:bidi w:val="0"/>
        <w:rPr>
          <w:rFonts w:hint="eastAsia"/>
        </w:rPr>
      </w:pPr>
      <w:bookmarkStart w:id="358" w:name="_Toc15342"/>
      <w:r>
        <w:rPr>
          <w:rFonts w:hint="eastAsia"/>
          <w:lang w:val="en-US" w:eastAsia="zh-CN"/>
        </w:rPr>
        <w:t>（三）</w:t>
      </w:r>
      <w:r>
        <w:rPr>
          <w:rFonts w:hint="eastAsia"/>
        </w:rPr>
        <w:t>紧急运输响应速度</w:t>
      </w:r>
      <w:bookmarkEnd w:id="358"/>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rPr>
        <w:t>我公司目前与多家物流公司均建立有良好的合作关系，可全天候调运车辆，可充分保证客户的需要。一般情况下</w:t>
      </w:r>
      <w:r>
        <w:t>24小时内可将货物送到客户指定的地点。</w:t>
      </w:r>
    </w:p>
    <w:p>
      <w:pPr>
        <w:pStyle w:val="6"/>
        <w:bidi w:val="0"/>
      </w:pPr>
      <w:bookmarkStart w:id="359" w:name="_Toc20683"/>
      <w:r>
        <w:rPr>
          <w:rFonts w:hint="eastAsia"/>
          <w:lang w:val="en-US" w:eastAsia="zh-CN"/>
        </w:rPr>
        <w:t>（四）</w:t>
      </w:r>
      <w:r>
        <w:rPr>
          <w:rFonts w:hint="eastAsia"/>
        </w:rPr>
        <w:t>紧急运输措施</w:t>
      </w:r>
      <w:bookmarkEnd w:id="359"/>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t>一般情况下24小时内可将货物送到客户指定的地点。</w:t>
      </w:r>
    </w:p>
    <w:p>
      <w:pPr>
        <w:widowControl/>
        <w:spacing w:before="0" w:after="0" w:line="240" w:lineRule="auto"/>
        <w:ind w:firstLine="0" w:firstLineChars="0"/>
        <w:jc w:val="left"/>
      </w:pPr>
      <w:r>
        <w:br w:type="page"/>
      </w:r>
    </w:p>
    <w:p>
      <w:pPr>
        <w:pStyle w:val="4"/>
        <w:bidi w:val="0"/>
      </w:pPr>
      <w:bookmarkStart w:id="360" w:name="_Toc117181934"/>
      <w:bookmarkStart w:id="361" w:name="_Toc17622"/>
      <w:bookmarkStart w:id="362" w:name="_Toc118293247"/>
      <w:bookmarkStart w:id="363" w:name="_Toc116400084"/>
      <w:r>
        <w:rPr>
          <w:rFonts w:hint="eastAsia"/>
          <w:lang w:val="en-US" w:eastAsia="zh-CN"/>
        </w:rPr>
        <w:t xml:space="preserve">第七节  </w:t>
      </w:r>
      <w:r>
        <w:rPr>
          <w:rFonts w:hint="eastAsia"/>
        </w:rPr>
        <w:t>项目运输方案</w:t>
      </w:r>
      <w:bookmarkEnd w:id="360"/>
      <w:bookmarkEnd w:id="361"/>
      <w:bookmarkEnd w:id="362"/>
      <w:bookmarkEnd w:id="363"/>
    </w:p>
    <w:p>
      <w:pPr>
        <w:pStyle w:val="5"/>
        <w:bidi w:val="0"/>
      </w:pPr>
      <w:bookmarkStart w:id="364" w:name="_Toc25409"/>
      <w:bookmarkStart w:id="365" w:name="_Toc116400085"/>
      <w:bookmarkStart w:id="366" w:name="_Toc117181935"/>
      <w:bookmarkStart w:id="367" w:name="_Toc118293248"/>
      <w:r>
        <w:rPr>
          <w:rFonts w:hint="eastAsia"/>
          <w:lang w:val="en-US" w:eastAsia="zh-CN"/>
        </w:rPr>
        <w:t>一、</w:t>
      </w:r>
      <w:r>
        <w:rPr>
          <w:rFonts w:hint="eastAsia"/>
        </w:rPr>
        <w:t>货物装卸方案</w:t>
      </w:r>
      <w:bookmarkEnd w:id="364"/>
      <w:bookmarkEnd w:id="365"/>
      <w:bookmarkEnd w:id="366"/>
      <w:bookmarkEnd w:id="367"/>
    </w:p>
    <w:p>
      <w:pPr>
        <w:pStyle w:val="6"/>
        <w:bidi w:val="0"/>
      </w:pPr>
      <w:bookmarkStart w:id="368" w:name="_Toc8464"/>
      <w:r>
        <w:rPr>
          <w:rFonts w:hint="eastAsia"/>
          <w:lang w:val="en-US" w:eastAsia="zh-CN"/>
        </w:rPr>
        <w:t>（一）</w:t>
      </w:r>
      <w:r>
        <w:rPr>
          <w:rFonts w:hint="eastAsia"/>
        </w:rPr>
        <w:t>装卸人员</w:t>
      </w:r>
      <w:bookmarkEnd w:id="368"/>
    </w:p>
    <w:tbl>
      <w:tblPr>
        <w:tblStyle w:val="33"/>
        <w:tblW w:w="83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277"/>
        <w:gridCol w:w="849"/>
        <w:gridCol w:w="5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3" w:type="dxa"/>
            <w:shd w:val="clear" w:color="auto" w:fill="C5E0B3" w:themeFill="accent6" w:themeFillTint="66"/>
            <w:vAlign w:val="center"/>
          </w:tcPr>
          <w:p>
            <w:pPr>
              <w:pStyle w:val="53"/>
              <w:rPr>
                <w:b/>
                <w:bCs w:val="0"/>
              </w:rPr>
            </w:pPr>
            <w:r>
              <w:rPr>
                <w:rFonts w:hint="eastAsia"/>
                <w:b/>
              </w:rPr>
              <w:t>序号</w:t>
            </w:r>
          </w:p>
        </w:tc>
        <w:tc>
          <w:tcPr>
            <w:tcW w:w="1277" w:type="dxa"/>
            <w:shd w:val="clear" w:color="auto" w:fill="C5E0B3" w:themeFill="accent6" w:themeFillTint="66"/>
            <w:vAlign w:val="center"/>
          </w:tcPr>
          <w:p>
            <w:pPr>
              <w:pStyle w:val="53"/>
              <w:rPr>
                <w:b/>
                <w:bCs w:val="0"/>
              </w:rPr>
            </w:pPr>
            <w:r>
              <w:rPr>
                <w:rFonts w:hint="eastAsia"/>
                <w:b/>
              </w:rPr>
              <w:t>名称</w:t>
            </w:r>
          </w:p>
        </w:tc>
        <w:tc>
          <w:tcPr>
            <w:tcW w:w="849" w:type="dxa"/>
            <w:shd w:val="clear" w:color="auto" w:fill="C5E0B3" w:themeFill="accent6" w:themeFillTint="66"/>
            <w:vAlign w:val="center"/>
          </w:tcPr>
          <w:p>
            <w:pPr>
              <w:pStyle w:val="53"/>
              <w:rPr>
                <w:b/>
                <w:bCs w:val="0"/>
              </w:rPr>
            </w:pPr>
            <w:r>
              <w:rPr>
                <w:rFonts w:hint="eastAsia"/>
                <w:b/>
              </w:rPr>
              <w:t>数量</w:t>
            </w:r>
          </w:p>
        </w:tc>
        <w:tc>
          <w:tcPr>
            <w:tcW w:w="5483" w:type="dxa"/>
            <w:shd w:val="clear" w:color="auto" w:fill="C5E0B3" w:themeFill="accent6" w:themeFillTint="66"/>
            <w:vAlign w:val="center"/>
          </w:tcPr>
          <w:p>
            <w:pPr>
              <w:pStyle w:val="53"/>
              <w:rPr>
                <w:b/>
                <w:bCs w:val="0"/>
              </w:rPr>
            </w:pPr>
            <w:r>
              <w:rPr>
                <w:rFonts w:hint="eastAsia"/>
                <w:b/>
              </w:rPr>
              <w:t>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3" w:type="dxa"/>
            <w:vAlign w:val="center"/>
          </w:tcPr>
          <w:p>
            <w:pPr>
              <w:pStyle w:val="53"/>
            </w:pPr>
            <w:r>
              <w:rPr>
                <w:rFonts w:hint="eastAsia"/>
              </w:rPr>
              <w:t>1</w:t>
            </w:r>
          </w:p>
        </w:tc>
        <w:tc>
          <w:tcPr>
            <w:tcW w:w="1277" w:type="dxa"/>
            <w:vAlign w:val="center"/>
          </w:tcPr>
          <w:p>
            <w:pPr>
              <w:pStyle w:val="53"/>
            </w:pPr>
            <w:r>
              <w:rPr>
                <w:rFonts w:hint="eastAsia"/>
              </w:rPr>
              <w:t>项目经理</w:t>
            </w:r>
          </w:p>
        </w:tc>
        <w:tc>
          <w:tcPr>
            <w:tcW w:w="849" w:type="dxa"/>
            <w:vAlign w:val="center"/>
          </w:tcPr>
          <w:p>
            <w:pPr>
              <w:pStyle w:val="53"/>
            </w:pPr>
            <w:r>
              <w:rPr>
                <w:rFonts w:hint="eastAsia"/>
              </w:rPr>
              <w:t>1人</w:t>
            </w:r>
          </w:p>
        </w:tc>
        <w:tc>
          <w:tcPr>
            <w:tcW w:w="5483" w:type="dxa"/>
            <w:vAlign w:val="center"/>
          </w:tcPr>
          <w:p>
            <w:pPr>
              <w:pStyle w:val="53"/>
            </w:pPr>
            <w:r>
              <w:rPr>
                <w:rFonts w:hint="eastAsia"/>
              </w:rPr>
              <w:t>负责货到现场的数量清点，确保清单与货物及合同清单一致，现场货物堆放整齐，保证货物不破损，同时与客户沟通，办理验收手续，传递相关货物资料及后续售后服务等现场的全面工作，保证货物装卸工作的顺利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3" w:type="dxa"/>
            <w:vAlign w:val="center"/>
          </w:tcPr>
          <w:p>
            <w:pPr>
              <w:pStyle w:val="53"/>
            </w:pPr>
            <w:r>
              <w:rPr>
                <w:rFonts w:hint="eastAsia"/>
              </w:rPr>
              <w:t>2</w:t>
            </w:r>
          </w:p>
        </w:tc>
        <w:tc>
          <w:tcPr>
            <w:tcW w:w="1277" w:type="dxa"/>
            <w:vAlign w:val="center"/>
          </w:tcPr>
          <w:p>
            <w:pPr>
              <w:pStyle w:val="53"/>
            </w:pPr>
            <w:r>
              <w:rPr>
                <w:rFonts w:hint="eastAsia"/>
              </w:rPr>
              <w:t>货物装卸人员</w:t>
            </w:r>
          </w:p>
        </w:tc>
        <w:tc>
          <w:tcPr>
            <w:tcW w:w="849" w:type="dxa"/>
            <w:vAlign w:val="center"/>
          </w:tcPr>
          <w:p>
            <w:pPr>
              <w:pStyle w:val="53"/>
            </w:pPr>
            <w:r>
              <w:t>12</w:t>
            </w:r>
            <w:r>
              <w:rPr>
                <w:rFonts w:hint="eastAsia"/>
              </w:rPr>
              <w:t>人</w:t>
            </w:r>
          </w:p>
        </w:tc>
        <w:tc>
          <w:tcPr>
            <w:tcW w:w="5483" w:type="dxa"/>
            <w:vAlign w:val="center"/>
          </w:tcPr>
          <w:p>
            <w:pPr>
              <w:pStyle w:val="53"/>
            </w:pPr>
            <w:r>
              <w:rPr>
                <w:rFonts w:hint="eastAsia"/>
              </w:rPr>
              <w:t>总计</w:t>
            </w:r>
            <w:r>
              <w:t>12</w:t>
            </w:r>
            <w:r>
              <w:rPr>
                <w:rFonts w:hint="eastAsia"/>
              </w:rPr>
              <w:t>人，完成货物装车工作，注意轻拿轻放，根据现场的要求将货物安全卸至指定地点。</w:t>
            </w:r>
          </w:p>
        </w:tc>
      </w:tr>
    </w:tbl>
    <w:p>
      <w:pPr>
        <w:pStyle w:val="6"/>
        <w:bidi w:val="0"/>
      </w:pPr>
      <w:bookmarkStart w:id="369" w:name="_Toc16992"/>
      <w:r>
        <w:rPr>
          <w:rFonts w:hint="eastAsia"/>
          <w:lang w:val="en-US" w:eastAsia="zh-CN"/>
        </w:rPr>
        <w:t>（二）</w:t>
      </w:r>
      <w:r>
        <w:rPr>
          <w:rFonts w:hint="eastAsia"/>
        </w:rPr>
        <w:t>装卸工具</w:t>
      </w:r>
      <w:bookmarkEnd w:id="369"/>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本次产品采购项目所需要的装卸工具具体说明如下：</w:t>
      </w:r>
    </w:p>
    <w:p>
      <w:pPr>
        <w:keepNext w:val="0"/>
        <w:keepLines w:val="0"/>
        <w:pageBreakBefore w:val="0"/>
        <w:widowControl w:val="0"/>
        <w:kinsoku/>
        <w:wordWrap/>
        <w:overflowPunct/>
        <w:topLinePunct w:val="0"/>
        <w:autoSpaceDE/>
        <w:autoSpaceDN/>
        <w:bidi w:val="0"/>
        <w:adjustRightInd w:val="0"/>
        <w:snapToGrid w:val="0"/>
        <w:ind w:left="0" w:leftChars="0" w:firstLine="562" w:firstLineChars="200"/>
        <w:textAlignment w:val="auto"/>
        <w:rPr>
          <w:b/>
          <w:bCs/>
        </w:rPr>
      </w:pPr>
      <w:r>
        <w:rPr>
          <w:rFonts w:hint="eastAsia"/>
          <w:b/>
          <w:bCs/>
        </w:rPr>
        <w:t>（一）手推车</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t>1</w:t>
      </w:r>
      <w:r>
        <w:rPr>
          <w:rFonts w:hint="eastAsia"/>
          <w:lang w:eastAsia="zh-CN"/>
        </w:rPr>
        <w:t>、</w:t>
      </w:r>
      <w:r>
        <w:t>定义：手推车是以人力推、拉的搬运车辆，它是一切车辆的始祖。虽然手推车物料搬运技术不断发展，但手推车仍作为不可缺少的搬运工具而沿用。手推车在生产和生活中获得广泛应用是因为它造价低廉、维护简单、操作方便、自重轻，能在机动车辆不便使用的地方工作，在短距离搬运较轻的物品时十分方便。</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t>2</w:t>
      </w:r>
      <w:r>
        <w:rPr>
          <w:rFonts w:hint="eastAsia"/>
          <w:lang w:eastAsia="zh-CN"/>
        </w:rPr>
        <w:t>、</w:t>
      </w:r>
      <w:r>
        <w:t>使用注意事项：</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w:t>
      </w:r>
      <w:r>
        <w:t>1）不得无气负重。</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w:t>
      </w:r>
      <w:r>
        <w:t>2）不得恶意破坏。</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w:t>
      </w:r>
      <w:r>
        <w:t>3）不得随意放置。</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w:t>
      </w:r>
      <w:r>
        <w:t>4）不得随意敲打。</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w:t>
      </w:r>
      <w:r>
        <w:t>5）不得乱拉乱用。</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t>3</w:t>
      </w:r>
      <w:r>
        <w:rPr>
          <w:rFonts w:hint="eastAsia"/>
          <w:lang w:eastAsia="zh-CN"/>
        </w:rPr>
        <w:t>、</w:t>
      </w:r>
      <w:r>
        <w:t>日常维护方法：</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w:t>
      </w:r>
      <w:r>
        <w:t>1）发现胎压不足时，及时补气。</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w:t>
      </w:r>
      <w:r>
        <w:t>2）发现轮胎、中轴有夹杂物时，及时清理杂物。</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w:t>
      </w:r>
      <w:r>
        <w:t>3）需要修理时，及时上报维修。</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w:t>
      </w:r>
      <w:r>
        <w:t>4）每天下班前清理干净，车身内不得有残留。</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w:t>
      </w:r>
      <w:r>
        <w:t>5）每次使用完后集中定点放置。</w:t>
      </w:r>
    </w:p>
    <w:p>
      <w:pPr>
        <w:keepNext w:val="0"/>
        <w:keepLines w:val="0"/>
        <w:pageBreakBefore w:val="0"/>
        <w:widowControl w:val="0"/>
        <w:kinsoku/>
        <w:wordWrap/>
        <w:overflowPunct/>
        <w:topLinePunct w:val="0"/>
        <w:autoSpaceDE/>
        <w:autoSpaceDN/>
        <w:bidi w:val="0"/>
        <w:adjustRightInd w:val="0"/>
        <w:snapToGrid w:val="0"/>
        <w:ind w:left="0" w:leftChars="0" w:firstLine="562" w:firstLineChars="200"/>
        <w:textAlignment w:val="auto"/>
        <w:rPr>
          <w:b/>
          <w:bCs/>
        </w:rPr>
      </w:pPr>
      <w:r>
        <w:rPr>
          <w:rFonts w:hint="eastAsia"/>
          <w:b/>
          <w:bCs/>
        </w:rPr>
        <w:t>（二）叉车</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t>1</w:t>
      </w:r>
      <w:r>
        <w:rPr>
          <w:rFonts w:hint="eastAsia"/>
          <w:lang w:eastAsia="zh-CN"/>
        </w:rPr>
        <w:t>、</w:t>
      </w:r>
      <w:r>
        <w:t>叉车操作规程：</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w:t>
      </w:r>
      <w:r>
        <w:t>1）检查车辆：</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①叉车作业前，应检查外观，加注燃料、润滑油和冷却水。</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②检查启动、运转及制动性能。</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③检查灯光、音响信号是否齐全有效。</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④叉车运行过程中应检查压力、温度是否正常。</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⑤叉车运行后还应检查外泄漏情况并及时更换密封件。</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⑥电瓶叉车除应检查以上内容外，还应按电瓶车的有关检查内容，对电瓶叉车的电路进行检查。</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w:t>
      </w:r>
      <w:r>
        <w:t>2）起步：</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①起步前，观察四周，确认无妨碍行车安全的障碍后，先鸣笛，后起步。</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②气压制动的车辆，制动气压表读数须达到规定值才可起步。</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③叉车在载物起步时，司机应先确认所载货物平稳可靠。</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④起步时须缓慢平稳起步。</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w:t>
      </w:r>
      <w:r>
        <w:t>3）行驶：</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①行驶时，货叉底端距地面高度应保持</w:t>
      </w:r>
      <w:r>
        <w:t>300-400mm、门架须后倾。</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②行驶时不得将货叉升得太高，进出作业现场或行驶途中，要注意上空有无障碍物刮碰，载物行驶时，如货叉又升得太高，还会增加叉车总体重心高度，影响叉车的稳定性。</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③卸货后应先降落货叉至正常的行驶位置后再行驶。</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④转弯时，如附近有行人或车辆，应发出信号、并禁止高速急转弯，高速急转弯会导致车辆失去横向稳定而倾翻。</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⑤内燃叉车在下坡时严禁熄火滑行。</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⑥非特殊情况，禁止载物行驶中急刹车。</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⑦载物行驶在超过</w:t>
      </w:r>
      <w:r>
        <w:t>7度和用高于一档的速度上下坡时，非特殊情况不得使用制动器。</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⑧叉车在运行时要遵守场内交通规则，必须与前面的车辆保持一定的安全距离。</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⑨叉车运行时，载荷必须处在不妨碍行驶的最低位置，门架要适当后倾，除堆垛或装车时，不得升高载荷，在搬运庞大物件时，物体挡住司机的视线，此时应倒开叉车。</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⑩叉车由后轮控制转向，所以必须时刻注意车后的摆幅，避免初学者驾驶时经常出现的转弯过急现象。</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ascii="Cambria Math" w:hAnsi="Cambria Math" w:cs="Cambria Math"/>
        </w:rPr>
        <w:t>⑪</w:t>
      </w:r>
      <w:r>
        <w:rPr>
          <w:rFonts w:hint="eastAsia" w:cs="宋体"/>
        </w:rPr>
        <w:t>禁止在坡道上转弯，也不应横跨坡道行驶。</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ascii="Cambria Math" w:hAnsi="Cambria Math" w:cs="Cambria Math"/>
        </w:rPr>
        <w:t>⑫</w:t>
      </w:r>
      <w:r>
        <w:rPr>
          <w:rFonts w:hint="eastAsia" w:cs="宋体"/>
        </w:rPr>
        <w:t>叉车载货下坡时，应倒退行驶，以防货物颠落。</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w:t>
      </w:r>
      <w:r>
        <w:t>4）装卸：</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①叉载物品时，应按需调整两货叉间距，使两叉负荷均衡，不得偏斜，物品的一面应贴靠挡货架，叉载的重量应符合载荷中心曲线标志牌的规定。</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②载物高度不得遮挡司机的视线。</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③在进行物品的装卸过程中，必须用制动器制动叉车。</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④货叉车接近或撤离物品时，车速应缓慢平稳，注意车轮不要碾压物品、木垫等，以免碾压物飞起伤人。</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⑤用货叉叉取货物时，货叉应尽可能深地插入载荷下面，还要注意货叉尖不能碰到其他货物或物件，应采用最小的门架后倾来稳定载荷，以免载荷向后滑动，放下载荷时，可使门架小量前倾，以便于安放载荷和抽出货叉。</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⑥禁止高速叉取货物和用叉头与坚硬物体碰撞。</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⑦叉车作业时，禁止人员站在货叉上。</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⑧叉车叉物作业，禁止人员站在货叉周围，以免货物倒塌伤人。</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⑨禁止用货叉举升人员从事高处作业，以免发生高处坠落事故。</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⑩不准用制动惯性溜放物品。</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t>2</w:t>
      </w:r>
      <w:r>
        <w:rPr>
          <w:rFonts w:hint="eastAsia"/>
          <w:lang w:eastAsia="zh-CN"/>
        </w:rPr>
        <w:t>、</w:t>
      </w:r>
      <w:r>
        <w:t>叉车的维修保养：</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w:t>
      </w:r>
      <w:r>
        <w:t>1）检查节温器工作是否正常。</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w:t>
      </w:r>
      <w:r>
        <w:t>2）检查变速器的换挡工作是否正常。</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w:t>
      </w:r>
      <w:r>
        <w:t>3）检查风扇皮带松紧程度。</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w:t>
      </w:r>
      <w:r>
        <w:t>4）检查柴油柜油进口过滤网有否堵塞破损，并清洗或更换滤网。</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w:t>
      </w:r>
      <w:r>
        <w:t>5）检查与调整气门间隙。</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w:t>
      </w:r>
      <w:r>
        <w:t>6）检查与调整手、脚制动器的制动片与制动鼓的间隙。</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w:t>
      </w:r>
      <w:r>
        <w:t>7）检查发电机及起动电机安装是否牢固，与接线头是否清洁牢固，检查碳刷和整流子有无磨损。</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w:t>
      </w:r>
      <w:r>
        <w:t>8）更换机油底壳内机油，检查曲轴柜通风接管是否完好，清洗机油滤清器和柴油滤清器滤芯。</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w:t>
      </w:r>
      <w:r>
        <w:t>9）检查汽缸压力或真空度。</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w:t>
      </w:r>
      <w:r>
        <w:t>10）检查车轮安装是否牢固，轮胎气压是否符合要求，并清除胎面嵌入的杂物。</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w:t>
      </w:r>
      <w:r>
        <w:t>11）由于进行保养工作而拆散零部件，当重新装配后要进行叉车路试，具体包括以下几个方面：</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①不同程度下的制动性能，应无跑偏，蛇行。在陡坡上，手制动拉紧后，能可靠停车。</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②倾听发动机在加速、减速、重载或空载等情况下运转，有无不正常声响。</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③路试一段里程后，应检查制动器、变速器、前桥壳、齿轮泵处有无过热。</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④货叉架升降速度是否正常，有无颤抖。</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w:t>
      </w:r>
      <w:r>
        <w:t>12）检查多路换向阀、升降油缸、倾斜油缸、转向油缸及齿轮泵工作是否正常。</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t>3</w:t>
      </w:r>
      <w:r>
        <w:rPr>
          <w:rFonts w:hint="eastAsia"/>
          <w:lang w:eastAsia="zh-CN"/>
        </w:rPr>
        <w:t>、</w:t>
      </w:r>
      <w:r>
        <w:t>叉车行车注意事项：</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w:t>
      </w:r>
      <w:r>
        <w:t>1）进入防暑期前，要提前做好准备，放出发动机，驱动桥、变速器、转向机等处的冬季润滑油脂，清洗后按规定加注夏季润滑油脂。</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w:t>
      </w:r>
      <w:r>
        <w:t>2）清洗水道，清除冷却系统的水垢，疏通散热器的散热片。经常检查风扇传动带的松紧度。</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w:t>
      </w:r>
      <w:r>
        <w:t>3）适当调整发电机调节器，减少发电机的充电电流。</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w:t>
      </w:r>
      <w:r>
        <w:t>4）作业中注意防止发动机过热，随时注意冷却液温度表的指示读数，如果冷却液温度过高，要采取降温措施。要保持冷却液的数量，添加时要注意防止冷却液沸腾造成烫伤。</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w:t>
      </w:r>
      <w:r>
        <w:t>5）要经常检查轮胎的温度和气压，必要时应停于阴凉处，待胎温降低后再继续作业，不得采用放气或浇冷水的办法降压降温，以免降低轮胎使用寿命。</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w:t>
      </w:r>
      <w:r>
        <w:t>6）要经常检视制动效能，以防止因制动总泵或分泵皮碗老化、膨胀变形和制动液汽化造成制动失灵的故障。</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w:t>
      </w:r>
      <w:r>
        <w:t>7）调整蓄电池电解液密度，并疏通蓄电池盖上的通气孔，保持电解液高出隔板10至15mm，视情况加注蒸馏水。</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w:t>
      </w:r>
      <w:r>
        <w:t>8）叉车司机作业前要保证充分睡眠，保持精力充沛。如作业中感到精神倦怠、昏沉、反应迟钝等，应立即停车休息，或用冷水擦脸振作精神，以确保行车、作业安全。</w:t>
      </w:r>
    </w:p>
    <w:p>
      <w:pPr>
        <w:pStyle w:val="6"/>
        <w:bidi w:val="0"/>
      </w:pPr>
      <w:bookmarkStart w:id="370" w:name="_Toc7270"/>
      <w:r>
        <w:rPr>
          <w:rFonts w:hint="eastAsia"/>
          <w:lang w:eastAsia="zh-CN"/>
        </w:rPr>
        <w:t>（</w:t>
      </w:r>
      <w:r>
        <w:rPr>
          <w:rFonts w:hint="eastAsia"/>
          <w:lang w:val="en-US" w:eastAsia="zh-CN"/>
        </w:rPr>
        <w:t>三</w:t>
      </w:r>
      <w:r>
        <w:rPr>
          <w:rFonts w:hint="eastAsia"/>
          <w:lang w:eastAsia="zh-CN"/>
        </w:rPr>
        <w:t>）</w:t>
      </w:r>
      <w:r>
        <w:rPr>
          <w:rFonts w:hint="eastAsia"/>
        </w:rPr>
        <w:t>装货方案</w:t>
      </w:r>
      <w:bookmarkEnd w:id="370"/>
    </w:p>
    <w:p>
      <w:pPr>
        <w:ind w:firstLine="480"/>
      </w:pPr>
      <w:r>
        <w:rPr>
          <w:rFonts w:hint="eastAsia"/>
          <w:lang w:eastAsia="zh-CN"/>
        </w:rPr>
        <w:t>（</w:t>
      </w:r>
      <w:r>
        <w:rPr>
          <w:rFonts w:hint="eastAsia"/>
          <w:lang w:val="en-US" w:eastAsia="zh-CN"/>
        </w:rPr>
        <w:t>一</w:t>
      </w:r>
      <w:r>
        <w:rPr>
          <w:rFonts w:hint="eastAsia"/>
          <w:lang w:eastAsia="zh-CN"/>
        </w:rPr>
        <w:t>）</w:t>
      </w:r>
      <w:r>
        <w:t>装货要求：</w:t>
      </w:r>
    </w:p>
    <w:p>
      <w:pPr>
        <w:ind w:firstLine="480"/>
      </w:pPr>
      <w:r>
        <w:rPr>
          <w:rFonts w:hint="eastAsia"/>
          <w:lang w:val="en-US" w:eastAsia="zh-CN"/>
        </w:rPr>
        <w:t>1、</w:t>
      </w:r>
      <w:r>
        <w:t>堆码物料时轻拿轻放，严禁抛扔、摔等野蛮行为发生。</w:t>
      </w:r>
    </w:p>
    <w:p>
      <w:pPr>
        <w:ind w:firstLine="480"/>
      </w:pPr>
      <w:r>
        <w:rPr>
          <w:rFonts w:hint="eastAsia"/>
          <w:lang w:val="en-US" w:eastAsia="zh-CN"/>
        </w:rPr>
        <w:t>2、</w:t>
      </w:r>
      <w:r>
        <w:t>货物在车厢内应摆放整齐，使整车货物的重心相对于车厢尽量居中、靠下、靠前、防止出现车厢左右侧承载不平衡。</w:t>
      </w:r>
    </w:p>
    <w:p>
      <w:pPr>
        <w:ind w:firstLine="480"/>
      </w:pPr>
      <w:r>
        <w:rPr>
          <w:rFonts w:hint="eastAsia"/>
          <w:lang w:val="en-US" w:eastAsia="zh-CN"/>
        </w:rPr>
        <w:t>3、</w:t>
      </w:r>
      <w:r>
        <w:t>为充分利用车厢的空间，不同规格重量的货物须合理搭配，尽量避免出现车厢内货物重量已超载而车厢空间利用极低的现象发生。</w:t>
      </w:r>
    </w:p>
    <w:p>
      <w:pPr>
        <w:ind w:firstLine="480"/>
      </w:pPr>
      <w:r>
        <w:rPr>
          <w:rFonts w:hint="eastAsia"/>
          <w:lang w:val="en-US" w:eastAsia="zh-CN"/>
        </w:rPr>
        <w:t>4、</w:t>
      </w:r>
      <w:r>
        <w:t>对于不同规格重量的货物同排上下码放时，在保证下层货物安全的情况下，可将体积大货物摆放在下层，体积小的货物放在上层。</w:t>
      </w:r>
    </w:p>
    <w:p>
      <w:pPr>
        <w:ind w:firstLine="480"/>
      </w:pPr>
      <w:r>
        <w:rPr>
          <w:rFonts w:hint="eastAsia"/>
          <w:lang w:eastAsia="zh-CN"/>
        </w:rPr>
        <w:t>（</w:t>
      </w:r>
      <w:r>
        <w:rPr>
          <w:rFonts w:hint="eastAsia"/>
          <w:lang w:val="en-US" w:eastAsia="zh-CN"/>
        </w:rPr>
        <w:t>二</w:t>
      </w:r>
      <w:r>
        <w:rPr>
          <w:rFonts w:hint="eastAsia"/>
          <w:lang w:eastAsia="zh-CN"/>
        </w:rPr>
        <w:t>）</w:t>
      </w:r>
      <w:r>
        <w:t>装货流程：</w:t>
      </w:r>
    </w:p>
    <w:p>
      <w:pPr>
        <w:ind w:firstLine="480"/>
      </w:pPr>
      <w:r>
        <w:rPr>
          <w:rFonts w:hint="eastAsia"/>
          <w:lang w:val="en-US" w:eastAsia="zh-CN"/>
        </w:rPr>
        <w:t>1、</w:t>
      </w:r>
      <w:r>
        <w:t>装车前进行检查，仓库检查统计每票货物的体积和重量，确保整车货物不超载，合理配载做到装载率最大化，目标是货物体积和要达到车厢水容积的88％。</w:t>
      </w:r>
    </w:p>
    <w:p>
      <w:pPr>
        <w:ind w:firstLine="480"/>
      </w:pPr>
      <w:r>
        <w:rPr>
          <w:rFonts w:hint="eastAsia"/>
          <w:lang w:val="en-US" w:eastAsia="zh-CN"/>
        </w:rPr>
        <w:t>2、</w:t>
      </w:r>
      <w:r>
        <w:t>进行装货工作，严格按照同一送货地点的货物相邻装载、同一票的货物相邻装、重不压轻，大不压小，曲不压直的原则进行码放，并在装车清单上面清晰地体现货物在车厢中的位置安排，根据卸货顺序和目的港配送顺序，反向装车，也就是最后卸车的货物最先装车。</w:t>
      </w:r>
    </w:p>
    <w:p>
      <w:pPr>
        <w:ind w:firstLine="480"/>
      </w:pPr>
      <w:r>
        <w:rPr>
          <w:rFonts w:hint="eastAsia"/>
          <w:lang w:eastAsia="zh-CN"/>
        </w:rPr>
        <w:t>（</w:t>
      </w:r>
      <w:r>
        <w:rPr>
          <w:rFonts w:hint="eastAsia"/>
          <w:lang w:val="en-US" w:eastAsia="zh-CN"/>
        </w:rPr>
        <w:t>三</w:t>
      </w:r>
      <w:r>
        <w:rPr>
          <w:rFonts w:hint="eastAsia"/>
          <w:lang w:eastAsia="zh-CN"/>
        </w:rPr>
        <w:t>）</w:t>
      </w:r>
      <w:r>
        <w:t>注意事项：</w:t>
      </w:r>
    </w:p>
    <w:p>
      <w:pPr>
        <w:ind w:firstLine="480"/>
      </w:pPr>
      <w:r>
        <w:rPr>
          <w:rFonts w:hint="eastAsia"/>
          <w:lang w:val="en-US" w:eastAsia="zh-CN"/>
        </w:rPr>
        <w:t>1、</w:t>
      </w:r>
      <w:r>
        <w:t>装车前要核实提货单与提货车牌号是否一致，货运司机需认真阅读装车告知单并进行签字确认。</w:t>
      </w:r>
    </w:p>
    <w:p>
      <w:pPr>
        <w:ind w:firstLine="480"/>
      </w:pPr>
      <w:r>
        <w:rPr>
          <w:rFonts w:hint="eastAsia"/>
          <w:lang w:val="en-US" w:eastAsia="zh-CN"/>
        </w:rPr>
        <w:t>2、</w:t>
      </w:r>
      <w:r>
        <w:t>不允许任何人将烟和火种带入货物装卸区域。</w:t>
      </w:r>
    </w:p>
    <w:p>
      <w:pPr>
        <w:ind w:firstLine="480"/>
      </w:pPr>
      <w:r>
        <w:rPr>
          <w:rFonts w:hint="eastAsia"/>
          <w:lang w:val="en-US" w:eastAsia="zh-CN"/>
        </w:rPr>
        <w:t>3、</w:t>
      </w:r>
      <w:r>
        <w:t>装货车辆必须要有车辆检验合格证，并携带车载灭火器，必须按规定路线行驶。</w:t>
      </w:r>
    </w:p>
    <w:p>
      <w:pPr>
        <w:ind w:firstLine="480"/>
      </w:pPr>
      <w:r>
        <w:rPr>
          <w:rFonts w:hint="eastAsia"/>
          <w:lang w:val="en-US" w:eastAsia="zh-CN"/>
        </w:rPr>
        <w:t>4、</w:t>
      </w:r>
      <w:r>
        <w:t>装货车辆必须在规定的等待区、装车区、进行相关作业，不得其他区域作业。</w:t>
      </w:r>
    </w:p>
    <w:p>
      <w:pPr>
        <w:ind w:firstLine="480"/>
      </w:pPr>
      <w:r>
        <w:rPr>
          <w:rFonts w:hint="eastAsia"/>
          <w:lang w:val="en-US" w:eastAsia="zh-CN"/>
        </w:rPr>
        <w:t>5、</w:t>
      </w:r>
      <w:r>
        <w:t>车辆在装货前必须熄火、拔钥匙，并在附近安全区域等待、监护。</w:t>
      </w:r>
    </w:p>
    <w:p>
      <w:pPr>
        <w:ind w:firstLine="480"/>
      </w:pPr>
      <w:r>
        <w:rPr>
          <w:rFonts w:hint="eastAsia"/>
          <w:lang w:val="en-US" w:eastAsia="zh-CN"/>
        </w:rPr>
        <w:t>6、</w:t>
      </w:r>
      <w:r>
        <w:t>装货时，如需要使用紧绳器、紧带器等紧固辅助工具固定货物的过程当中，应该小心绳子、绑带、挂钩突然断裂反弹造成的头、面部伤害，此类作业最好不要在绳子等物的正面进行。</w:t>
      </w:r>
    </w:p>
    <w:p>
      <w:pPr>
        <w:pStyle w:val="6"/>
        <w:bidi w:val="0"/>
      </w:pPr>
      <w:bookmarkStart w:id="371" w:name="_Toc10722"/>
      <w:r>
        <w:rPr>
          <w:rFonts w:hint="eastAsia"/>
          <w:lang w:eastAsia="zh-CN"/>
        </w:rPr>
        <w:t>（</w:t>
      </w:r>
      <w:r>
        <w:rPr>
          <w:rFonts w:hint="eastAsia"/>
          <w:lang w:val="en-US" w:eastAsia="zh-CN"/>
        </w:rPr>
        <w:t>四</w:t>
      </w:r>
      <w:r>
        <w:rPr>
          <w:rFonts w:hint="eastAsia"/>
          <w:lang w:eastAsia="zh-CN"/>
        </w:rPr>
        <w:t>）</w:t>
      </w:r>
      <w:r>
        <w:rPr>
          <w:rFonts w:hint="eastAsia"/>
        </w:rPr>
        <w:t>卸货方案</w:t>
      </w:r>
      <w:bookmarkEnd w:id="371"/>
    </w:p>
    <w:p>
      <w:pPr>
        <w:ind w:firstLine="480"/>
        <w:rPr>
          <w:b/>
          <w:bCs/>
        </w:rPr>
      </w:pPr>
      <w:r>
        <w:rPr>
          <w:rFonts w:hint="eastAsia"/>
          <w:b/>
          <w:bCs/>
          <w:lang w:eastAsia="zh-CN"/>
        </w:rPr>
        <w:t>（</w:t>
      </w:r>
      <w:r>
        <w:rPr>
          <w:rFonts w:hint="eastAsia"/>
          <w:b/>
          <w:bCs/>
          <w:lang w:val="en-US" w:eastAsia="zh-CN"/>
        </w:rPr>
        <w:t>一</w:t>
      </w:r>
      <w:r>
        <w:rPr>
          <w:rFonts w:hint="eastAsia"/>
          <w:b/>
          <w:bCs/>
          <w:lang w:eastAsia="zh-CN"/>
        </w:rPr>
        <w:t>）</w:t>
      </w:r>
      <w:r>
        <w:rPr>
          <w:b/>
          <w:bCs/>
        </w:rPr>
        <w:t>卸货要求：</w:t>
      </w:r>
    </w:p>
    <w:p>
      <w:pPr>
        <w:ind w:firstLine="480"/>
      </w:pPr>
      <w:r>
        <w:rPr>
          <w:rFonts w:hint="eastAsia"/>
          <w:lang w:val="en-US" w:eastAsia="zh-CN"/>
        </w:rPr>
        <w:t>1、</w:t>
      </w:r>
      <w:r>
        <w:t>卸货时，按货物在车厢内的布置顺序，后向前，先上后下一次卸货。</w:t>
      </w:r>
    </w:p>
    <w:p>
      <w:pPr>
        <w:ind w:firstLine="480"/>
      </w:pPr>
      <w:r>
        <w:rPr>
          <w:rFonts w:hint="eastAsia"/>
          <w:lang w:val="en-US" w:eastAsia="zh-CN"/>
        </w:rPr>
        <w:t>2、</w:t>
      </w:r>
      <w:r>
        <w:t>除非能保证货物安全及作业人员安全，否则禁借助斜坡（含人工构造的斜坡）将货物滑向地面。</w:t>
      </w:r>
    </w:p>
    <w:p>
      <w:pPr>
        <w:ind w:firstLine="480"/>
      </w:pPr>
      <w:r>
        <w:rPr>
          <w:rFonts w:hint="eastAsia"/>
          <w:lang w:val="en-US" w:eastAsia="zh-CN"/>
        </w:rPr>
        <w:t>3、</w:t>
      </w:r>
      <w:r>
        <w:t>雨天卸货时，必须确保货物不被雨淋。</w:t>
      </w:r>
    </w:p>
    <w:p>
      <w:pPr>
        <w:ind w:firstLine="480"/>
        <w:rPr>
          <w:b/>
          <w:bCs/>
        </w:rPr>
      </w:pPr>
      <w:r>
        <w:rPr>
          <w:rFonts w:hint="eastAsia"/>
          <w:b/>
          <w:bCs/>
          <w:lang w:eastAsia="zh-CN"/>
        </w:rPr>
        <w:t>（</w:t>
      </w:r>
      <w:r>
        <w:rPr>
          <w:rFonts w:hint="eastAsia"/>
          <w:b/>
          <w:bCs/>
          <w:lang w:val="en-US" w:eastAsia="zh-CN"/>
        </w:rPr>
        <w:t>二</w:t>
      </w:r>
      <w:r>
        <w:rPr>
          <w:rFonts w:hint="eastAsia"/>
          <w:b/>
          <w:bCs/>
          <w:lang w:eastAsia="zh-CN"/>
        </w:rPr>
        <w:t>）</w:t>
      </w:r>
      <w:r>
        <w:rPr>
          <w:b/>
          <w:bCs/>
        </w:rPr>
        <w:t>注意事项：</w:t>
      </w:r>
    </w:p>
    <w:p>
      <w:pPr>
        <w:ind w:firstLine="480"/>
      </w:pPr>
      <w:r>
        <w:rPr>
          <w:rFonts w:hint="eastAsia"/>
          <w:lang w:val="en-US" w:eastAsia="zh-CN"/>
        </w:rPr>
        <w:t>1、</w:t>
      </w:r>
      <w:r>
        <w:t>卸货时要注意车体突出物，在车辆旁边行走或者维护车辆的时候，应该注意车体上的挂钩、横梁、侧护栏以及装载货物之后的突出物，小心造成磕伤。</w:t>
      </w:r>
    </w:p>
    <w:p>
      <w:pPr>
        <w:ind w:firstLine="480"/>
      </w:pPr>
      <w:r>
        <w:rPr>
          <w:rFonts w:hint="eastAsia"/>
          <w:lang w:val="en-US" w:eastAsia="zh-CN"/>
        </w:rPr>
        <w:t>2、</w:t>
      </w:r>
      <w:r>
        <w:t>卸货时要注意货物砸伤，卸货时要小心货物的垮塌，作业时最好站在货物的两侧进行。另外在货物顶部行走时，应该小心卡脚，平板车辆箱装、袋装等货物在卸货时，松绳之后最好先观察再进行卸货，倒垛、货物的坠落很可能造成砸伤，仓栏、厢式货车在开启车门时，也应该注意。</w:t>
      </w:r>
    </w:p>
    <w:p>
      <w:pPr>
        <w:ind w:firstLine="480"/>
      </w:pPr>
      <w:r>
        <w:rPr>
          <w:rFonts w:hint="eastAsia"/>
          <w:lang w:val="en-US" w:eastAsia="zh-CN"/>
        </w:rPr>
        <w:t>3、</w:t>
      </w:r>
      <w:r>
        <w:t>卸货时要注意工具松脱磕到自己，使用工具辅助，松紧货物、或者车辆上的螺丝时，应该先保护好自己，小心工具与部件之间滑脱，或者螺丝断裂造成的磕碰伤。</w:t>
      </w:r>
    </w:p>
    <w:p>
      <w:pPr>
        <w:ind w:firstLine="480"/>
      </w:pPr>
      <w:r>
        <w:rPr>
          <w:rFonts w:hint="eastAsia"/>
          <w:lang w:val="en-US" w:eastAsia="zh-CN"/>
        </w:rPr>
        <w:t>4、</w:t>
      </w:r>
      <w:r>
        <w:t>卸货停车作业时，小心不要被烫伤，冷却水箱、排气管以及电瓶桩头，发动机运行一段时间，温度都会很高，停车之后在这几个机件附近作业时，注意不要被烫伤。</w:t>
      </w:r>
    </w:p>
    <w:p>
      <w:pPr>
        <w:pStyle w:val="6"/>
        <w:bidi w:val="0"/>
      </w:pPr>
      <w:bookmarkStart w:id="372" w:name="_Toc28280"/>
      <w:r>
        <w:rPr>
          <w:rFonts w:hint="eastAsia"/>
          <w:lang w:eastAsia="zh-CN"/>
        </w:rPr>
        <w:t>（</w:t>
      </w:r>
      <w:r>
        <w:rPr>
          <w:rFonts w:hint="eastAsia"/>
          <w:lang w:val="en-US" w:eastAsia="zh-CN"/>
        </w:rPr>
        <w:t>五</w:t>
      </w:r>
      <w:r>
        <w:rPr>
          <w:rFonts w:hint="eastAsia"/>
          <w:lang w:eastAsia="zh-CN"/>
        </w:rPr>
        <w:t>）</w:t>
      </w:r>
      <w:r>
        <w:rPr>
          <w:rFonts w:hint="eastAsia"/>
        </w:rPr>
        <w:t>装卸安全管理</w:t>
      </w:r>
      <w:bookmarkEnd w:id="372"/>
    </w:p>
    <w:p>
      <w:pPr>
        <w:ind w:firstLine="480"/>
        <w:rPr>
          <w:b/>
          <w:bCs/>
        </w:rPr>
      </w:pPr>
      <w:r>
        <w:rPr>
          <w:rFonts w:hint="eastAsia"/>
          <w:b/>
          <w:bCs/>
        </w:rPr>
        <w:t>（一）装卸安全管理</w:t>
      </w:r>
    </w:p>
    <w:p>
      <w:pPr>
        <w:ind w:firstLine="480"/>
      </w:pPr>
      <w:r>
        <w:t>1</w:t>
      </w:r>
      <w:r>
        <w:rPr>
          <w:rFonts w:hint="eastAsia"/>
          <w:lang w:eastAsia="zh-CN"/>
        </w:rPr>
        <w:t>、</w:t>
      </w:r>
      <w:r>
        <w:t>作业现场应有装卸作业操作规程，进入仓库、禁止烟火重地（或场所）或其他特殊场所安全工作要求，应做到严格按照规定执行。</w:t>
      </w:r>
    </w:p>
    <w:p>
      <w:pPr>
        <w:ind w:firstLine="480"/>
      </w:pPr>
      <w:r>
        <w:t>2</w:t>
      </w:r>
      <w:r>
        <w:rPr>
          <w:rFonts w:hint="eastAsia"/>
          <w:lang w:eastAsia="zh-CN"/>
        </w:rPr>
        <w:t>、</w:t>
      </w:r>
      <w:r>
        <w:t>加强安全防护和自我安全保护意识，遵守工作场所的安全要求，引导车辆进行装卸前的安全检查，确保安全。</w:t>
      </w:r>
    </w:p>
    <w:p>
      <w:pPr>
        <w:ind w:firstLine="480"/>
      </w:pPr>
      <w:r>
        <w:t>3</w:t>
      </w:r>
      <w:r>
        <w:rPr>
          <w:rFonts w:hint="eastAsia"/>
          <w:lang w:eastAsia="zh-CN"/>
        </w:rPr>
        <w:t>、</w:t>
      </w:r>
      <w:r>
        <w:t>在禁火区域装卸时，严禁将火种带入或在禁火区域内吸烟，不将违禁物品带进工作场所。</w:t>
      </w:r>
    </w:p>
    <w:p>
      <w:pPr>
        <w:ind w:firstLine="480"/>
      </w:pPr>
      <w:r>
        <w:t>4</w:t>
      </w:r>
      <w:r>
        <w:rPr>
          <w:rFonts w:hint="eastAsia"/>
          <w:lang w:eastAsia="zh-CN"/>
        </w:rPr>
        <w:t>、</w:t>
      </w:r>
      <w:r>
        <w:t>穿戴好需要的安全防护用品或用具，登车严禁穿高跟鞋和不扣脚跟的鞋。</w:t>
      </w:r>
    </w:p>
    <w:p>
      <w:pPr>
        <w:ind w:firstLine="480"/>
      </w:pPr>
      <w:r>
        <w:t>5</w:t>
      </w:r>
      <w:r>
        <w:rPr>
          <w:rFonts w:hint="eastAsia"/>
          <w:lang w:eastAsia="zh-CN"/>
        </w:rPr>
        <w:t>、</w:t>
      </w:r>
      <w:r>
        <w:t>工作时不允许碰撞、搬动危险的物件，不允许用手触摸或身体接触到电气开关、电线或带电的物体。</w:t>
      </w:r>
    </w:p>
    <w:p>
      <w:pPr>
        <w:ind w:firstLine="480"/>
      </w:pPr>
      <w:r>
        <w:t>6</w:t>
      </w:r>
      <w:r>
        <w:rPr>
          <w:rFonts w:hint="eastAsia"/>
          <w:lang w:eastAsia="zh-CN"/>
        </w:rPr>
        <w:t>、</w:t>
      </w:r>
      <w:r>
        <w:t>装卸工必须站在安全位置上工作，不准站在装卸货物有可能滚落、坠落的方向，以防发生意外。在装卸成堆货物时，要防止货物倒塌伤人。登高装卸货物时，应有供人站立的平台，不应站在物品上作业。</w:t>
      </w:r>
    </w:p>
    <w:p>
      <w:pPr>
        <w:ind w:firstLine="480"/>
      </w:pPr>
      <w:r>
        <w:t>7</w:t>
      </w:r>
      <w:r>
        <w:rPr>
          <w:rFonts w:hint="eastAsia"/>
          <w:lang w:eastAsia="zh-CN"/>
        </w:rPr>
        <w:t>、</w:t>
      </w:r>
      <w:r>
        <w:t>装卸货物作业时，装卸平台要平稳牢固，工作的站位要留有安全转身余地。伸缩链板输送机伸缩移动时，应停止作业，站在安全位置，伸缩移动后再重新作业。</w:t>
      </w:r>
    </w:p>
    <w:p>
      <w:pPr>
        <w:ind w:firstLine="480"/>
      </w:pPr>
      <w:r>
        <w:t>8</w:t>
      </w:r>
      <w:r>
        <w:rPr>
          <w:rFonts w:hint="eastAsia"/>
          <w:lang w:eastAsia="zh-CN"/>
        </w:rPr>
        <w:t>、</w:t>
      </w:r>
      <w:r>
        <w:t>托盘的码放应整齐垂直、稳固。装卸货物时，应按照下重上轻、下大上小秩序码垛整齐，按定额装卸。</w:t>
      </w:r>
    </w:p>
    <w:p>
      <w:pPr>
        <w:ind w:firstLine="480"/>
      </w:pPr>
      <w:r>
        <w:t>9</w:t>
      </w:r>
      <w:r>
        <w:rPr>
          <w:rFonts w:hint="eastAsia"/>
          <w:lang w:eastAsia="zh-CN"/>
        </w:rPr>
        <w:t>、</w:t>
      </w:r>
      <w:r>
        <w:t>装卸现场实行负责人带班管理，负责向现场装卸人员和驾驶人员交代安全注意事项，并监督检查。</w:t>
      </w:r>
    </w:p>
    <w:p>
      <w:pPr>
        <w:ind w:firstLine="480"/>
      </w:pPr>
      <w:r>
        <w:t>10</w:t>
      </w:r>
      <w:r>
        <w:rPr>
          <w:rFonts w:hint="eastAsia"/>
          <w:lang w:eastAsia="zh-CN"/>
        </w:rPr>
        <w:t>、</w:t>
      </w:r>
      <w:r>
        <w:t>装卸前应先检查货运车辆的装卸安全状况，防止车辆重心偏离造成货物或车辆侧翻。装卸操作要坚持慢行、前后左右兼顾的原则，当视线受影响时，要特别注意走动人员的动向和行进路线的安全。</w:t>
      </w:r>
    </w:p>
    <w:p>
      <w:pPr>
        <w:ind w:firstLine="480"/>
      </w:pPr>
      <w:r>
        <w:t>11</w:t>
      </w:r>
      <w:r>
        <w:rPr>
          <w:rFonts w:hint="eastAsia"/>
          <w:lang w:eastAsia="zh-CN"/>
        </w:rPr>
        <w:t>、</w:t>
      </w:r>
      <w:r>
        <w:t>结束每一项装卸工作后，要做好清理现场工作，不能留下搬运的工具（包括辅助作用的木棍、垫板、架子或各种物品）、装卸作业形成的废物或垃圾等</w:t>
      </w:r>
    </w:p>
    <w:p>
      <w:pPr>
        <w:ind w:firstLine="480"/>
      </w:pPr>
      <w:r>
        <w:t>12</w:t>
      </w:r>
      <w:r>
        <w:rPr>
          <w:rFonts w:hint="eastAsia"/>
          <w:lang w:eastAsia="zh-CN"/>
        </w:rPr>
        <w:t>、</w:t>
      </w:r>
      <w:r>
        <w:t>工作暂停、人员离开工作场所和中途吃饭、以及工作结束时，都要通知相关人员工作完毕，相关人员不在的情况下，锁好门窗。断开工作时打开的电器、电源开关，并做好相关的安全防护措施。</w:t>
      </w:r>
    </w:p>
    <w:p>
      <w:pPr>
        <w:ind w:firstLine="480"/>
      </w:pPr>
      <w:r>
        <w:t>13</w:t>
      </w:r>
      <w:r>
        <w:rPr>
          <w:rFonts w:hint="eastAsia"/>
          <w:lang w:eastAsia="zh-CN"/>
        </w:rPr>
        <w:t>、</w:t>
      </w:r>
      <w:r>
        <w:t>禁止在装卸作业区内维修车辆。装卸作业由仓库安排，严禁高温下作业，装卸物品应轻拿轻放，严禁乱摔乱砸。</w:t>
      </w:r>
    </w:p>
    <w:p>
      <w:pPr>
        <w:ind w:firstLine="480"/>
        <w:rPr>
          <w:b/>
          <w:bCs/>
        </w:rPr>
      </w:pPr>
      <w:r>
        <w:rPr>
          <w:rFonts w:hint="eastAsia"/>
          <w:b/>
          <w:bCs/>
        </w:rPr>
        <w:t>（二）装卸人员管理</w:t>
      </w:r>
    </w:p>
    <w:p>
      <w:pPr>
        <w:ind w:firstLine="480"/>
      </w:pPr>
      <w:r>
        <w:rPr>
          <w:rFonts w:hint="eastAsia"/>
        </w:rPr>
        <w:t>为了加强管理，严肃纪律，确保本项目的产品及时安全装卸，保障生产经营工作顺利进行，特制定本制度，具体如下：</w:t>
      </w:r>
    </w:p>
    <w:p>
      <w:pPr>
        <w:ind w:firstLine="480"/>
      </w:pPr>
      <w:r>
        <w:t>1</w:t>
      </w:r>
      <w:r>
        <w:rPr>
          <w:rFonts w:hint="eastAsia"/>
          <w:lang w:eastAsia="zh-CN"/>
        </w:rPr>
        <w:t>、</w:t>
      </w:r>
      <w:r>
        <w:t>装卸人员必须严格遵守国家的法律、法规，公司和项目的各项规章制度。</w:t>
      </w:r>
    </w:p>
    <w:p>
      <w:pPr>
        <w:ind w:firstLine="480"/>
      </w:pPr>
      <w:r>
        <w:t>2</w:t>
      </w:r>
      <w:r>
        <w:rPr>
          <w:rFonts w:hint="eastAsia"/>
          <w:lang w:eastAsia="zh-CN"/>
        </w:rPr>
        <w:t>、</w:t>
      </w:r>
      <w:r>
        <w:t>装卸人员必须服从项目经理的安排和指挥，有事必须向项目经理请假，在限期内归队，超假不归或无故不出工者，一次罚款500元或解除用工协议。保证随叫随到，无故不到者，每出现一次罚款100元。</w:t>
      </w:r>
    </w:p>
    <w:p>
      <w:pPr>
        <w:ind w:firstLine="480"/>
      </w:pPr>
      <w:r>
        <w:t>3</w:t>
      </w:r>
      <w:r>
        <w:rPr>
          <w:rFonts w:hint="eastAsia"/>
          <w:lang w:eastAsia="zh-CN"/>
        </w:rPr>
        <w:t>、</w:t>
      </w:r>
      <w:r>
        <w:t>坚持文明装卸，装卸操作时应轻拿轻放，谨慎操作，严防跌落、摔碰，禁止撞击、拖拉、翻滚、投掷。如果每出一次以上不文明现象罚款100元。</w:t>
      </w:r>
    </w:p>
    <w:p>
      <w:pPr>
        <w:ind w:firstLine="480"/>
      </w:pPr>
      <w:r>
        <w:t>4</w:t>
      </w:r>
      <w:r>
        <w:rPr>
          <w:rFonts w:hint="eastAsia"/>
          <w:lang w:eastAsia="zh-CN"/>
        </w:rPr>
        <w:t>、</w:t>
      </w:r>
      <w:r>
        <w:t>进入生产区、库区必须关闭手机，装卸过程中不得乱窜工房、乱动工房内设施，不听劝告者一次罚款100元。</w:t>
      </w:r>
    </w:p>
    <w:p>
      <w:pPr>
        <w:ind w:firstLine="480"/>
      </w:pPr>
      <w:r>
        <w:t>5</w:t>
      </w:r>
      <w:r>
        <w:rPr>
          <w:rFonts w:hint="eastAsia"/>
          <w:lang w:eastAsia="zh-CN"/>
        </w:rPr>
        <w:t>、</w:t>
      </w:r>
      <w:r>
        <w:t>要安全乘车，禁止扒车、跳车、上下班搭乘装满货物的车辆，若因违禁造成后果者责任自负。</w:t>
      </w:r>
    </w:p>
    <w:p>
      <w:pPr>
        <w:ind w:firstLine="480"/>
      </w:pPr>
      <w:r>
        <w:t>6</w:t>
      </w:r>
      <w:r>
        <w:rPr>
          <w:rFonts w:hint="eastAsia"/>
          <w:lang w:eastAsia="zh-CN"/>
        </w:rPr>
        <w:t>、</w:t>
      </w:r>
      <w:r>
        <w:t>严禁偷盗生产原材料、成品、公共物品和私人物品，发现后视其情节移交公安机关或按价赔偿，并按偷盗价值3倍罚款，解除用工协议。</w:t>
      </w:r>
    </w:p>
    <w:p>
      <w:pPr>
        <w:ind w:firstLine="480"/>
      </w:pPr>
      <w:r>
        <w:t>7</w:t>
      </w:r>
      <w:r>
        <w:rPr>
          <w:rFonts w:hint="eastAsia"/>
          <w:lang w:eastAsia="zh-CN"/>
        </w:rPr>
        <w:t>、</w:t>
      </w:r>
      <w:r>
        <w:t>严禁在上班前饮酒，禁止夜间十一点后聚众饮酒，猜拳行令，影响他人休息，不听劝阻一次罚款100元。</w:t>
      </w:r>
    </w:p>
    <w:p>
      <w:pPr>
        <w:ind w:firstLine="480"/>
      </w:pPr>
      <w:r>
        <w:t>8</w:t>
      </w:r>
      <w:r>
        <w:rPr>
          <w:rFonts w:hint="eastAsia"/>
          <w:lang w:eastAsia="zh-CN"/>
        </w:rPr>
        <w:t>、</w:t>
      </w:r>
      <w:r>
        <w:t>上岗时严禁携带烟火及其他易燃易爆物品，不准穿铁钉鞋和化纤服装作业，不听劝阻一次罚款100元。</w:t>
      </w:r>
    </w:p>
    <w:p>
      <w:pPr>
        <w:ind w:firstLine="480"/>
      </w:pPr>
      <w:r>
        <w:t>9</w:t>
      </w:r>
      <w:r>
        <w:rPr>
          <w:rFonts w:hint="eastAsia"/>
          <w:lang w:eastAsia="zh-CN"/>
        </w:rPr>
        <w:t>、</w:t>
      </w:r>
      <w:r>
        <w:t>在装卸货物时，不得刁难采购方工作人员或索取额外的装卸费。</w:t>
      </w:r>
    </w:p>
    <w:p>
      <w:pPr>
        <w:ind w:firstLine="480"/>
      </w:pPr>
      <w:r>
        <w:t>10</w:t>
      </w:r>
      <w:r>
        <w:rPr>
          <w:rFonts w:hint="eastAsia"/>
          <w:lang w:eastAsia="zh-CN"/>
        </w:rPr>
        <w:t>、</w:t>
      </w:r>
      <w:r>
        <w:t>不准拉帮结派，成员之间要团结友爱，和睦相处，共同完成装卸任务。</w:t>
      </w:r>
    </w:p>
    <w:p>
      <w:pPr>
        <w:spacing w:before="0" w:after="0" w:line="240" w:lineRule="auto"/>
        <w:ind w:firstLine="0" w:firstLineChars="0"/>
        <w:jc w:val="left"/>
      </w:pPr>
      <w:r>
        <w:br w:type="page"/>
      </w:r>
    </w:p>
    <w:p>
      <w:pPr>
        <w:pStyle w:val="5"/>
        <w:bidi w:val="0"/>
      </w:pPr>
      <w:bookmarkStart w:id="373" w:name="_Toc116400086"/>
      <w:bookmarkStart w:id="374" w:name="_Toc117181936"/>
      <w:bookmarkStart w:id="375" w:name="_Toc23171"/>
      <w:bookmarkStart w:id="376" w:name="_Toc118293249"/>
      <w:r>
        <w:rPr>
          <w:rFonts w:hint="eastAsia"/>
          <w:lang w:val="en-US" w:eastAsia="zh-CN"/>
        </w:rPr>
        <w:t>二、</w:t>
      </w:r>
      <w:r>
        <w:rPr>
          <w:rFonts w:hint="eastAsia"/>
        </w:rPr>
        <w:t>货物运输流程</w:t>
      </w:r>
      <w:bookmarkEnd w:id="373"/>
      <w:bookmarkEnd w:id="374"/>
      <w:bookmarkEnd w:id="375"/>
      <w:bookmarkEnd w:id="376"/>
    </w:p>
    <w:p>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562" w:firstLineChars="200"/>
        <w:textAlignment w:val="auto"/>
        <w:rPr>
          <w:b/>
          <w:bCs/>
        </w:rPr>
      </w:pPr>
      <w:r>
        <w:rPr>
          <w:rFonts w:hint="eastAsia"/>
          <w:b/>
          <w:bCs/>
          <w:lang w:eastAsia="zh-CN"/>
        </w:rPr>
        <w:t>（</w:t>
      </w:r>
      <w:r>
        <w:rPr>
          <w:rFonts w:hint="eastAsia"/>
          <w:b/>
          <w:bCs/>
          <w:lang w:val="en-US" w:eastAsia="zh-CN"/>
        </w:rPr>
        <w:t>一</w:t>
      </w:r>
      <w:r>
        <w:rPr>
          <w:rFonts w:hint="eastAsia"/>
          <w:b/>
          <w:bCs/>
          <w:lang w:eastAsia="zh-CN"/>
        </w:rPr>
        <w:t>）</w:t>
      </w:r>
      <w:r>
        <w:rPr>
          <w:rFonts w:hint="eastAsia"/>
          <w:b/>
          <w:bCs/>
        </w:rPr>
        <w:t>接单</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560" w:firstLineChars="200"/>
        <w:textAlignment w:val="auto"/>
      </w:pPr>
      <w:r>
        <w:t>1</w:t>
      </w:r>
      <w:r>
        <w:rPr>
          <w:rFonts w:hint="eastAsia"/>
          <w:lang w:eastAsia="zh-CN"/>
        </w:rPr>
        <w:t>、</w:t>
      </w:r>
      <w:r>
        <w:t>运输主管根据供货计划开始运输发送计划。</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560" w:firstLineChars="200"/>
        <w:textAlignment w:val="auto"/>
      </w:pPr>
      <w:r>
        <w:t>2</w:t>
      </w:r>
      <w:r>
        <w:rPr>
          <w:rFonts w:hint="eastAsia"/>
          <w:lang w:eastAsia="zh-CN"/>
        </w:rPr>
        <w:t>、</w:t>
      </w:r>
      <w:r>
        <w:t>运输人员从公司接出库提货单证。</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560" w:firstLineChars="200"/>
        <w:textAlignment w:val="auto"/>
      </w:pPr>
      <w:r>
        <w:t>3</w:t>
      </w:r>
      <w:r>
        <w:rPr>
          <w:rFonts w:hint="eastAsia"/>
          <w:lang w:eastAsia="zh-CN"/>
        </w:rPr>
        <w:t>、</w:t>
      </w:r>
      <w:r>
        <w:t>核对单证。</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562" w:firstLineChars="200"/>
        <w:textAlignment w:val="auto"/>
        <w:rPr>
          <w:b/>
          <w:bCs/>
        </w:rPr>
      </w:pPr>
      <w:r>
        <w:rPr>
          <w:rFonts w:hint="eastAsia"/>
          <w:b/>
          <w:bCs/>
          <w:lang w:eastAsia="zh-CN"/>
        </w:rPr>
        <w:t>（</w:t>
      </w:r>
      <w:r>
        <w:rPr>
          <w:rFonts w:hint="eastAsia"/>
          <w:b/>
          <w:bCs/>
          <w:lang w:val="en-US" w:eastAsia="zh-CN"/>
        </w:rPr>
        <w:t>二</w:t>
      </w:r>
      <w:r>
        <w:rPr>
          <w:rFonts w:hint="eastAsia"/>
          <w:b/>
          <w:bCs/>
          <w:lang w:eastAsia="zh-CN"/>
        </w:rPr>
        <w:t>）</w:t>
      </w:r>
      <w:r>
        <w:rPr>
          <w:rFonts w:hint="eastAsia"/>
          <w:b/>
          <w:bCs/>
        </w:rPr>
        <w:t>登记</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560" w:firstLineChars="200"/>
        <w:textAlignment w:val="auto"/>
      </w:pPr>
      <w:r>
        <w:t>1</w:t>
      </w:r>
      <w:r>
        <w:rPr>
          <w:rFonts w:hint="eastAsia"/>
          <w:lang w:eastAsia="zh-CN"/>
        </w:rPr>
        <w:t>、</w:t>
      </w:r>
      <w:r>
        <w:t>运输人员在登记表上登记送货目的地，采购方标定提货号码。</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560" w:firstLineChars="200"/>
        <w:textAlignment w:val="auto"/>
      </w:pPr>
      <w:r>
        <w:t>2</w:t>
      </w:r>
      <w:r>
        <w:rPr>
          <w:rFonts w:hint="eastAsia"/>
          <w:lang w:eastAsia="zh-CN"/>
        </w:rPr>
        <w:t>、</w:t>
      </w:r>
      <w:r>
        <w:t>驾驶员到运输人员中心拿提货单，并在运输台账上确认签收。</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562" w:firstLineChars="200"/>
        <w:textAlignment w:val="auto"/>
        <w:rPr>
          <w:b/>
          <w:bCs/>
        </w:rPr>
      </w:pPr>
      <w:r>
        <w:rPr>
          <w:rFonts w:hint="eastAsia"/>
          <w:b/>
          <w:bCs/>
          <w:lang w:eastAsia="zh-CN"/>
        </w:rPr>
        <w:t>（</w:t>
      </w:r>
      <w:r>
        <w:rPr>
          <w:rFonts w:hint="eastAsia"/>
          <w:b/>
          <w:bCs/>
          <w:lang w:val="en-US" w:eastAsia="zh-CN"/>
        </w:rPr>
        <w:t>三</w:t>
      </w:r>
      <w:r>
        <w:rPr>
          <w:rFonts w:hint="eastAsia"/>
          <w:b/>
          <w:bCs/>
          <w:lang w:eastAsia="zh-CN"/>
        </w:rPr>
        <w:t>）</w:t>
      </w:r>
      <w:r>
        <w:rPr>
          <w:rFonts w:hint="eastAsia"/>
          <w:b/>
          <w:bCs/>
        </w:rPr>
        <w:t>调度安排</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560" w:firstLineChars="200"/>
        <w:textAlignment w:val="auto"/>
      </w:pPr>
      <w:r>
        <w:t>1</w:t>
      </w:r>
      <w:r>
        <w:rPr>
          <w:rFonts w:hint="eastAsia"/>
          <w:lang w:eastAsia="zh-CN"/>
        </w:rPr>
        <w:t>、</w:t>
      </w:r>
      <w:r>
        <w:t>填写运输计划。</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560" w:firstLineChars="200"/>
        <w:textAlignment w:val="auto"/>
      </w:pPr>
      <w:r>
        <w:t>2</w:t>
      </w:r>
      <w:r>
        <w:rPr>
          <w:rFonts w:hint="eastAsia"/>
          <w:lang w:eastAsia="zh-CN"/>
        </w:rPr>
        <w:t>、</w:t>
      </w:r>
      <w:r>
        <w:t>填写运输在途，送到情况，追踪反馈表。</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560" w:firstLineChars="200"/>
        <w:textAlignment w:val="auto"/>
      </w:pPr>
      <w:r>
        <w:t>3</w:t>
      </w:r>
      <w:r>
        <w:rPr>
          <w:rFonts w:hint="eastAsia"/>
          <w:lang w:eastAsia="zh-CN"/>
        </w:rPr>
        <w:t>、</w:t>
      </w:r>
      <w:r>
        <w:t>电脑输单。</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562" w:firstLineChars="200"/>
        <w:textAlignment w:val="auto"/>
        <w:rPr>
          <w:b/>
          <w:bCs/>
        </w:rPr>
      </w:pPr>
      <w:r>
        <w:rPr>
          <w:rFonts w:hint="eastAsia"/>
          <w:b/>
          <w:bCs/>
          <w:lang w:eastAsia="zh-CN"/>
        </w:rPr>
        <w:t>（</w:t>
      </w:r>
      <w:r>
        <w:rPr>
          <w:rFonts w:hint="eastAsia"/>
          <w:b/>
          <w:bCs/>
          <w:lang w:val="en-US" w:eastAsia="zh-CN"/>
        </w:rPr>
        <w:t>四</w:t>
      </w:r>
      <w:r>
        <w:rPr>
          <w:rFonts w:hint="eastAsia"/>
          <w:b/>
          <w:bCs/>
          <w:lang w:eastAsia="zh-CN"/>
        </w:rPr>
        <w:t>）</w:t>
      </w:r>
      <w:r>
        <w:rPr>
          <w:rFonts w:hint="eastAsia"/>
          <w:b/>
          <w:bCs/>
        </w:rPr>
        <w:t>车队交接</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560" w:firstLineChars="200"/>
        <w:textAlignment w:val="auto"/>
      </w:pPr>
      <w:r>
        <w:t>1</w:t>
      </w:r>
      <w:r>
        <w:rPr>
          <w:rFonts w:hint="eastAsia"/>
          <w:lang w:eastAsia="zh-CN"/>
        </w:rPr>
        <w:t>、</w:t>
      </w:r>
      <w:r>
        <w:t>根据送货方向，重量、体积、统筹安排车辆。</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560" w:firstLineChars="200"/>
        <w:textAlignment w:val="auto"/>
      </w:pPr>
      <w:r>
        <w:t>2</w:t>
      </w:r>
      <w:r>
        <w:rPr>
          <w:rFonts w:hint="eastAsia"/>
          <w:lang w:eastAsia="zh-CN"/>
        </w:rPr>
        <w:t>、</w:t>
      </w:r>
      <w:r>
        <w:t>报运输计划给采购方，并确认到货时间。</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562" w:firstLineChars="200"/>
        <w:textAlignment w:val="auto"/>
        <w:rPr>
          <w:b/>
          <w:bCs/>
        </w:rPr>
      </w:pPr>
      <w:r>
        <w:rPr>
          <w:rFonts w:hint="eastAsia"/>
          <w:b/>
          <w:bCs/>
          <w:lang w:eastAsia="zh-CN"/>
        </w:rPr>
        <w:t>（</w:t>
      </w:r>
      <w:r>
        <w:rPr>
          <w:rFonts w:hint="eastAsia"/>
          <w:b/>
          <w:bCs/>
          <w:lang w:val="en-US" w:eastAsia="zh-CN"/>
        </w:rPr>
        <w:t>五</w:t>
      </w:r>
      <w:r>
        <w:rPr>
          <w:rFonts w:hint="eastAsia"/>
          <w:b/>
          <w:bCs/>
          <w:lang w:eastAsia="zh-CN"/>
        </w:rPr>
        <w:t>）</w:t>
      </w:r>
      <w:r>
        <w:rPr>
          <w:rFonts w:hint="eastAsia"/>
          <w:b/>
          <w:bCs/>
        </w:rPr>
        <w:t>提货发运</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560" w:firstLineChars="200"/>
        <w:textAlignment w:val="auto"/>
      </w:pPr>
      <w:r>
        <w:t>1</w:t>
      </w:r>
      <w:r>
        <w:rPr>
          <w:rFonts w:hint="eastAsia"/>
          <w:lang w:eastAsia="zh-CN"/>
        </w:rPr>
        <w:t>、</w:t>
      </w:r>
      <w:r>
        <w:t>按时到达提货仓库。</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560" w:firstLineChars="200"/>
        <w:textAlignment w:val="auto"/>
      </w:pPr>
      <w:r>
        <w:t>2</w:t>
      </w:r>
      <w:r>
        <w:rPr>
          <w:rFonts w:hint="eastAsia"/>
          <w:lang w:eastAsia="zh-CN"/>
        </w:rPr>
        <w:t>、</w:t>
      </w:r>
      <w:r>
        <w:t>检查车辆情况。</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560" w:firstLineChars="200"/>
        <w:textAlignment w:val="auto"/>
      </w:pPr>
      <w:r>
        <w:t>3</w:t>
      </w:r>
      <w:r>
        <w:rPr>
          <w:rFonts w:hint="eastAsia"/>
          <w:lang w:eastAsia="zh-CN"/>
        </w:rPr>
        <w:t>、</w:t>
      </w:r>
      <w:r>
        <w:t>办理提货手续。</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560" w:firstLineChars="200"/>
        <w:textAlignment w:val="auto"/>
      </w:pPr>
      <w:r>
        <w:t>4</w:t>
      </w:r>
      <w:r>
        <w:rPr>
          <w:rFonts w:hint="eastAsia"/>
          <w:lang w:eastAsia="zh-CN"/>
        </w:rPr>
        <w:t>、</w:t>
      </w:r>
      <w:r>
        <w:t>提货，清点数量，盖好车棚，锁好箱门。</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560" w:firstLineChars="200"/>
        <w:textAlignment w:val="auto"/>
      </w:pPr>
      <w:r>
        <w:t>5</w:t>
      </w:r>
      <w:r>
        <w:rPr>
          <w:rFonts w:hint="eastAsia"/>
          <w:lang w:eastAsia="zh-CN"/>
        </w:rPr>
        <w:t>、</w:t>
      </w:r>
      <w:r>
        <w:t>办好出厂手续。</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560" w:firstLineChars="200"/>
        <w:textAlignment w:val="auto"/>
      </w:pPr>
      <w:r>
        <w:t>6</w:t>
      </w:r>
      <w:r>
        <w:rPr>
          <w:rFonts w:hint="eastAsia"/>
          <w:lang w:eastAsia="zh-CN"/>
        </w:rPr>
        <w:t>、</w:t>
      </w:r>
      <w:r>
        <w:t>电话通知收货采购方预达时间。</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562" w:firstLineChars="200"/>
        <w:textAlignment w:val="auto"/>
        <w:rPr>
          <w:b/>
          <w:bCs/>
        </w:rPr>
      </w:pPr>
      <w:r>
        <w:rPr>
          <w:rFonts w:hint="eastAsia"/>
          <w:b/>
          <w:bCs/>
          <w:lang w:eastAsia="zh-CN"/>
        </w:rPr>
        <w:t>（</w:t>
      </w:r>
      <w:r>
        <w:rPr>
          <w:rFonts w:hint="eastAsia"/>
          <w:b/>
          <w:bCs/>
          <w:lang w:val="en-US" w:eastAsia="zh-CN"/>
        </w:rPr>
        <w:t>六</w:t>
      </w:r>
      <w:r>
        <w:rPr>
          <w:rFonts w:hint="eastAsia"/>
          <w:b/>
          <w:bCs/>
          <w:lang w:eastAsia="zh-CN"/>
        </w:rPr>
        <w:t>）</w:t>
      </w:r>
      <w:r>
        <w:rPr>
          <w:rFonts w:hint="eastAsia"/>
          <w:b/>
          <w:bCs/>
        </w:rPr>
        <w:t>在途追踪</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560" w:firstLineChars="200"/>
        <w:textAlignment w:val="auto"/>
      </w:pPr>
      <w:r>
        <w:t>1</w:t>
      </w:r>
      <w:r>
        <w:rPr>
          <w:rFonts w:hint="eastAsia"/>
          <w:lang w:eastAsia="zh-CN"/>
        </w:rPr>
        <w:t>、</w:t>
      </w:r>
      <w:r>
        <w:t>建立收货采购方档案。</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560" w:firstLineChars="200"/>
        <w:textAlignment w:val="auto"/>
      </w:pPr>
      <w:r>
        <w:t>2</w:t>
      </w:r>
      <w:r>
        <w:rPr>
          <w:rFonts w:hint="eastAsia"/>
          <w:lang w:eastAsia="zh-CN"/>
        </w:rPr>
        <w:t>、</w:t>
      </w:r>
      <w:r>
        <w:t>驾驶员及时反馈途中信息。</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560" w:firstLineChars="200"/>
        <w:textAlignment w:val="auto"/>
      </w:pPr>
      <w:r>
        <w:t>3</w:t>
      </w:r>
      <w:r>
        <w:rPr>
          <w:rFonts w:hint="eastAsia"/>
          <w:lang w:eastAsia="zh-CN"/>
        </w:rPr>
        <w:t>、</w:t>
      </w:r>
      <w:r>
        <w:t>与收货采购方电话联系送货情况。</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560" w:firstLineChars="200"/>
        <w:textAlignment w:val="auto"/>
      </w:pPr>
      <w:r>
        <w:t>4</w:t>
      </w:r>
      <w:r>
        <w:rPr>
          <w:rFonts w:hint="eastAsia"/>
          <w:lang w:eastAsia="zh-CN"/>
        </w:rPr>
        <w:t>、</w:t>
      </w:r>
      <w:r>
        <w:t>填写跟踪记录。</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560" w:firstLineChars="200"/>
        <w:textAlignment w:val="auto"/>
      </w:pPr>
      <w:r>
        <w:t>5</w:t>
      </w:r>
      <w:r>
        <w:rPr>
          <w:rFonts w:hint="eastAsia"/>
          <w:lang w:eastAsia="zh-CN"/>
        </w:rPr>
        <w:t>、</w:t>
      </w:r>
      <w:r>
        <w:t>有异常情况及时与采购方联系。</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562" w:firstLineChars="200"/>
        <w:textAlignment w:val="auto"/>
        <w:rPr>
          <w:b/>
          <w:bCs/>
        </w:rPr>
      </w:pPr>
      <w:r>
        <w:rPr>
          <w:rFonts w:hint="eastAsia"/>
          <w:b/>
          <w:bCs/>
          <w:lang w:eastAsia="zh-CN"/>
        </w:rPr>
        <w:t>（</w:t>
      </w:r>
      <w:r>
        <w:rPr>
          <w:rFonts w:hint="eastAsia"/>
          <w:b/>
          <w:bCs/>
          <w:lang w:val="en-US" w:eastAsia="zh-CN"/>
        </w:rPr>
        <w:t>七</w:t>
      </w:r>
      <w:r>
        <w:rPr>
          <w:rFonts w:hint="eastAsia"/>
          <w:b/>
          <w:bCs/>
          <w:lang w:eastAsia="zh-CN"/>
        </w:rPr>
        <w:t>）</w:t>
      </w:r>
      <w:r>
        <w:rPr>
          <w:rFonts w:hint="eastAsia"/>
          <w:b/>
          <w:bCs/>
        </w:rPr>
        <w:t>到达签收回单</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560" w:firstLineChars="200"/>
        <w:textAlignment w:val="auto"/>
      </w:pPr>
      <w:r>
        <w:t>1</w:t>
      </w:r>
      <w:r>
        <w:rPr>
          <w:rFonts w:hint="eastAsia"/>
          <w:lang w:eastAsia="zh-CN"/>
        </w:rPr>
        <w:t>、</w:t>
      </w:r>
      <w:r>
        <w:t>按时准确到达指定卸货地点。</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560" w:firstLineChars="200"/>
        <w:textAlignment w:val="auto"/>
      </w:pPr>
      <w:r>
        <w:t>2</w:t>
      </w:r>
      <w:r>
        <w:rPr>
          <w:rFonts w:hint="eastAsia"/>
          <w:lang w:eastAsia="zh-CN"/>
        </w:rPr>
        <w:t>、</w:t>
      </w:r>
      <w:r>
        <w:t>货物交接。</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560" w:firstLineChars="200"/>
        <w:textAlignment w:val="auto"/>
      </w:pPr>
      <w:r>
        <w:t>3</w:t>
      </w:r>
      <w:r>
        <w:rPr>
          <w:rFonts w:hint="eastAsia"/>
          <w:lang w:eastAsia="zh-CN"/>
        </w:rPr>
        <w:t>、</w:t>
      </w:r>
      <w:r>
        <w:t>百分之百签收，保证运输货物的数量和质量与出库单一致。</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560" w:firstLineChars="200"/>
        <w:textAlignment w:val="auto"/>
      </w:pPr>
      <w:r>
        <w:t>4</w:t>
      </w:r>
      <w:r>
        <w:rPr>
          <w:rFonts w:hint="eastAsia"/>
          <w:lang w:eastAsia="zh-CN"/>
        </w:rPr>
        <w:t>、</w:t>
      </w:r>
      <w:r>
        <w:t>将签收货物回执单反馈至公司。</w:t>
      </w:r>
    </w:p>
    <w:p>
      <w:pPr>
        <w:spacing w:before="0" w:after="0" w:line="240" w:lineRule="auto"/>
        <w:ind w:firstLine="0" w:firstLineChars="0"/>
        <w:jc w:val="left"/>
      </w:pPr>
      <w:r>
        <w:br w:type="page"/>
      </w:r>
    </w:p>
    <w:p>
      <w:pPr>
        <w:pStyle w:val="5"/>
        <w:bidi w:val="0"/>
      </w:pPr>
      <w:bookmarkStart w:id="377" w:name="_Toc117181937"/>
      <w:bookmarkStart w:id="378" w:name="_Toc118293250"/>
      <w:bookmarkStart w:id="379" w:name="_Toc116400087"/>
      <w:bookmarkStart w:id="380" w:name="_Toc9769"/>
      <w:r>
        <w:rPr>
          <w:rFonts w:hint="eastAsia"/>
          <w:lang w:val="en-US" w:eastAsia="zh-CN"/>
        </w:rPr>
        <w:t>三、</w:t>
      </w:r>
      <w:r>
        <w:rPr>
          <w:rFonts w:hint="eastAsia"/>
        </w:rPr>
        <w:t>运输实施计划</w:t>
      </w:r>
      <w:bookmarkEnd w:id="377"/>
      <w:bookmarkEnd w:id="378"/>
      <w:bookmarkEnd w:id="379"/>
      <w:bookmarkEnd w:id="380"/>
    </w:p>
    <w:p>
      <w:pPr>
        <w:pStyle w:val="6"/>
        <w:bidi w:val="0"/>
      </w:pPr>
      <w:bookmarkStart w:id="381" w:name="_Toc7250"/>
      <w:r>
        <w:rPr>
          <w:rFonts w:hint="eastAsia"/>
          <w:lang w:eastAsia="zh-CN"/>
        </w:rPr>
        <w:t>（</w:t>
      </w:r>
      <w:r>
        <w:rPr>
          <w:rFonts w:hint="eastAsia"/>
          <w:lang w:val="en-US" w:eastAsia="zh-CN"/>
        </w:rPr>
        <w:t>一</w:t>
      </w:r>
      <w:r>
        <w:rPr>
          <w:rFonts w:hint="eastAsia"/>
          <w:lang w:eastAsia="zh-CN"/>
        </w:rPr>
        <w:t>）</w:t>
      </w:r>
      <w:r>
        <w:rPr>
          <w:rFonts w:hint="eastAsia"/>
        </w:rPr>
        <w:t>运输人员</w:t>
      </w:r>
      <w:bookmarkEnd w:id="381"/>
    </w:p>
    <w:p>
      <w:pPr>
        <w:ind w:firstLine="480"/>
      </w:pPr>
      <w:r>
        <w:rPr>
          <w:rFonts w:hint="eastAsia"/>
        </w:rPr>
        <w:t>若本次我公司中标，将由主管业务的总经理担任该项目的项目经理，成立专项小组，</w:t>
      </w:r>
      <w:r>
        <w:t>全程监管本次运输任务中的各个环节。司机驾龄均在5年以上，技术高，素质强。</w:t>
      </w:r>
    </w:p>
    <w:p>
      <w:pPr>
        <w:pStyle w:val="6"/>
        <w:bidi w:val="0"/>
      </w:pPr>
      <w:bookmarkStart w:id="382" w:name="_Toc21818"/>
      <w:r>
        <w:rPr>
          <w:rFonts w:hint="eastAsia"/>
          <w:lang w:eastAsia="zh-CN"/>
        </w:rPr>
        <w:t>（</w:t>
      </w:r>
      <w:r>
        <w:rPr>
          <w:rFonts w:hint="eastAsia"/>
          <w:lang w:val="en-US" w:eastAsia="zh-CN"/>
        </w:rPr>
        <w:t>二</w:t>
      </w:r>
      <w:r>
        <w:rPr>
          <w:rFonts w:hint="eastAsia"/>
          <w:lang w:eastAsia="zh-CN"/>
        </w:rPr>
        <w:t>）</w:t>
      </w:r>
      <w:r>
        <w:rPr>
          <w:rFonts w:hint="eastAsia"/>
        </w:rPr>
        <w:t>运输车辆</w:t>
      </w:r>
      <w:bookmarkEnd w:id="382"/>
    </w:p>
    <w:p>
      <w:pPr>
        <w:ind w:firstLine="480"/>
      </w:pPr>
      <w:r>
        <w:rPr>
          <w:rFonts w:hint="eastAsia"/>
        </w:rPr>
        <w:t>公司将配备强大的运力完成本项目的运输任务，承接运输的车辆全部机械性能优良且手续齐全，所有参与运输的车辆均配备卫星定位装置，具备全程监管条件，公司所有运输车辆年限全部在有效服务期限内，且车况良好、维修保养及时、年检合格。</w:t>
      </w:r>
    </w:p>
    <w:p>
      <w:pPr>
        <w:pStyle w:val="6"/>
        <w:bidi w:val="0"/>
      </w:pPr>
      <w:bookmarkStart w:id="383" w:name="_Toc9290"/>
      <w:r>
        <w:rPr>
          <w:rFonts w:hint="eastAsia"/>
          <w:lang w:eastAsia="zh-CN"/>
        </w:rPr>
        <w:t>（</w:t>
      </w:r>
      <w:r>
        <w:rPr>
          <w:rFonts w:hint="eastAsia"/>
          <w:lang w:val="en-US" w:eastAsia="zh-CN"/>
        </w:rPr>
        <w:t>三</w:t>
      </w:r>
      <w:r>
        <w:rPr>
          <w:rFonts w:hint="eastAsia"/>
          <w:lang w:eastAsia="zh-CN"/>
        </w:rPr>
        <w:t>）</w:t>
      </w:r>
      <w:r>
        <w:rPr>
          <w:rFonts w:hint="eastAsia"/>
        </w:rPr>
        <w:t>运输承诺</w:t>
      </w:r>
      <w:bookmarkEnd w:id="383"/>
    </w:p>
    <w:p>
      <w:pPr>
        <w:ind w:firstLine="480"/>
      </w:pPr>
      <w:r>
        <w:rPr>
          <w:rFonts w:hint="eastAsia"/>
        </w:rPr>
        <w:t>为规范本项目的产品运输经营活动，保障货物运输安全，保护货主的合法权益，我公司特在此承诺：</w:t>
      </w:r>
    </w:p>
    <w:p>
      <w:pPr>
        <w:ind w:firstLine="480"/>
      </w:pPr>
      <w:r>
        <w:rPr>
          <w:rFonts w:hint="eastAsia"/>
          <w:lang w:eastAsia="zh-CN"/>
        </w:rPr>
        <w:t>（</w:t>
      </w:r>
      <w:r>
        <w:rPr>
          <w:rFonts w:hint="eastAsia"/>
          <w:lang w:val="en-US" w:eastAsia="zh-CN"/>
        </w:rPr>
        <w:t>一</w:t>
      </w:r>
      <w:r>
        <w:rPr>
          <w:rFonts w:hint="eastAsia"/>
          <w:lang w:eastAsia="zh-CN"/>
        </w:rPr>
        <w:t>）</w:t>
      </w:r>
      <w:r>
        <w:t>在开展运输业务的过程中，严格按照产品的相关要求装载、起运和卸货，保证货品在运输过程的安全。</w:t>
      </w:r>
    </w:p>
    <w:p>
      <w:pPr>
        <w:ind w:firstLine="480"/>
      </w:pPr>
      <w:r>
        <w:rPr>
          <w:rFonts w:hint="eastAsia"/>
          <w:lang w:eastAsia="zh-CN"/>
        </w:rPr>
        <w:t>（</w:t>
      </w:r>
      <w:r>
        <w:rPr>
          <w:rFonts w:hint="eastAsia"/>
          <w:lang w:val="en-US" w:eastAsia="zh-CN"/>
        </w:rPr>
        <w:t>二</w:t>
      </w:r>
      <w:r>
        <w:rPr>
          <w:rFonts w:hint="eastAsia"/>
          <w:lang w:eastAsia="zh-CN"/>
        </w:rPr>
        <w:t>）</w:t>
      </w:r>
      <w:r>
        <w:t>本项目设置了调度员专职岗位，负责车辆的计划协调与管理跟踪服务，保证车辆的合理配置，保障营运业务的顺畅运作。</w:t>
      </w:r>
    </w:p>
    <w:p>
      <w:pPr>
        <w:ind w:firstLine="480"/>
      </w:pPr>
      <w:r>
        <w:rPr>
          <w:rFonts w:hint="eastAsia"/>
          <w:lang w:eastAsia="zh-CN"/>
        </w:rPr>
        <w:t>（</w:t>
      </w:r>
      <w:r>
        <w:rPr>
          <w:rFonts w:hint="eastAsia"/>
          <w:lang w:val="en-US" w:eastAsia="zh-CN"/>
        </w:rPr>
        <w:t>三</w:t>
      </w:r>
      <w:r>
        <w:rPr>
          <w:rFonts w:hint="eastAsia"/>
          <w:lang w:eastAsia="zh-CN"/>
        </w:rPr>
        <w:t>）</w:t>
      </w:r>
      <w:r>
        <w:t>设置安全员专职岗位，负责对营运车辆的例行检查和对驾驶人员的监督工作，防患于未然，确保营运业务的安全性和可靠性。</w:t>
      </w:r>
    </w:p>
    <w:p>
      <w:pPr>
        <w:ind w:firstLine="480"/>
      </w:pPr>
      <w:r>
        <w:rPr>
          <w:rFonts w:hint="eastAsia"/>
          <w:lang w:eastAsia="zh-CN"/>
        </w:rPr>
        <w:t>（</w:t>
      </w:r>
      <w:r>
        <w:rPr>
          <w:rFonts w:hint="eastAsia"/>
          <w:lang w:val="en-US" w:eastAsia="zh-CN"/>
        </w:rPr>
        <w:t>四</w:t>
      </w:r>
      <w:r>
        <w:rPr>
          <w:rFonts w:hint="eastAsia"/>
          <w:lang w:eastAsia="zh-CN"/>
        </w:rPr>
        <w:t>）</w:t>
      </w:r>
      <w:r>
        <w:t>严格遵守《中华人民共和国安全生产法》、《中华人民共和国道路交通安全法》等法律法规的相关规定，不超准运证运输。</w:t>
      </w:r>
    </w:p>
    <w:p>
      <w:pPr>
        <w:ind w:firstLine="480"/>
      </w:pPr>
      <w:r>
        <w:rPr>
          <w:rFonts w:hint="eastAsia"/>
          <w:lang w:eastAsia="zh-CN"/>
        </w:rPr>
        <w:t>（</w:t>
      </w:r>
      <w:r>
        <w:rPr>
          <w:rFonts w:hint="eastAsia"/>
          <w:lang w:val="en-US" w:eastAsia="zh-CN"/>
        </w:rPr>
        <w:t>五</w:t>
      </w:r>
      <w:r>
        <w:rPr>
          <w:rFonts w:hint="eastAsia"/>
          <w:lang w:eastAsia="zh-CN"/>
        </w:rPr>
        <w:t>）</w:t>
      </w:r>
      <w:r>
        <w:t>定期对车辆进行清洁清扫，保证车辆整洁无异味。同时按照采购方的运单配备专车，保证不混装货品，装运过程中，做足防护措施，起运前安排专人检查雨布、蓬布的安全性能，车辆未盖好蓬布、雨布不允许出装货现场。</w:t>
      </w:r>
    </w:p>
    <w:p>
      <w:pPr>
        <w:ind w:firstLine="480"/>
      </w:pPr>
      <w:r>
        <w:rPr>
          <w:rFonts w:hint="eastAsia"/>
          <w:lang w:eastAsia="zh-CN"/>
        </w:rPr>
        <w:t>（</w:t>
      </w:r>
      <w:r>
        <w:rPr>
          <w:rFonts w:hint="eastAsia"/>
          <w:lang w:val="en-US" w:eastAsia="zh-CN"/>
        </w:rPr>
        <w:t>六</w:t>
      </w:r>
      <w:r>
        <w:rPr>
          <w:rFonts w:hint="eastAsia"/>
          <w:lang w:eastAsia="zh-CN"/>
        </w:rPr>
        <w:t>）</w:t>
      </w:r>
      <w:r>
        <w:t>本项目自行提供产品运输的服务，承诺不将货物转委托第三人运输，采购方书面要求除外。</w:t>
      </w:r>
    </w:p>
    <w:p>
      <w:pPr>
        <w:ind w:firstLine="480"/>
      </w:pPr>
      <w:r>
        <w:rPr>
          <w:rFonts w:hint="eastAsia"/>
          <w:lang w:eastAsia="zh-CN"/>
        </w:rPr>
        <w:t>（</w:t>
      </w:r>
      <w:r>
        <w:rPr>
          <w:rFonts w:hint="eastAsia"/>
          <w:lang w:val="en-US" w:eastAsia="zh-CN"/>
        </w:rPr>
        <w:t>七</w:t>
      </w:r>
      <w:r>
        <w:rPr>
          <w:rFonts w:hint="eastAsia"/>
          <w:lang w:eastAsia="zh-CN"/>
        </w:rPr>
        <w:t>）</w:t>
      </w:r>
      <w:r>
        <w:t>本项目购买了大额货物运输保险及专项保险，本项目有能力承担一切经营风险以及意外风险，本想买确保“零”货损货差率，“100％”准时到达率（不可抗力的因素除外），在运输暂管期间（即在起运地装载完毕至到达目的地卸货完毕期间），如客户的货品发生丢失或损坏由本公司照价赔偿。</w:t>
      </w:r>
    </w:p>
    <w:p>
      <w:pPr>
        <w:ind w:firstLine="480"/>
      </w:pPr>
      <w:r>
        <w:rPr>
          <w:rFonts w:hint="eastAsia"/>
          <w:lang w:eastAsia="zh-CN"/>
        </w:rPr>
        <w:t>（</w:t>
      </w:r>
      <w:r>
        <w:rPr>
          <w:rFonts w:hint="eastAsia"/>
          <w:lang w:val="en-US" w:eastAsia="zh-CN"/>
        </w:rPr>
        <w:t>八</w:t>
      </w:r>
      <w:r>
        <w:rPr>
          <w:rFonts w:hint="eastAsia"/>
          <w:lang w:eastAsia="zh-CN"/>
        </w:rPr>
        <w:t>）</w:t>
      </w:r>
      <w:r>
        <w:t>根据《中华人民共和国安全生产法》、《中华人民共和国道路交通安全法》的相关规定，坚持“安全第一、预防为主”的指导方针，制定健全的安全生产管理制度，包括安全生产操作规程、安全生产责任制、安全生产监督检查、驾驶人员和车辆安全生产管理制度等，并认真执行。</w:t>
      </w:r>
    </w:p>
    <w:p>
      <w:pPr>
        <w:ind w:firstLine="480"/>
      </w:pPr>
      <w:r>
        <w:rPr>
          <w:rFonts w:hint="eastAsia"/>
          <w:lang w:eastAsia="zh-CN"/>
        </w:rPr>
        <w:t>（</w:t>
      </w:r>
      <w:r>
        <w:rPr>
          <w:rFonts w:hint="eastAsia"/>
          <w:lang w:val="en-US" w:eastAsia="zh-CN"/>
        </w:rPr>
        <w:t>九</w:t>
      </w:r>
      <w:r>
        <w:rPr>
          <w:rFonts w:hint="eastAsia"/>
          <w:lang w:eastAsia="zh-CN"/>
        </w:rPr>
        <w:t>）</w:t>
      </w:r>
      <w:r>
        <w:t>保证定期对运货车辆进行检测和维护，保持车辆技术状况良好，确保安全运输。</w:t>
      </w:r>
    </w:p>
    <w:p>
      <w:pPr>
        <w:ind w:firstLine="480"/>
      </w:pPr>
      <w:r>
        <w:rPr>
          <w:rFonts w:hint="eastAsia"/>
          <w:lang w:eastAsia="zh-CN"/>
        </w:rPr>
        <w:t>（</w:t>
      </w:r>
      <w:r>
        <w:rPr>
          <w:rFonts w:hint="eastAsia"/>
          <w:lang w:val="en-US" w:eastAsia="zh-CN"/>
        </w:rPr>
        <w:t>十</w:t>
      </w:r>
      <w:r>
        <w:rPr>
          <w:rFonts w:hint="eastAsia"/>
          <w:lang w:eastAsia="zh-CN"/>
        </w:rPr>
        <w:t>）</w:t>
      </w:r>
      <w:r>
        <w:t>保证定期组织驾乘人员进行安全学习及业务培训，使驾乘人员具有良好的业务知识、技能、职业道德和安全意识。</w:t>
      </w:r>
    </w:p>
    <w:p>
      <w:pPr>
        <w:ind w:firstLine="480"/>
      </w:pPr>
      <w:r>
        <w:rPr>
          <w:rFonts w:hint="eastAsia"/>
          <w:lang w:eastAsia="zh-CN"/>
        </w:rPr>
        <w:t>（</w:t>
      </w:r>
      <w:r>
        <w:rPr>
          <w:rFonts w:hint="eastAsia"/>
          <w:lang w:val="en-US" w:eastAsia="zh-CN"/>
        </w:rPr>
        <w:t>十一</w:t>
      </w:r>
      <w:r>
        <w:rPr>
          <w:rFonts w:hint="eastAsia"/>
          <w:lang w:eastAsia="zh-CN"/>
        </w:rPr>
        <w:t>）</w:t>
      </w:r>
      <w:r>
        <w:t>保证所聘用的驾乘人员经培训合格，持证上岗（司机领取了与所驾车辆相适应的驾驶证，且三年内无重大以上交通责任事故记录），身体健康，胜任工作。</w:t>
      </w:r>
    </w:p>
    <w:p>
      <w:pPr>
        <w:ind w:firstLine="480"/>
      </w:pPr>
      <w:r>
        <w:rPr>
          <w:rFonts w:hint="eastAsia"/>
          <w:lang w:eastAsia="zh-CN"/>
        </w:rPr>
        <w:t>（</w:t>
      </w:r>
      <w:r>
        <w:rPr>
          <w:rFonts w:hint="eastAsia"/>
          <w:lang w:val="en-US" w:eastAsia="zh-CN"/>
        </w:rPr>
        <w:t>十二</w:t>
      </w:r>
      <w:r>
        <w:rPr>
          <w:rFonts w:hint="eastAsia"/>
          <w:lang w:eastAsia="zh-CN"/>
        </w:rPr>
        <w:t>）</w:t>
      </w:r>
      <w:r>
        <w:t>遵守法律法规的规定，依法经营，诚实信用，优质服务。保证车辆不超速、不超载，司机不疲劳驾驶、连续驾驶、酒后驾驶、违法行车。</w:t>
      </w:r>
    </w:p>
    <w:p>
      <w:pPr>
        <w:ind w:firstLine="480"/>
      </w:pPr>
      <w:r>
        <w:rPr>
          <w:rFonts w:hint="eastAsia"/>
          <w:lang w:eastAsia="zh-CN"/>
        </w:rPr>
        <w:t>（</w:t>
      </w:r>
      <w:r>
        <w:rPr>
          <w:rFonts w:hint="eastAsia"/>
          <w:lang w:val="en-US" w:eastAsia="zh-CN"/>
        </w:rPr>
        <w:t>十三</w:t>
      </w:r>
      <w:r>
        <w:rPr>
          <w:rFonts w:hint="eastAsia"/>
          <w:lang w:eastAsia="zh-CN"/>
        </w:rPr>
        <w:t>）</w:t>
      </w:r>
      <w:r>
        <w:t>遵守所制定的道路运输应急预案，发生突发性公共事件时，服从政府和有关部门的统一调度、管理和指挥。</w:t>
      </w:r>
    </w:p>
    <w:p>
      <w:pPr>
        <w:ind w:firstLine="480"/>
      </w:pPr>
      <w:r>
        <w:rPr>
          <w:rFonts w:hint="eastAsia"/>
        </w:rPr>
        <w:t>我公司在此郑重承诺，如违反以上承诺，自愿按规定接受管理部门处罚。</w:t>
      </w:r>
    </w:p>
    <w:p>
      <w:pPr>
        <w:pStyle w:val="6"/>
        <w:bidi w:val="0"/>
      </w:pPr>
      <w:bookmarkStart w:id="384" w:name="_Toc9710"/>
      <w:r>
        <w:rPr>
          <w:rFonts w:hint="eastAsia"/>
          <w:lang w:eastAsia="zh-CN"/>
        </w:rPr>
        <w:t>（</w:t>
      </w:r>
      <w:r>
        <w:rPr>
          <w:rFonts w:hint="eastAsia"/>
          <w:lang w:val="en-US" w:eastAsia="zh-CN"/>
        </w:rPr>
        <w:t>四</w:t>
      </w:r>
      <w:r>
        <w:rPr>
          <w:rFonts w:hint="eastAsia"/>
          <w:lang w:eastAsia="zh-CN"/>
        </w:rPr>
        <w:t>）</w:t>
      </w:r>
      <w:r>
        <w:rPr>
          <w:rFonts w:hint="eastAsia"/>
        </w:rPr>
        <w:t>运输服务方针</w:t>
      </w:r>
      <w:bookmarkEnd w:id="384"/>
    </w:p>
    <w:p>
      <w:pPr>
        <w:ind w:firstLine="480"/>
      </w:pPr>
      <w:r>
        <w:rPr>
          <w:rFonts w:hint="eastAsia"/>
          <w:lang w:eastAsia="zh-CN"/>
        </w:rPr>
        <w:t>（</w:t>
      </w:r>
      <w:r>
        <w:rPr>
          <w:rFonts w:hint="eastAsia"/>
          <w:lang w:val="en-US" w:eastAsia="zh-CN"/>
        </w:rPr>
        <w:t>一</w:t>
      </w:r>
      <w:r>
        <w:rPr>
          <w:rFonts w:hint="eastAsia"/>
          <w:lang w:eastAsia="zh-CN"/>
        </w:rPr>
        <w:t>）</w:t>
      </w:r>
      <w:r>
        <w:t>优质安全：将承运供货给采购方的货物从起运地到达目的地，无货损、货差、质量无变质。</w:t>
      </w:r>
    </w:p>
    <w:p>
      <w:pPr>
        <w:ind w:firstLine="480"/>
      </w:pPr>
      <w:r>
        <w:rPr>
          <w:rFonts w:hint="eastAsia"/>
          <w:lang w:eastAsia="zh-CN"/>
        </w:rPr>
        <w:t>（</w:t>
      </w:r>
      <w:r>
        <w:rPr>
          <w:rFonts w:hint="eastAsia"/>
          <w:lang w:val="en-US" w:eastAsia="zh-CN"/>
        </w:rPr>
        <w:t>二</w:t>
      </w:r>
      <w:r>
        <w:rPr>
          <w:rFonts w:hint="eastAsia"/>
          <w:lang w:eastAsia="zh-CN"/>
        </w:rPr>
        <w:t>）</w:t>
      </w:r>
      <w:r>
        <w:t>及时可靠：按照采购方的要求在规定时限内把货物安全地运达目的地。</w:t>
      </w:r>
    </w:p>
    <w:p>
      <w:pPr>
        <w:ind w:firstLine="480"/>
      </w:pPr>
      <w:r>
        <w:rPr>
          <w:rFonts w:hint="eastAsia"/>
          <w:lang w:eastAsia="zh-CN"/>
        </w:rPr>
        <w:t>（</w:t>
      </w:r>
      <w:r>
        <w:rPr>
          <w:rFonts w:hint="eastAsia"/>
          <w:lang w:val="en-US" w:eastAsia="zh-CN"/>
        </w:rPr>
        <w:t>三</w:t>
      </w:r>
      <w:r>
        <w:rPr>
          <w:rFonts w:hint="eastAsia"/>
          <w:lang w:eastAsia="zh-CN"/>
        </w:rPr>
        <w:t>）</w:t>
      </w:r>
      <w:r>
        <w:t>方便周到：简便、迅速、层次少地为采购方提供直达服务。</w:t>
      </w:r>
    </w:p>
    <w:p>
      <w:pPr>
        <w:ind w:firstLine="480"/>
      </w:pPr>
      <w:r>
        <w:rPr>
          <w:rFonts w:hint="eastAsia"/>
          <w:lang w:eastAsia="zh-CN"/>
        </w:rPr>
        <w:t>（</w:t>
      </w:r>
      <w:r>
        <w:rPr>
          <w:rFonts w:hint="eastAsia"/>
          <w:lang w:val="en-US" w:eastAsia="zh-CN"/>
        </w:rPr>
        <w:t>四</w:t>
      </w:r>
      <w:r>
        <w:rPr>
          <w:rFonts w:hint="eastAsia"/>
          <w:lang w:eastAsia="zh-CN"/>
        </w:rPr>
        <w:t>）</w:t>
      </w:r>
      <w:r>
        <w:t>运输质量事故赔偿率≤2％；采购方投诉率≤2％；采购方满意率≥99％。</w:t>
      </w:r>
    </w:p>
    <w:p>
      <w:pPr>
        <w:pStyle w:val="6"/>
        <w:bidi w:val="0"/>
      </w:pPr>
      <w:bookmarkStart w:id="385" w:name="_Toc32758"/>
      <w:r>
        <w:rPr>
          <w:rFonts w:hint="eastAsia"/>
          <w:lang w:eastAsia="zh-CN"/>
        </w:rPr>
        <w:t>（</w:t>
      </w:r>
      <w:r>
        <w:rPr>
          <w:rFonts w:hint="eastAsia"/>
          <w:lang w:val="en-US" w:eastAsia="zh-CN"/>
        </w:rPr>
        <w:t>五</w:t>
      </w:r>
      <w:r>
        <w:rPr>
          <w:rFonts w:hint="eastAsia"/>
          <w:lang w:eastAsia="zh-CN"/>
        </w:rPr>
        <w:t>）</w:t>
      </w:r>
      <w:r>
        <w:rPr>
          <w:rFonts w:hint="eastAsia"/>
        </w:rPr>
        <w:t>运输风险控制</w:t>
      </w:r>
      <w:bookmarkEnd w:id="385"/>
    </w:p>
    <w:p>
      <w:pPr>
        <w:ind w:firstLine="480"/>
        <w:rPr>
          <w:b/>
          <w:bCs/>
        </w:rPr>
      </w:pPr>
      <w:r>
        <w:rPr>
          <w:rFonts w:hint="eastAsia"/>
          <w:b/>
          <w:bCs/>
          <w:lang w:eastAsia="zh-CN"/>
        </w:rPr>
        <w:t>（</w:t>
      </w:r>
      <w:r>
        <w:rPr>
          <w:rFonts w:hint="eastAsia"/>
          <w:b/>
          <w:bCs/>
          <w:lang w:val="en-US" w:eastAsia="zh-CN"/>
        </w:rPr>
        <w:t>一</w:t>
      </w:r>
      <w:r>
        <w:rPr>
          <w:rFonts w:hint="eastAsia"/>
          <w:b/>
          <w:bCs/>
          <w:lang w:eastAsia="zh-CN"/>
        </w:rPr>
        <w:t>）</w:t>
      </w:r>
      <w:r>
        <w:rPr>
          <w:b/>
          <w:bCs/>
        </w:rPr>
        <w:t>安全作业管理：</w:t>
      </w:r>
    </w:p>
    <w:p>
      <w:pPr>
        <w:ind w:firstLine="480"/>
      </w:pPr>
      <w:r>
        <w:rPr>
          <w:rFonts w:hint="eastAsia"/>
          <w:lang w:val="en-US" w:eastAsia="zh-CN"/>
        </w:rPr>
        <w:t>1、</w:t>
      </w:r>
      <w:r>
        <w:t>安全操作管理制度化。</w:t>
      </w:r>
    </w:p>
    <w:p>
      <w:pPr>
        <w:ind w:firstLine="480"/>
      </w:pPr>
      <w:r>
        <w:rPr>
          <w:rFonts w:hint="eastAsia"/>
          <w:lang w:val="en-US" w:eastAsia="zh-CN"/>
        </w:rPr>
        <w:t>2、</w:t>
      </w:r>
      <w:r>
        <w:t>加强劳动安全保护，遵守《中华人民共和国劳动法》。</w:t>
      </w:r>
    </w:p>
    <w:p>
      <w:pPr>
        <w:ind w:firstLine="480"/>
      </w:pPr>
      <w:r>
        <w:rPr>
          <w:rFonts w:hint="eastAsia"/>
          <w:lang w:val="en-US" w:eastAsia="zh-CN"/>
        </w:rPr>
        <w:t>3、</w:t>
      </w:r>
      <w:r>
        <w:t>重视作业人员资质管理和业务培训。</w:t>
      </w:r>
    </w:p>
    <w:p>
      <w:pPr>
        <w:ind w:firstLine="480"/>
        <w:rPr>
          <w:b/>
          <w:bCs/>
        </w:rPr>
      </w:pPr>
      <w:r>
        <w:rPr>
          <w:rFonts w:hint="eastAsia"/>
          <w:b/>
          <w:bCs/>
          <w:lang w:eastAsia="zh-CN"/>
        </w:rPr>
        <w:t>（</w:t>
      </w:r>
      <w:r>
        <w:rPr>
          <w:rFonts w:hint="eastAsia"/>
          <w:b/>
          <w:bCs/>
          <w:lang w:val="en-US" w:eastAsia="zh-CN"/>
        </w:rPr>
        <w:t>二</w:t>
      </w:r>
      <w:r>
        <w:rPr>
          <w:rFonts w:hint="eastAsia"/>
          <w:b/>
          <w:bCs/>
          <w:lang w:eastAsia="zh-CN"/>
        </w:rPr>
        <w:t>）</w:t>
      </w:r>
      <w:r>
        <w:rPr>
          <w:b/>
          <w:bCs/>
        </w:rPr>
        <w:t>安全运输要求：</w:t>
      </w:r>
    </w:p>
    <w:p>
      <w:pPr>
        <w:ind w:firstLine="480"/>
      </w:pPr>
      <w:r>
        <w:rPr>
          <w:rFonts w:hint="eastAsia"/>
          <w:lang w:val="en-US" w:eastAsia="zh-CN"/>
        </w:rPr>
        <w:t>1、</w:t>
      </w:r>
      <w:r>
        <w:t>有关运输人员及车辆必须符合《中华人民共和国道路交通安全法》的相关法律规定。</w:t>
      </w:r>
    </w:p>
    <w:p>
      <w:pPr>
        <w:ind w:firstLine="480"/>
      </w:pPr>
      <w:r>
        <w:rPr>
          <w:rFonts w:hint="eastAsia"/>
          <w:lang w:val="en-US" w:eastAsia="zh-CN"/>
        </w:rPr>
        <w:t>2、</w:t>
      </w:r>
      <w:r>
        <w:t>在运输路程中确保货物的安全、完整，如因物流运输导致的货物短缺、丢失赔付责任由我方承担。</w:t>
      </w:r>
    </w:p>
    <w:p>
      <w:pPr>
        <w:ind w:firstLine="480"/>
      </w:pPr>
      <w:r>
        <w:rPr>
          <w:rFonts w:hint="eastAsia"/>
          <w:lang w:val="en-US" w:eastAsia="zh-CN"/>
        </w:rPr>
        <w:t>3、</w:t>
      </w:r>
      <w:r>
        <w:t>在运输过程中必须遵守国家相关管理部门的规定，且不能同时夹运非贵方指定货物及装载危害运输物资或影响运输效果的货物，如因此给贵方造成的损失由我方赔偿。</w:t>
      </w:r>
    </w:p>
    <w:p>
      <w:pPr>
        <w:pStyle w:val="6"/>
        <w:bidi w:val="0"/>
      </w:pPr>
      <w:bookmarkStart w:id="386" w:name="_Toc4787"/>
      <w:r>
        <w:rPr>
          <w:rFonts w:hint="eastAsia"/>
          <w:lang w:eastAsia="zh-CN"/>
        </w:rPr>
        <w:t>（</w:t>
      </w:r>
      <w:r>
        <w:rPr>
          <w:rFonts w:hint="eastAsia"/>
          <w:lang w:val="en-US" w:eastAsia="zh-CN"/>
        </w:rPr>
        <w:t>六</w:t>
      </w:r>
      <w:r>
        <w:rPr>
          <w:rFonts w:hint="eastAsia"/>
          <w:lang w:eastAsia="zh-CN"/>
        </w:rPr>
        <w:t>）</w:t>
      </w:r>
      <w:r>
        <w:rPr>
          <w:rFonts w:hint="eastAsia"/>
        </w:rPr>
        <w:t>货物运输目标</w:t>
      </w:r>
      <w:bookmarkEnd w:id="386"/>
    </w:p>
    <w:p>
      <w:pPr>
        <w:ind w:firstLine="480"/>
      </w:pPr>
      <w:r>
        <w:rPr>
          <w:rFonts w:hint="eastAsia"/>
        </w:rPr>
        <w:t>根据产品的性质和特点，针对本次项目运输的任务，运输目标可以概括为“安全、迅速、准确、节省、方便”十个字，具体如下：</w:t>
      </w:r>
    </w:p>
    <w:p>
      <w:pPr>
        <w:ind w:firstLine="480"/>
      </w:pPr>
      <w:r>
        <w:rPr>
          <w:rFonts w:hint="eastAsia"/>
        </w:rPr>
        <w:t>（</w:t>
      </w:r>
      <w:r>
        <w:rPr>
          <w:rFonts w:hint="eastAsia"/>
          <w:lang w:val="en-US" w:eastAsia="zh-CN"/>
        </w:rPr>
        <w:t>一</w:t>
      </w:r>
      <w:r>
        <w:t>）安全：就是要求在运输过程中做到货物完好无损和各种运输工具的安全，如果运输过程中不能维护货物的质量，甚至造成大量货物的残次、破损和丢失，就不能保质保量地完成货物的运输；如果在运输中发生重大事故，比如交通意外等，不仅不能完成任务，而且会造成生命和财产的重大损失，所以货物运输要把安全放在首位。</w:t>
      </w:r>
    </w:p>
    <w:p>
      <w:pPr>
        <w:ind w:firstLine="480"/>
      </w:pPr>
      <w:r>
        <w:rPr>
          <w:rFonts w:hint="eastAsia"/>
        </w:rPr>
        <w:t>（</w:t>
      </w:r>
      <w:r>
        <w:rPr>
          <w:rFonts w:hint="eastAsia"/>
          <w:lang w:val="en-US" w:eastAsia="zh-CN"/>
        </w:rPr>
        <w:t>二</w:t>
      </w:r>
      <w:r>
        <w:t>）迅速：就是要严格按照合同的要求，把货物及时送到采购单位，时间就是效益，只有不失时机按质按量地把货物运到采购单位，才能树立良好的公司形象，保证双方的利益。</w:t>
      </w:r>
    </w:p>
    <w:p>
      <w:pPr>
        <w:ind w:firstLine="480"/>
      </w:pPr>
      <w:r>
        <w:rPr>
          <w:rFonts w:hint="eastAsia"/>
        </w:rPr>
        <w:t>（</w:t>
      </w:r>
      <w:r>
        <w:rPr>
          <w:rFonts w:hint="eastAsia"/>
          <w:lang w:val="en-US" w:eastAsia="zh-CN"/>
        </w:rPr>
        <w:t>三</w:t>
      </w:r>
      <w:r>
        <w:t>）准确：就是要把货物准确无误地运到采购方指定的交货地点，包括准确地办理各种货运单证手续，使单货相符；准确地计收、计付各项运杂费，避免错收、错付和漏收、漏付；只有准确才能说得上又好又省，发生任何差错事故，必然会造成损失，这是显而易见的。</w:t>
      </w:r>
    </w:p>
    <w:p>
      <w:pPr>
        <w:ind w:firstLine="480"/>
      </w:pPr>
      <w:r>
        <w:rPr>
          <w:rFonts w:hint="eastAsia"/>
        </w:rPr>
        <w:t>（</w:t>
      </w:r>
      <w:r>
        <w:rPr>
          <w:rFonts w:hint="eastAsia"/>
          <w:lang w:val="en-US" w:eastAsia="zh-CN"/>
        </w:rPr>
        <w:t>四</w:t>
      </w:r>
      <w:r>
        <w:t>）节省：就是要求通过加强经营管理，精打细算，降低运输成本，节省运杂费用和管理费用，减少费用支出，用较少的钱办较多的事，为双方创造更大效益。</w:t>
      </w:r>
    </w:p>
    <w:p>
      <w:pPr>
        <w:ind w:firstLine="480"/>
      </w:pPr>
      <w:r>
        <w:rPr>
          <w:rFonts w:hint="eastAsia"/>
        </w:rPr>
        <w:t>（</w:t>
      </w:r>
      <w:r>
        <w:rPr>
          <w:rFonts w:hint="eastAsia"/>
          <w:lang w:val="en-US" w:eastAsia="zh-CN"/>
        </w:rPr>
        <w:t>五</w:t>
      </w:r>
      <w:r>
        <w:t>）方便：就是要简化手续，减少层次，为采购方着想，急客户所急，立足于为客户服务，竭尽全力为客户排忧解难，要使客户感到在办事手续、办事时间、办事地点、采用的运输方式，以及配套服务等方面十分便利。</w:t>
      </w:r>
    </w:p>
    <w:p>
      <w:pPr>
        <w:pStyle w:val="6"/>
        <w:bidi w:val="0"/>
      </w:pPr>
      <w:bookmarkStart w:id="387" w:name="_Toc32492"/>
      <w:r>
        <w:rPr>
          <w:rFonts w:hint="eastAsia"/>
          <w:lang w:eastAsia="zh-CN"/>
        </w:rPr>
        <w:t>（</w:t>
      </w:r>
      <w:r>
        <w:rPr>
          <w:rFonts w:hint="eastAsia"/>
          <w:lang w:val="en-US" w:eastAsia="zh-CN"/>
        </w:rPr>
        <w:t>七</w:t>
      </w:r>
      <w:r>
        <w:rPr>
          <w:rFonts w:hint="eastAsia"/>
          <w:lang w:eastAsia="zh-CN"/>
        </w:rPr>
        <w:t>）</w:t>
      </w:r>
      <w:r>
        <w:rPr>
          <w:rFonts w:hint="eastAsia"/>
        </w:rPr>
        <w:t>时间保障</w:t>
      </w:r>
      <w:bookmarkEnd w:id="387"/>
    </w:p>
    <w:p>
      <w:pPr>
        <w:ind w:firstLine="480"/>
      </w:pPr>
      <w:r>
        <w:rPr>
          <w:rFonts w:hint="eastAsia"/>
        </w:rPr>
        <w:t>我公司制定了服务保障体系，并制定了相应的服务制度以及服务快速反应制度。若我公司中标，我公司将针对本项目的服务工作制定快速反应体系，更好地满足采购单位需求。公司设有</w:t>
      </w:r>
      <w:r>
        <w:t>7×24小时客服电话18787150832，提供7×24小时热线电话服务。我公司接到采购单位的运输计划后，做到24小时内响应。</w:t>
      </w:r>
    </w:p>
    <w:p>
      <w:pPr>
        <w:pStyle w:val="52"/>
      </w:pPr>
      <w:r>
        <w:rPr>
          <w:rFonts w:hint="eastAsia"/>
        </w:rPr>
        <w:t>货物运输计划及进度反馈表</w:t>
      </w:r>
    </w:p>
    <w:tbl>
      <w:tblPr>
        <w:tblStyle w:val="34"/>
        <w:tblW w:w="830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992"/>
        <w:gridCol w:w="993"/>
        <w:gridCol w:w="999"/>
        <w:gridCol w:w="1269"/>
        <w:gridCol w:w="850"/>
        <w:gridCol w:w="992"/>
        <w:gridCol w:w="851"/>
        <w:gridCol w:w="6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spacing w:line="360" w:lineRule="auto"/>
              <w:rPr>
                <w:b/>
                <w:bCs w:val="0"/>
                <w:color w:val="000000"/>
                <w:kern w:val="0"/>
              </w:rPr>
            </w:pPr>
            <w:r>
              <w:rPr>
                <w:rFonts w:hint="eastAsia"/>
                <w:b/>
                <w:color w:val="000000"/>
                <w:kern w:val="0"/>
              </w:rPr>
              <w:t>下单时间</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spacing w:line="360" w:lineRule="auto"/>
              <w:rPr>
                <w:b/>
                <w:bCs w:val="0"/>
                <w:color w:val="000000"/>
                <w:kern w:val="0"/>
              </w:rPr>
            </w:pPr>
            <w:r>
              <w:rPr>
                <w:b/>
                <w:color w:val="000000"/>
                <w:kern w:val="0"/>
              </w:rPr>
              <w:t>订单号</w:t>
            </w:r>
          </w:p>
        </w:tc>
        <w:tc>
          <w:tcPr>
            <w:tcW w:w="99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spacing w:line="360" w:lineRule="auto"/>
              <w:rPr>
                <w:b/>
                <w:bCs w:val="0"/>
                <w:color w:val="000000"/>
                <w:kern w:val="0"/>
              </w:rPr>
            </w:pPr>
            <w:r>
              <w:rPr>
                <w:b/>
                <w:color w:val="000000"/>
                <w:kern w:val="0"/>
              </w:rPr>
              <w:t>货主</w:t>
            </w:r>
            <w:r>
              <w:rPr>
                <w:rFonts w:hint="eastAsia"/>
                <w:b/>
                <w:color w:val="000000"/>
                <w:kern w:val="0"/>
              </w:rPr>
              <w:t>联系方式</w:t>
            </w:r>
          </w:p>
        </w:tc>
        <w:tc>
          <w:tcPr>
            <w:tcW w:w="999"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spacing w:line="360" w:lineRule="auto"/>
              <w:rPr>
                <w:b/>
                <w:bCs w:val="0"/>
                <w:color w:val="000000"/>
                <w:kern w:val="0"/>
              </w:rPr>
            </w:pPr>
            <w:r>
              <w:rPr>
                <w:b/>
                <w:color w:val="000000"/>
                <w:kern w:val="0"/>
              </w:rPr>
              <w:t>计划发货时间</w:t>
            </w:r>
          </w:p>
        </w:tc>
        <w:tc>
          <w:tcPr>
            <w:tcW w:w="1269"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spacing w:line="360" w:lineRule="auto"/>
              <w:rPr>
                <w:b/>
                <w:bCs w:val="0"/>
                <w:color w:val="000000"/>
                <w:kern w:val="0"/>
              </w:rPr>
            </w:pPr>
            <w:r>
              <w:rPr>
                <w:b/>
                <w:color w:val="000000"/>
                <w:kern w:val="0"/>
              </w:rPr>
              <w:t>实际发货时间</w:t>
            </w:r>
          </w:p>
        </w:tc>
        <w:tc>
          <w:tcPr>
            <w:tcW w:w="8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spacing w:line="360" w:lineRule="auto"/>
              <w:rPr>
                <w:b/>
                <w:bCs w:val="0"/>
                <w:color w:val="000000"/>
                <w:kern w:val="0"/>
              </w:rPr>
            </w:pPr>
            <w:r>
              <w:rPr>
                <w:b/>
                <w:color w:val="000000"/>
                <w:kern w:val="0"/>
              </w:rPr>
              <w:t>发货地点</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spacing w:line="360" w:lineRule="auto"/>
              <w:rPr>
                <w:b/>
                <w:bCs w:val="0"/>
                <w:color w:val="000000"/>
                <w:kern w:val="0"/>
              </w:rPr>
            </w:pPr>
            <w:r>
              <w:rPr>
                <w:b/>
                <w:color w:val="000000"/>
                <w:kern w:val="0"/>
              </w:rPr>
              <w:t>发货量</w:t>
            </w:r>
          </w:p>
        </w:tc>
        <w:tc>
          <w:tcPr>
            <w:tcW w:w="85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spacing w:line="360" w:lineRule="auto"/>
              <w:rPr>
                <w:b/>
                <w:bCs w:val="0"/>
                <w:color w:val="000000"/>
                <w:kern w:val="0"/>
              </w:rPr>
            </w:pPr>
            <w:r>
              <w:rPr>
                <w:b/>
                <w:color w:val="000000"/>
                <w:kern w:val="0"/>
              </w:rPr>
              <w:t>意外记录</w:t>
            </w:r>
          </w:p>
        </w:tc>
        <w:tc>
          <w:tcPr>
            <w:tcW w:w="652"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spacing w:line="360" w:lineRule="auto"/>
              <w:rPr>
                <w:b/>
                <w:bCs w:val="0"/>
                <w:color w:val="000000"/>
                <w:kern w:val="0"/>
              </w:rPr>
            </w:pPr>
            <w:r>
              <w:rPr>
                <w:b/>
                <w:color w:val="000000"/>
                <w:kern w:val="0"/>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spacing w:line="360" w:lineRule="auto"/>
              <w:rPr>
                <w:color w:val="000000"/>
                <w:kern w:val="0"/>
              </w:rPr>
            </w:pP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spacing w:line="360" w:lineRule="auto"/>
              <w:rPr>
                <w:color w:val="000000"/>
                <w:kern w:val="0"/>
              </w:rPr>
            </w:pPr>
          </w:p>
        </w:tc>
        <w:tc>
          <w:tcPr>
            <w:tcW w:w="99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spacing w:line="360" w:lineRule="auto"/>
              <w:rPr>
                <w:color w:val="000000"/>
                <w:kern w:val="0"/>
              </w:rPr>
            </w:pPr>
          </w:p>
        </w:tc>
        <w:tc>
          <w:tcPr>
            <w:tcW w:w="999"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spacing w:line="360" w:lineRule="auto"/>
              <w:rPr>
                <w:color w:val="000000"/>
                <w:kern w:val="0"/>
              </w:rPr>
            </w:pPr>
          </w:p>
        </w:tc>
        <w:tc>
          <w:tcPr>
            <w:tcW w:w="1269"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spacing w:line="360" w:lineRule="auto"/>
              <w:rPr>
                <w:color w:val="000000"/>
                <w:kern w:val="0"/>
              </w:rPr>
            </w:pPr>
          </w:p>
        </w:tc>
        <w:tc>
          <w:tcPr>
            <w:tcW w:w="8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spacing w:line="360" w:lineRule="auto"/>
              <w:rPr>
                <w:color w:val="000000"/>
                <w:kern w:val="0"/>
              </w:rPr>
            </w:pP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spacing w:line="360" w:lineRule="auto"/>
              <w:rPr>
                <w:color w:val="000000"/>
                <w:kern w:val="0"/>
              </w:rPr>
            </w:pPr>
          </w:p>
        </w:tc>
        <w:tc>
          <w:tcPr>
            <w:tcW w:w="85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spacing w:line="360" w:lineRule="auto"/>
              <w:rPr>
                <w:color w:val="000000"/>
                <w:kern w:val="0"/>
              </w:rPr>
            </w:pPr>
          </w:p>
        </w:tc>
        <w:tc>
          <w:tcPr>
            <w:tcW w:w="652"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spacing w:line="360" w:lineRule="auto"/>
              <w:rPr>
                <w:color w:val="000000"/>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spacing w:line="360" w:lineRule="auto"/>
              <w:rPr>
                <w:color w:val="000000"/>
                <w:kern w:val="0"/>
              </w:rPr>
            </w:pP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spacing w:line="360" w:lineRule="auto"/>
              <w:rPr>
                <w:color w:val="000000"/>
                <w:kern w:val="0"/>
              </w:rPr>
            </w:pPr>
          </w:p>
        </w:tc>
        <w:tc>
          <w:tcPr>
            <w:tcW w:w="99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spacing w:line="360" w:lineRule="auto"/>
              <w:rPr>
                <w:color w:val="000000"/>
                <w:kern w:val="0"/>
              </w:rPr>
            </w:pPr>
          </w:p>
        </w:tc>
        <w:tc>
          <w:tcPr>
            <w:tcW w:w="999"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spacing w:line="360" w:lineRule="auto"/>
              <w:rPr>
                <w:color w:val="000000"/>
                <w:kern w:val="0"/>
              </w:rPr>
            </w:pPr>
          </w:p>
        </w:tc>
        <w:tc>
          <w:tcPr>
            <w:tcW w:w="1269"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spacing w:line="360" w:lineRule="auto"/>
              <w:rPr>
                <w:color w:val="000000"/>
                <w:kern w:val="0"/>
              </w:rPr>
            </w:pPr>
          </w:p>
        </w:tc>
        <w:tc>
          <w:tcPr>
            <w:tcW w:w="8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spacing w:line="360" w:lineRule="auto"/>
              <w:rPr>
                <w:color w:val="000000"/>
                <w:kern w:val="0"/>
              </w:rPr>
            </w:pP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spacing w:line="360" w:lineRule="auto"/>
              <w:rPr>
                <w:color w:val="000000"/>
                <w:kern w:val="0"/>
              </w:rPr>
            </w:pPr>
          </w:p>
        </w:tc>
        <w:tc>
          <w:tcPr>
            <w:tcW w:w="85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spacing w:line="360" w:lineRule="auto"/>
              <w:rPr>
                <w:color w:val="000000"/>
                <w:kern w:val="0"/>
              </w:rPr>
            </w:pPr>
          </w:p>
        </w:tc>
        <w:tc>
          <w:tcPr>
            <w:tcW w:w="652"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spacing w:line="360" w:lineRule="auto"/>
              <w:rPr>
                <w:color w:val="000000"/>
                <w:kern w:val="0"/>
              </w:rPr>
            </w:pPr>
          </w:p>
        </w:tc>
      </w:tr>
    </w:tbl>
    <w:p>
      <w:pPr>
        <w:pStyle w:val="6"/>
        <w:bidi w:val="0"/>
      </w:pPr>
      <w:bookmarkStart w:id="388" w:name="_Toc30751"/>
      <w:r>
        <w:rPr>
          <w:rFonts w:hint="eastAsia"/>
          <w:lang w:eastAsia="zh-CN"/>
        </w:rPr>
        <w:t>（</w:t>
      </w:r>
      <w:r>
        <w:rPr>
          <w:rFonts w:hint="eastAsia"/>
          <w:lang w:val="en-US" w:eastAsia="zh-CN"/>
        </w:rPr>
        <w:t>八</w:t>
      </w:r>
      <w:r>
        <w:rPr>
          <w:rFonts w:hint="eastAsia"/>
          <w:lang w:eastAsia="zh-CN"/>
        </w:rPr>
        <w:t>）</w:t>
      </w:r>
      <w:r>
        <w:rPr>
          <w:rFonts w:hint="eastAsia"/>
        </w:rPr>
        <w:t>安全保障</w:t>
      </w:r>
      <w:bookmarkEnd w:id="388"/>
    </w:p>
    <w:p>
      <w:pPr>
        <w:ind w:firstLine="480"/>
      </w:pPr>
      <w:r>
        <w:rPr>
          <w:rFonts w:hint="eastAsia"/>
          <w:lang w:eastAsia="zh-CN"/>
        </w:rPr>
        <w:t>（</w:t>
      </w:r>
      <w:r>
        <w:rPr>
          <w:rFonts w:hint="eastAsia"/>
          <w:lang w:val="en-US" w:eastAsia="zh-CN"/>
        </w:rPr>
        <w:t>一</w:t>
      </w:r>
      <w:r>
        <w:rPr>
          <w:rFonts w:hint="eastAsia"/>
          <w:lang w:eastAsia="zh-CN"/>
        </w:rPr>
        <w:t>）</w:t>
      </w:r>
      <w:r>
        <w:t>项目运输部负责产品运输：</w:t>
      </w:r>
    </w:p>
    <w:p>
      <w:pPr>
        <w:ind w:firstLine="480"/>
      </w:pPr>
      <w:r>
        <w:rPr>
          <w:rFonts w:hint="eastAsia"/>
          <w:lang w:val="en-US" w:eastAsia="zh-CN"/>
        </w:rPr>
        <w:t>1、</w:t>
      </w:r>
      <w:r>
        <w:t>按照项目的业务要求和采购人的需求负责货物的运输。</w:t>
      </w:r>
    </w:p>
    <w:p>
      <w:pPr>
        <w:ind w:firstLine="480"/>
      </w:pPr>
      <w:r>
        <w:rPr>
          <w:rFonts w:hint="eastAsia"/>
          <w:lang w:val="en-US" w:eastAsia="zh-CN"/>
        </w:rPr>
        <w:t>2、</w:t>
      </w:r>
      <w:r>
        <w:t>认真核实负责运输的产品是否按照规定装车，质量相关规定是否符合要求。</w:t>
      </w:r>
    </w:p>
    <w:p>
      <w:pPr>
        <w:ind w:firstLine="480"/>
      </w:pPr>
      <w:r>
        <w:rPr>
          <w:rFonts w:hint="eastAsia"/>
          <w:lang w:val="en-US" w:eastAsia="zh-CN"/>
        </w:rPr>
        <w:t>3、</w:t>
      </w:r>
      <w:r>
        <w:t>必须验收确认其单证、货物无误、核实货物（介质）的装卸地点、时间。同时要核准本次/批运输的货物是否符合承运车辆的运输资质。</w:t>
      </w:r>
    </w:p>
    <w:p>
      <w:pPr>
        <w:ind w:firstLine="480"/>
      </w:pPr>
      <w:r>
        <w:rPr>
          <w:rFonts w:hint="eastAsia"/>
          <w:lang w:val="en-US" w:eastAsia="zh-CN"/>
        </w:rPr>
        <w:t>4、</w:t>
      </w:r>
      <w:r>
        <w:t>在进行产品运输时，应具有公安部门审定、核发的公路运输通行证。</w:t>
      </w:r>
    </w:p>
    <w:p>
      <w:pPr>
        <w:ind w:firstLine="480"/>
      </w:pPr>
      <w:r>
        <w:rPr>
          <w:rFonts w:hint="eastAsia"/>
          <w:lang w:eastAsia="zh-CN"/>
        </w:rPr>
        <w:t>（</w:t>
      </w:r>
      <w:r>
        <w:rPr>
          <w:rFonts w:hint="eastAsia"/>
          <w:lang w:val="en-US" w:eastAsia="zh-CN"/>
        </w:rPr>
        <w:t>二</w:t>
      </w:r>
      <w:r>
        <w:rPr>
          <w:rFonts w:hint="eastAsia"/>
          <w:lang w:eastAsia="zh-CN"/>
        </w:rPr>
        <w:t>）</w:t>
      </w:r>
      <w:r>
        <w:t>交通监管：产品在运输过程中必须一路进行交通监管，对行径道路及车速进行全程监控。</w:t>
      </w:r>
    </w:p>
    <w:p>
      <w:pPr>
        <w:ind w:firstLine="480"/>
      </w:pPr>
      <w:r>
        <w:rPr>
          <w:rFonts w:hint="eastAsia"/>
          <w:lang w:eastAsia="zh-CN"/>
        </w:rPr>
        <w:t>（</w:t>
      </w:r>
      <w:r>
        <w:rPr>
          <w:rFonts w:hint="eastAsia"/>
          <w:lang w:val="en-US" w:eastAsia="zh-CN"/>
        </w:rPr>
        <w:t>三</w:t>
      </w:r>
      <w:r>
        <w:rPr>
          <w:rFonts w:hint="eastAsia"/>
          <w:lang w:eastAsia="zh-CN"/>
        </w:rPr>
        <w:t>）</w:t>
      </w:r>
      <w:r>
        <w:t>运行时间：产品运输必须在白天进行。</w:t>
      </w:r>
    </w:p>
    <w:p>
      <w:pPr>
        <w:ind w:firstLine="480"/>
      </w:pPr>
      <w:r>
        <w:rPr>
          <w:rFonts w:hint="eastAsia"/>
          <w:lang w:eastAsia="zh-CN"/>
        </w:rPr>
        <w:t>（</w:t>
      </w:r>
      <w:r>
        <w:rPr>
          <w:rFonts w:hint="eastAsia"/>
          <w:lang w:val="en-US" w:eastAsia="zh-CN"/>
        </w:rPr>
        <w:t>四</w:t>
      </w:r>
      <w:r>
        <w:rPr>
          <w:rFonts w:hint="eastAsia"/>
          <w:lang w:eastAsia="zh-CN"/>
        </w:rPr>
        <w:t>）</w:t>
      </w:r>
      <w:r>
        <w:t>运行速度；正常运输速度必须控制在20Km/h；道路不平整的路段速度必须控制在5Km/h以下；通过障碍的速度控制在3Km/h以下。</w:t>
      </w:r>
    </w:p>
    <w:p>
      <w:pPr>
        <w:ind w:firstLine="480"/>
      </w:pPr>
      <w:r>
        <w:rPr>
          <w:rFonts w:hint="eastAsia"/>
          <w:lang w:eastAsia="zh-CN"/>
        </w:rPr>
        <w:t>（</w:t>
      </w:r>
      <w:r>
        <w:rPr>
          <w:rFonts w:hint="eastAsia"/>
          <w:lang w:val="en-US" w:eastAsia="zh-CN"/>
        </w:rPr>
        <w:t>五</w:t>
      </w:r>
      <w:r>
        <w:rPr>
          <w:rFonts w:hint="eastAsia"/>
          <w:lang w:eastAsia="zh-CN"/>
        </w:rPr>
        <w:t>）</w:t>
      </w:r>
      <w:r>
        <w:t>车辆启动前的检查：车辆启动前必须对运输车辆加固情况作详细的检查，杜绝隐患，有问题必须在启动前排除。</w:t>
      </w:r>
    </w:p>
    <w:p>
      <w:pPr>
        <w:ind w:firstLine="480"/>
      </w:pPr>
      <w:r>
        <w:rPr>
          <w:rFonts w:hint="eastAsia"/>
          <w:lang w:val="en-US" w:eastAsia="zh-CN"/>
        </w:rPr>
        <w:t>1、</w:t>
      </w:r>
      <w:r>
        <w:t>标志灯、牌是否牢固齐全和符合规定与安装要求。</w:t>
      </w:r>
    </w:p>
    <w:p>
      <w:pPr>
        <w:ind w:firstLine="480"/>
      </w:pPr>
      <w:r>
        <w:rPr>
          <w:rFonts w:hint="eastAsia"/>
          <w:lang w:val="en-US" w:eastAsia="zh-CN"/>
        </w:rPr>
        <w:t>2、</w:t>
      </w:r>
      <w:r>
        <w:t>主、挂车连接点、燃油管油箱与技架是否牢固，轮胎磨损面、气压是否正常，螺丝是否坚固完整，备用胎是否完整合格。</w:t>
      </w:r>
    </w:p>
    <w:p>
      <w:pPr>
        <w:ind w:firstLine="480"/>
      </w:pPr>
      <w:r>
        <w:rPr>
          <w:rFonts w:hint="eastAsia"/>
          <w:lang w:val="en-US" w:eastAsia="zh-CN"/>
        </w:rPr>
        <w:t>3、</w:t>
      </w:r>
      <w:r>
        <w:t>油路、气压管是否渗漏断路、电路、各种灯光、转向信号灯、仪表、后视镜、雨刮器、喇叭是否齐全、安全有效。</w:t>
      </w:r>
    </w:p>
    <w:p>
      <w:pPr>
        <w:ind w:firstLine="480"/>
      </w:pPr>
      <w:r>
        <w:rPr>
          <w:rFonts w:hint="eastAsia"/>
          <w:lang w:val="en-US" w:eastAsia="zh-CN"/>
        </w:rPr>
        <w:t>4、</w:t>
      </w:r>
      <w:r>
        <w:t>制动、转向系统球头等关键部位是否松动，锁正角度各部位是否存在不良现象，操作是否符合要求、可靠。灭火器、消除静电力装置，防火安全罩是否符合规格和有效期内。</w:t>
      </w:r>
    </w:p>
    <w:p>
      <w:pPr>
        <w:ind w:firstLine="480"/>
      </w:pPr>
      <w:r>
        <w:rPr>
          <w:rFonts w:hint="eastAsia"/>
          <w:lang w:val="en-US" w:eastAsia="zh-CN"/>
        </w:rPr>
        <w:t>5、</w:t>
      </w:r>
      <w:r>
        <w:t>卫星定位仪装置终端信息传输是否开通完好，随车从业人员，车辆运输资质证件、技术安全卡、公路通行证等是否携带齐全。</w:t>
      </w:r>
    </w:p>
    <w:p>
      <w:pPr>
        <w:ind w:firstLine="480"/>
      </w:pPr>
      <w:r>
        <w:rPr>
          <w:rFonts w:hint="eastAsia"/>
          <w:lang w:val="en-US" w:eastAsia="zh-CN"/>
        </w:rPr>
        <w:t>6、</w:t>
      </w:r>
      <w:r>
        <w:t>栏板、厢式专用车应重点检查：</w:t>
      </w:r>
    </w:p>
    <w:p>
      <w:pPr>
        <w:ind w:firstLine="480"/>
      </w:pPr>
      <w:r>
        <w:rPr>
          <w:rFonts w:hint="eastAsia"/>
          <w:lang w:eastAsia="zh-CN"/>
        </w:rPr>
        <w:t>（</w:t>
      </w:r>
      <w:r>
        <w:rPr>
          <w:rFonts w:hint="eastAsia"/>
          <w:lang w:val="en-US" w:eastAsia="zh-CN"/>
        </w:rPr>
        <w:t>1</w:t>
      </w:r>
      <w:r>
        <w:rPr>
          <w:rFonts w:hint="eastAsia"/>
          <w:lang w:eastAsia="zh-CN"/>
        </w:rPr>
        <w:t>）</w:t>
      </w:r>
      <w:r>
        <w:rPr>
          <w:rFonts w:hint="eastAsia"/>
        </w:rPr>
        <w:t>车辆厢底板应平坦完好，护栅栏门应符合规定高度要求、牢固。对装载不同的货物应按其理化特性采取相应的铺垫防护措施。厢体底面上不得有与本次</w:t>
      </w:r>
      <w:r>
        <w:t>/批所装载货物性质相抵触的残留物。</w:t>
      </w:r>
    </w:p>
    <w:p>
      <w:pPr>
        <w:ind w:firstLine="480"/>
      </w:pPr>
      <w:r>
        <w:rPr>
          <w:rFonts w:hint="eastAsia"/>
          <w:lang w:eastAsia="zh-CN"/>
        </w:rPr>
        <w:t>（</w:t>
      </w:r>
      <w:r>
        <w:rPr>
          <w:rFonts w:hint="eastAsia"/>
          <w:lang w:val="en-US" w:eastAsia="zh-CN"/>
        </w:rPr>
        <w:t>2</w:t>
      </w:r>
      <w:r>
        <w:rPr>
          <w:rFonts w:hint="eastAsia"/>
          <w:lang w:eastAsia="zh-CN"/>
        </w:rPr>
        <w:t>）</w:t>
      </w:r>
      <w:r>
        <w:rPr>
          <w:rFonts w:hint="eastAsia"/>
        </w:rPr>
        <w:t>配载结束后，随车人员应对货物的核准、堆码、遮盖、捆扎等安全实施及对影响车辆运输的各种不安全因素进行检查，确认无误后方可进入承运程序。</w:t>
      </w:r>
    </w:p>
    <w:p>
      <w:pPr>
        <w:ind w:firstLine="480"/>
      </w:pPr>
      <w:r>
        <w:rPr>
          <w:rFonts w:hint="eastAsia"/>
          <w:lang w:eastAsia="zh-CN"/>
        </w:rPr>
        <w:t>（</w:t>
      </w:r>
      <w:r>
        <w:rPr>
          <w:rFonts w:hint="eastAsia"/>
          <w:lang w:val="en-US" w:eastAsia="zh-CN"/>
        </w:rPr>
        <w:t>六</w:t>
      </w:r>
      <w:r>
        <w:rPr>
          <w:rFonts w:hint="eastAsia"/>
          <w:lang w:eastAsia="zh-CN"/>
        </w:rPr>
        <w:t>）</w:t>
      </w:r>
      <w:r>
        <w:t>车辆停放：运输过程中，夜间停放或中途停车必须选择道路坚实平整、路面宽阔、视线良好的地段停放，设置警戒线、警示标志，并派人守护；将车停放妥当后，检查设备捆绑情况和车辆轮胎等，及时排除隐患；停车时，做好安全隔离措施，提醒其他车辆注意绕行。</w:t>
      </w:r>
    </w:p>
    <w:p>
      <w:pPr>
        <w:pStyle w:val="6"/>
        <w:bidi w:val="0"/>
      </w:pPr>
      <w:bookmarkStart w:id="389" w:name="_Toc4448"/>
      <w:r>
        <w:rPr>
          <w:rFonts w:hint="eastAsia"/>
          <w:lang w:eastAsia="zh-CN"/>
        </w:rPr>
        <w:t>（</w:t>
      </w:r>
      <w:r>
        <w:rPr>
          <w:rFonts w:hint="eastAsia"/>
          <w:lang w:val="en-US" w:eastAsia="zh-CN"/>
        </w:rPr>
        <w:t>九</w:t>
      </w:r>
      <w:r>
        <w:rPr>
          <w:rFonts w:hint="eastAsia"/>
          <w:lang w:eastAsia="zh-CN"/>
        </w:rPr>
        <w:t>）</w:t>
      </w:r>
      <w:r>
        <w:rPr>
          <w:rFonts w:hint="eastAsia"/>
        </w:rPr>
        <w:t>运输注意事项</w:t>
      </w:r>
      <w:bookmarkEnd w:id="389"/>
    </w:p>
    <w:p>
      <w:pPr>
        <w:ind w:firstLine="480"/>
      </w:pPr>
      <w:r>
        <w:rPr>
          <w:rFonts w:hint="eastAsia"/>
          <w:lang w:eastAsia="zh-CN"/>
        </w:rPr>
        <w:t>（</w:t>
      </w:r>
      <w:r>
        <w:rPr>
          <w:rFonts w:hint="eastAsia"/>
          <w:lang w:val="en-US" w:eastAsia="zh-CN"/>
        </w:rPr>
        <w:t>一</w:t>
      </w:r>
      <w:r>
        <w:rPr>
          <w:rFonts w:hint="eastAsia"/>
          <w:lang w:eastAsia="zh-CN"/>
        </w:rPr>
        <w:t>）</w:t>
      </w:r>
      <w:r>
        <w:t>运输工作人员根据各库报送的装箱单，按购货单位进行整理归类，统计待运商品的件数，填写运输单。</w:t>
      </w:r>
    </w:p>
    <w:p>
      <w:pPr>
        <w:ind w:firstLine="480"/>
      </w:pPr>
      <w:r>
        <w:rPr>
          <w:rFonts w:hint="eastAsia"/>
          <w:lang w:eastAsia="zh-CN"/>
        </w:rPr>
        <w:t>（</w:t>
      </w:r>
      <w:r>
        <w:rPr>
          <w:rFonts w:hint="eastAsia"/>
          <w:lang w:val="en-US" w:eastAsia="zh-CN"/>
        </w:rPr>
        <w:t>二</w:t>
      </w:r>
      <w:r>
        <w:rPr>
          <w:rFonts w:hint="eastAsia"/>
          <w:lang w:eastAsia="zh-CN"/>
        </w:rPr>
        <w:t>）</w:t>
      </w:r>
      <w:r>
        <w:t>按路程长短和需要送的单位与产品件数合理安排车，一般情况下，做到待发货物三天内送达客户。</w:t>
      </w:r>
    </w:p>
    <w:p>
      <w:pPr>
        <w:ind w:firstLine="480"/>
      </w:pPr>
      <w:r>
        <w:rPr>
          <w:rFonts w:hint="eastAsia"/>
          <w:lang w:eastAsia="zh-CN"/>
        </w:rPr>
        <w:t>（</w:t>
      </w:r>
      <w:r>
        <w:rPr>
          <w:rFonts w:hint="eastAsia"/>
          <w:lang w:val="en-US" w:eastAsia="zh-CN"/>
        </w:rPr>
        <w:t>三</w:t>
      </w:r>
      <w:r>
        <w:rPr>
          <w:rFonts w:hint="eastAsia"/>
          <w:lang w:eastAsia="zh-CN"/>
        </w:rPr>
        <w:t>）</w:t>
      </w:r>
      <w:r>
        <w:t>对货物运送应按规定办好有关出库手续。</w:t>
      </w:r>
    </w:p>
    <w:p>
      <w:pPr>
        <w:ind w:firstLine="480"/>
      </w:pPr>
      <w:r>
        <w:rPr>
          <w:rFonts w:hint="eastAsia"/>
          <w:lang w:eastAsia="zh-CN"/>
        </w:rPr>
        <w:t>（</w:t>
      </w:r>
      <w:r>
        <w:rPr>
          <w:rFonts w:hint="eastAsia"/>
          <w:lang w:val="en-US" w:eastAsia="zh-CN"/>
        </w:rPr>
        <w:t>四</w:t>
      </w:r>
      <w:r>
        <w:rPr>
          <w:rFonts w:hint="eastAsia"/>
          <w:lang w:eastAsia="zh-CN"/>
        </w:rPr>
        <w:t>）</w:t>
      </w:r>
      <w:r>
        <w:t>根据有关规定与客户办好货物交接手续，签回运输单据。</w:t>
      </w:r>
    </w:p>
    <w:p>
      <w:pPr>
        <w:ind w:firstLine="480"/>
      </w:pPr>
      <w:r>
        <w:rPr>
          <w:rFonts w:hint="eastAsia"/>
          <w:lang w:eastAsia="zh-CN"/>
        </w:rPr>
        <w:t>（</w:t>
      </w:r>
      <w:r>
        <w:rPr>
          <w:rFonts w:hint="eastAsia"/>
          <w:lang w:val="en-US" w:eastAsia="zh-CN"/>
        </w:rPr>
        <w:t>五</w:t>
      </w:r>
      <w:r>
        <w:rPr>
          <w:rFonts w:hint="eastAsia"/>
          <w:lang w:eastAsia="zh-CN"/>
        </w:rPr>
        <w:t>）</w:t>
      </w:r>
      <w:r>
        <w:t>运输中搬运、装卸时应轻拿轻放，码放安稳，严格按照外包装图示标志要求堆放和采取防护措施。</w:t>
      </w:r>
    </w:p>
    <w:p>
      <w:pPr>
        <w:ind w:firstLine="480"/>
      </w:pPr>
      <w:r>
        <w:rPr>
          <w:rFonts w:hint="eastAsia"/>
          <w:lang w:eastAsia="zh-CN"/>
        </w:rPr>
        <w:t>（</w:t>
      </w:r>
      <w:r>
        <w:rPr>
          <w:rFonts w:hint="eastAsia"/>
          <w:lang w:val="en-US" w:eastAsia="zh-CN"/>
        </w:rPr>
        <w:t>六</w:t>
      </w:r>
      <w:r>
        <w:rPr>
          <w:rFonts w:hint="eastAsia"/>
          <w:lang w:eastAsia="zh-CN"/>
        </w:rPr>
        <w:t>）</w:t>
      </w:r>
      <w:r>
        <w:t>配送车辆必须是箱式货运车辆。</w:t>
      </w:r>
    </w:p>
    <w:p>
      <w:pPr>
        <w:ind w:firstLine="480"/>
      </w:pPr>
      <w:r>
        <w:rPr>
          <w:rFonts w:hint="eastAsia"/>
          <w:lang w:eastAsia="zh-CN"/>
        </w:rPr>
        <w:t>（</w:t>
      </w:r>
      <w:r>
        <w:rPr>
          <w:rFonts w:hint="eastAsia"/>
          <w:lang w:val="en-US" w:eastAsia="zh-CN"/>
        </w:rPr>
        <w:t>七</w:t>
      </w:r>
      <w:r>
        <w:rPr>
          <w:rFonts w:hint="eastAsia"/>
          <w:lang w:eastAsia="zh-CN"/>
        </w:rPr>
        <w:t>）</w:t>
      </w:r>
      <w:r>
        <w:t>装卸作业时，禁止在阳光下停留时间过长或下雨、雪时无遮盖放置。</w:t>
      </w:r>
    </w:p>
    <w:p>
      <w:pPr>
        <w:ind w:firstLine="480"/>
      </w:pPr>
      <w:r>
        <w:rPr>
          <w:rFonts w:hint="eastAsia"/>
          <w:lang w:eastAsia="zh-CN"/>
        </w:rPr>
        <w:t>（</w:t>
      </w:r>
      <w:r>
        <w:rPr>
          <w:rFonts w:hint="eastAsia"/>
          <w:lang w:val="en-US" w:eastAsia="zh-CN"/>
        </w:rPr>
        <w:t>八</w:t>
      </w:r>
      <w:r>
        <w:rPr>
          <w:rFonts w:hint="eastAsia"/>
          <w:lang w:eastAsia="zh-CN"/>
        </w:rPr>
        <w:t>）</w:t>
      </w:r>
      <w:r>
        <w:t>运输货物的车，不得装载对货物有损害的物品，不得将重物压在货物包装上。</w:t>
      </w:r>
    </w:p>
    <w:p>
      <w:pPr>
        <w:ind w:firstLine="480"/>
      </w:pPr>
      <w:r>
        <w:rPr>
          <w:rFonts w:hint="eastAsia"/>
          <w:lang w:eastAsia="zh-CN"/>
        </w:rPr>
        <w:t>（</w:t>
      </w:r>
      <w:r>
        <w:rPr>
          <w:rFonts w:hint="eastAsia"/>
          <w:lang w:val="en-US" w:eastAsia="zh-CN"/>
        </w:rPr>
        <w:t>九</w:t>
      </w:r>
      <w:r>
        <w:rPr>
          <w:rFonts w:hint="eastAsia"/>
          <w:lang w:eastAsia="zh-CN"/>
        </w:rPr>
        <w:t>）</w:t>
      </w:r>
      <w:r>
        <w:t>运输到目的地后，驾驶员、验收员和客户分别在销售单据汇总单上签字，并将签收后的汇总表带回公司。</w:t>
      </w:r>
    </w:p>
    <w:p>
      <w:pPr>
        <w:spacing w:before="0" w:after="0" w:line="240" w:lineRule="auto"/>
        <w:ind w:firstLine="0" w:firstLineChars="0"/>
        <w:jc w:val="left"/>
      </w:pPr>
      <w:r>
        <w:br w:type="page"/>
      </w:r>
    </w:p>
    <w:p>
      <w:pPr>
        <w:pStyle w:val="5"/>
        <w:bidi w:val="0"/>
      </w:pPr>
      <w:bookmarkStart w:id="390" w:name="_Toc117181938"/>
      <w:bookmarkStart w:id="391" w:name="_Toc15296"/>
      <w:bookmarkStart w:id="392" w:name="_Toc118293251"/>
      <w:r>
        <w:rPr>
          <w:rFonts w:hint="eastAsia"/>
          <w:lang w:val="en-US" w:eastAsia="zh-CN"/>
        </w:rPr>
        <w:t>四、</w:t>
      </w:r>
      <w:r>
        <w:rPr>
          <w:rFonts w:hint="eastAsia"/>
        </w:rPr>
        <w:t>产品运输计划</w:t>
      </w:r>
      <w:bookmarkEnd w:id="390"/>
      <w:bookmarkEnd w:id="391"/>
      <w:bookmarkEnd w:id="392"/>
    </w:p>
    <w:p>
      <w:pPr>
        <w:pStyle w:val="6"/>
        <w:bidi w:val="0"/>
      </w:pPr>
      <w:bookmarkStart w:id="393" w:name="_Toc118293252"/>
      <w:bookmarkStart w:id="394" w:name="_Toc116121433"/>
      <w:bookmarkStart w:id="395" w:name="_Toc117181939"/>
      <w:bookmarkStart w:id="396" w:name="_Toc3110"/>
      <w:r>
        <w:rPr>
          <w:rFonts w:hint="eastAsia"/>
          <w:lang w:val="en-US" w:eastAsia="zh-CN"/>
        </w:rPr>
        <w:t>（一）</w:t>
      </w:r>
      <w:r>
        <w:rPr>
          <w:rFonts w:hint="eastAsia"/>
        </w:rPr>
        <w:t>产品运输计划</w:t>
      </w:r>
      <w:bookmarkEnd w:id="393"/>
      <w:bookmarkEnd w:id="394"/>
      <w:bookmarkEnd w:id="395"/>
      <w:bookmarkEnd w:id="396"/>
    </w:p>
    <w:p>
      <w:pPr>
        <w:keepNext w:val="0"/>
        <w:keepLines w:val="0"/>
        <w:pageBreakBefore w:val="0"/>
        <w:widowControl w:val="0"/>
        <w:kinsoku/>
        <w:wordWrap/>
        <w:overflowPunct/>
        <w:topLinePunct w:val="0"/>
        <w:autoSpaceDE/>
        <w:autoSpaceDN/>
        <w:bidi w:val="0"/>
        <w:adjustRightInd w:val="0"/>
        <w:snapToGrid w:val="0"/>
        <w:spacing w:line="480" w:lineRule="auto"/>
        <w:ind w:left="0" w:firstLine="562" w:firstLineChars="200"/>
        <w:textAlignment w:val="auto"/>
        <w:rPr>
          <w:b/>
          <w:bCs/>
        </w:rPr>
      </w:pPr>
      <w:r>
        <w:rPr>
          <w:rFonts w:hint="eastAsia"/>
          <w:b/>
          <w:bCs/>
          <w:lang w:val="en-US" w:eastAsia="zh-CN"/>
        </w:rPr>
        <w:t>（一）</w:t>
      </w:r>
      <w:r>
        <w:rPr>
          <w:rFonts w:hint="eastAsia"/>
          <w:b/>
          <w:bCs/>
        </w:rPr>
        <w:t>运输方案设计原则</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rPr>
          <w:rFonts w:hint="eastAsia"/>
        </w:rPr>
        <w:t>安全可靠性</w:t>
      </w:r>
      <w:r>
        <w:t>:安全可靠是运输方案设计的首要原则，为此在配车装载、道路运输、捆绑加固、装卸实施等方案设计中，运用了科学分析和理论计算相结合的方法，确保方案设计科学，数据准确真实，操作实施万无一失；</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pPr>
      <w:r>
        <w:rPr>
          <w:rFonts w:hint="eastAsia"/>
        </w:rPr>
        <w:t>经济适用性</w:t>
      </w:r>
      <w:r>
        <w:t>:为了维护业主方的经济利益，在本运输方案的设计过程中，工程项目经理部对多套运输方案进行筛选优化，采取最优化的技术方案，采用最适合的车辆设备，降低运输费用，最大限度的减少运输成本，确保本方案的经济适用性；</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rPr>
          <w:rFonts w:hint="eastAsia"/>
        </w:rPr>
        <w:t>可操作性</w:t>
      </w:r>
      <w:r>
        <w:t>:在运输方案制作和审定过程中，认真细致地做好前期准备，对各种可能出现的风险进行科学评估，确保设备装载、道路运输、卸车等作业能够顺利展开，以此建立本方案的可操作性；</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pPr>
      <w:r>
        <w:rPr>
          <w:rFonts w:hint="eastAsia"/>
        </w:rPr>
        <w:t>高效迅速性</w:t>
      </w:r>
      <w:r>
        <w:t>:由于</w:t>
      </w:r>
      <w:r>
        <w:rPr>
          <w:rFonts w:hint="eastAsia"/>
        </w:rPr>
        <w:t>肥料</w:t>
      </w:r>
      <w:r>
        <w:t>的运输质量要求高、现场路况较为复杂等情况，因此调动最适用的设备、人员，结合我公司操作类似项目的成功经验，保证按照双方既定的施工方案及相关规定执行运输操作，高效完成运输任务。</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2" w:firstLineChars="200"/>
        <w:textAlignment w:val="auto"/>
        <w:rPr>
          <w:rFonts w:hint="eastAsia"/>
          <w:b/>
          <w:bCs/>
          <w:lang w:val="en-US" w:eastAsia="zh-CN"/>
        </w:rPr>
      </w:pPr>
      <w:r>
        <w:rPr>
          <w:rFonts w:hint="default"/>
          <w:b/>
          <w:bCs/>
          <w:lang w:val="en-US" w:eastAsia="zh-CN"/>
        </w:rPr>
        <w:t></w:t>
      </w:r>
      <w:r>
        <w:rPr>
          <w:rFonts w:hint="eastAsia"/>
          <w:b/>
          <w:bCs/>
          <w:lang w:val="en-US" w:eastAsia="zh-CN"/>
        </w:rPr>
        <w:t>（二）运输方案设计依据</w:t>
      </w:r>
    </w:p>
    <w:p>
      <w:pPr>
        <w:pStyle w:val="55"/>
        <w:keepNext w:val="0"/>
        <w:keepLines w:val="0"/>
        <w:pageBreakBefore w:val="0"/>
        <w:widowControl w:val="0"/>
        <w:numPr>
          <w:ilvl w:val="0"/>
          <w:numId w:val="0"/>
        </w:numPr>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rPr>
          <w:rFonts w:hint="eastAsia"/>
          <w:lang w:val="en-US" w:eastAsia="zh-CN"/>
        </w:rPr>
        <w:t>1、</w:t>
      </w:r>
      <w:r>
        <w:rPr>
          <w:rFonts w:hint="eastAsia"/>
        </w:rPr>
        <w:t>产品技术参数、运输要求、数量等</w:t>
      </w:r>
      <w:r>
        <w:t></w:t>
      </w:r>
    </w:p>
    <w:p>
      <w:pPr>
        <w:pStyle w:val="55"/>
        <w:keepNext w:val="0"/>
        <w:keepLines w:val="0"/>
        <w:pageBreakBefore w:val="0"/>
        <w:widowControl w:val="0"/>
        <w:numPr>
          <w:ilvl w:val="0"/>
          <w:numId w:val="0"/>
        </w:numPr>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rPr>
          <w:rFonts w:hint="eastAsia"/>
          <w:lang w:val="en-US" w:eastAsia="zh-CN"/>
        </w:rPr>
        <w:t>2、</w:t>
      </w:r>
      <w:r>
        <w:t>目前国内最先进的运输装备和技术手段；</w:t>
      </w:r>
    </w:p>
    <w:p>
      <w:pPr>
        <w:pStyle w:val="55"/>
        <w:keepNext w:val="0"/>
        <w:keepLines w:val="0"/>
        <w:pageBreakBefore w:val="0"/>
        <w:widowControl w:val="0"/>
        <w:numPr>
          <w:ilvl w:val="0"/>
          <w:numId w:val="0"/>
        </w:numPr>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rPr>
          <w:rFonts w:hint="eastAsia"/>
          <w:lang w:val="en-US" w:eastAsia="zh-CN"/>
        </w:rPr>
        <w:t>3、</w:t>
      </w:r>
      <w:r>
        <w:t>中华人民共和国颁发的现行有关行业标准及规范；</w:t>
      </w:r>
    </w:p>
    <w:p>
      <w:pPr>
        <w:pStyle w:val="55"/>
        <w:keepNext w:val="0"/>
        <w:keepLines w:val="0"/>
        <w:pageBreakBefore w:val="0"/>
        <w:widowControl w:val="0"/>
        <w:numPr>
          <w:ilvl w:val="0"/>
          <w:numId w:val="0"/>
        </w:numPr>
        <w:kinsoku/>
        <w:wordWrap/>
        <w:overflowPunct/>
        <w:topLinePunct w:val="0"/>
        <w:autoSpaceDE/>
        <w:autoSpaceDN/>
        <w:bidi w:val="0"/>
        <w:adjustRightInd w:val="0"/>
        <w:snapToGrid w:val="0"/>
        <w:spacing w:line="480" w:lineRule="auto"/>
        <w:ind w:left="0" w:firstLine="560" w:firstLineChars="200"/>
        <w:textAlignment w:val="auto"/>
      </w:pPr>
      <w:r>
        <w:rPr>
          <w:rFonts w:hint="eastAsia"/>
          <w:lang w:val="en-US" w:eastAsia="zh-CN"/>
        </w:rPr>
        <w:t>4、</w:t>
      </w:r>
      <w:r>
        <w:t>类似项目的成功经验。</w:t>
      </w:r>
    </w:p>
    <w:p>
      <w:pPr>
        <w:pStyle w:val="55"/>
        <w:keepNext w:val="0"/>
        <w:keepLines w:val="0"/>
        <w:pageBreakBefore w:val="0"/>
        <w:widowControl w:val="0"/>
        <w:numPr>
          <w:ilvl w:val="0"/>
          <w:numId w:val="0"/>
        </w:numPr>
        <w:kinsoku/>
        <w:wordWrap/>
        <w:overflowPunct/>
        <w:topLinePunct w:val="0"/>
        <w:autoSpaceDE/>
        <w:autoSpaceDN/>
        <w:bidi w:val="0"/>
        <w:adjustRightInd w:val="0"/>
        <w:snapToGrid w:val="0"/>
        <w:spacing w:line="480" w:lineRule="auto"/>
        <w:ind w:left="0" w:firstLine="560" w:firstLineChars="200"/>
        <w:textAlignment w:val="auto"/>
      </w:pPr>
      <w:r>
        <w:rPr>
          <w:rFonts w:hint="eastAsia"/>
          <w:lang w:val="en-US" w:eastAsia="zh-CN"/>
        </w:rPr>
        <w:t>5、</w:t>
      </w:r>
      <w:r>
        <w:rPr>
          <w:rFonts w:hint="eastAsia"/>
        </w:rPr>
        <w:t>运输组织方案</w:t>
      </w:r>
    </w:p>
    <w:p>
      <w:pPr>
        <w:pStyle w:val="55"/>
        <w:keepNext w:val="0"/>
        <w:keepLines w:val="0"/>
        <w:pageBreakBefore w:val="0"/>
        <w:widowControl w:val="0"/>
        <w:numPr>
          <w:ilvl w:val="0"/>
          <w:numId w:val="0"/>
        </w:numPr>
        <w:kinsoku/>
        <w:wordWrap/>
        <w:overflowPunct/>
        <w:topLinePunct w:val="0"/>
        <w:autoSpaceDE/>
        <w:autoSpaceDN/>
        <w:bidi w:val="0"/>
        <w:adjustRightInd w:val="0"/>
        <w:snapToGrid w:val="0"/>
        <w:spacing w:line="480" w:lineRule="auto"/>
        <w:ind w:left="0" w:firstLine="560" w:firstLineChars="200"/>
        <w:textAlignment w:val="auto"/>
      </w:pPr>
      <w:r>
        <w:rPr>
          <w:rFonts w:hint="eastAsia"/>
          <w:lang w:val="en-US" w:eastAsia="zh-CN"/>
        </w:rPr>
        <w:t>6、</w:t>
      </w:r>
      <w:r>
        <w:rPr>
          <w:rFonts w:hint="eastAsia"/>
        </w:rPr>
        <w:t>运输组织设计</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pPr>
      <w:r>
        <w:rPr>
          <w:rFonts w:hint="eastAsia"/>
        </w:rPr>
        <w:t>为了安全、优质、按时完成肥料运输，成立专门的运输部门，作为项目部的一个机构代表项目部行使权力，全面负责该机构的对外业务联系和内部协调组织管理，确保肥料在运输作业过程中处于受控状态。</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2" w:firstLineChars="200"/>
        <w:textAlignment w:val="auto"/>
        <w:rPr>
          <w:rFonts w:hint="eastAsia"/>
          <w:b/>
          <w:bCs/>
          <w:lang w:val="en-US" w:eastAsia="zh-CN"/>
        </w:rPr>
      </w:pPr>
      <w:r>
        <w:rPr>
          <w:rFonts w:hint="default"/>
          <w:b/>
          <w:bCs/>
          <w:lang w:val="en-US" w:eastAsia="zh-CN"/>
        </w:rPr>
        <w:t></w:t>
      </w:r>
      <w:r>
        <w:rPr>
          <w:rFonts w:hint="eastAsia"/>
          <w:b/>
          <w:bCs/>
          <w:lang w:val="en-US" w:eastAsia="zh-CN"/>
        </w:rPr>
        <w:t>（三）运输作业组织措施</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rPr>
          <w:rFonts w:hint="eastAsia"/>
          <w:lang w:val="en-US" w:eastAsia="zh-CN"/>
        </w:rPr>
        <w:t>1、</w:t>
      </w:r>
      <w:r>
        <w:rPr>
          <w:rFonts w:hint="eastAsia"/>
        </w:rPr>
        <w:t>为了安全、优质、按时完成肥料运输任务，项目部在运输前成立运输部门，运输部作为项目部的一个机构代表项目部行使权利，全面负责该部门的对外业务联系和内部协调组织管理，确保肥料在运输作业过程中处于受控状态。</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rPr>
          <w:rFonts w:hint="eastAsia"/>
          <w:lang w:val="en-US" w:eastAsia="zh-CN"/>
        </w:rPr>
        <w:t>2、</w:t>
      </w:r>
      <w:r>
        <w:t>项目部指定专人担任部门经理。</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pPr>
      <w:r>
        <w:rPr>
          <w:rFonts w:hint="eastAsia"/>
          <w:lang w:val="en-US" w:eastAsia="zh-CN"/>
        </w:rPr>
        <w:t>3、</w:t>
      </w:r>
      <w:r>
        <w:t>运输部由技术组、安全组、质量组、外勤组组成。具体分工负责运输项目的各项工作。运输作业过程中组织四个作业组，分别在卸车装车、公路运输作业过程中相互配合，前后衔接。</w:t>
      </w:r>
    </w:p>
    <w:p>
      <w:pPr>
        <w:pStyle w:val="52"/>
        <w:keepNext w:val="0"/>
        <w:keepLines w:val="0"/>
        <w:pageBreakBefore w:val="0"/>
        <w:widowControl w:val="0"/>
        <w:kinsoku/>
        <w:wordWrap/>
        <w:overflowPunct/>
        <w:topLinePunct w:val="0"/>
        <w:autoSpaceDE/>
        <w:autoSpaceDN/>
        <w:bidi w:val="0"/>
        <w:adjustRightInd w:val="0"/>
        <w:snapToGrid w:val="0"/>
        <w:spacing w:before="0" w:after="0" w:line="480" w:lineRule="auto"/>
        <w:jc w:val="both"/>
        <w:textAlignment w:val="auto"/>
      </w:pPr>
      <w:r>
        <w:drawing>
          <wp:inline distT="0" distB="0" distL="0" distR="0">
            <wp:extent cx="5274310" cy="3539490"/>
            <wp:effectExtent l="0" t="0" r="2540" b="3810"/>
            <wp:docPr id="285" name="图片 28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descr="图示&#10;&#10;描述已自动生成"/>
                    <pic:cNvPicPr>
                      <a:picLocks noChangeAspect="1"/>
                    </pic:cNvPicPr>
                  </pic:nvPicPr>
                  <pic:blipFill>
                    <a:blip r:embed="rId28"/>
                    <a:stretch>
                      <a:fillRect/>
                    </a:stretch>
                  </pic:blipFill>
                  <pic:spPr>
                    <a:xfrm>
                      <a:off x="0" y="0"/>
                      <a:ext cx="5274310" cy="3540108"/>
                    </a:xfrm>
                    <a:prstGeom prst="rect">
                      <a:avLst/>
                    </a:prstGeom>
                  </pic:spPr>
                </pic:pic>
              </a:graphicData>
            </a:graphic>
          </wp:inline>
        </w:drawing>
      </w:r>
    </w:p>
    <w:p>
      <w:pPr>
        <w:pStyle w:val="55"/>
        <w:keepNext w:val="0"/>
        <w:keepLines w:val="0"/>
        <w:pageBreakBefore w:val="0"/>
        <w:widowControl w:val="0"/>
        <w:numPr>
          <w:ilvl w:val="0"/>
          <w:numId w:val="0"/>
        </w:numPr>
        <w:kinsoku/>
        <w:wordWrap/>
        <w:overflowPunct/>
        <w:topLinePunct w:val="0"/>
        <w:autoSpaceDE/>
        <w:autoSpaceDN/>
        <w:bidi w:val="0"/>
        <w:adjustRightInd w:val="0"/>
        <w:snapToGrid w:val="0"/>
        <w:spacing w:line="480" w:lineRule="auto"/>
        <w:ind w:left="0" w:firstLine="562" w:firstLineChars="200"/>
        <w:textAlignment w:val="auto"/>
        <w:rPr>
          <w:rFonts w:hint="eastAsia" w:ascii="Times New Roman" w:hAnsi="Times New Roman" w:eastAsia="宋体" w:cs="Times New Roman"/>
          <w:b/>
          <w:bCs/>
          <w:kern w:val="2"/>
          <w:sz w:val="28"/>
          <w:szCs w:val="24"/>
          <w:lang w:val="en-US" w:eastAsia="zh-CN" w:bidi="ar-SA"/>
        </w:rPr>
      </w:pPr>
      <w:r>
        <w:rPr>
          <w:rFonts w:hint="eastAsia" w:ascii="Times New Roman" w:hAnsi="Times New Roman" w:eastAsia="宋体" w:cs="Times New Roman"/>
          <w:b/>
          <w:bCs/>
          <w:kern w:val="2"/>
          <w:sz w:val="28"/>
          <w:szCs w:val="24"/>
          <w:lang w:val="en-US" w:eastAsia="zh-CN" w:bidi="ar-SA"/>
        </w:rPr>
        <w:t>（四）部门职责</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2" w:firstLineChars="200"/>
        <w:textAlignment w:val="auto"/>
        <w:rPr>
          <w:b/>
          <w:bCs/>
        </w:rPr>
      </w:pPr>
      <w:r>
        <w:rPr>
          <w:rFonts w:hint="eastAsia"/>
          <w:b/>
          <w:bCs/>
          <w:lang w:val="en-US" w:eastAsia="zh-CN"/>
        </w:rPr>
        <w:t>1、</w:t>
      </w:r>
      <w:r>
        <w:rPr>
          <w:rFonts w:hint="eastAsia"/>
          <w:b/>
          <w:bCs/>
        </w:rPr>
        <w:t>部门经理</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pPr>
      <w:r>
        <w:rPr>
          <w:rFonts w:hint="eastAsia"/>
        </w:rPr>
        <w:t>负责审批运输方案及其它计划</w:t>
      </w:r>
      <w:r>
        <w:t>;</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pPr>
      <w:r>
        <w:rPr>
          <w:rFonts w:hint="eastAsia"/>
        </w:rPr>
        <w:t>对作业人员、产品、作业环境、资金等实施全方位管理和控制，组织有关人员对运输实施中的质量活动进行监控，使工程质量始终处于受控状态。</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pPr>
      <w:r>
        <w:rPr>
          <w:rFonts w:hint="eastAsia"/>
        </w:rPr>
        <w:t>按合同要求或规范及时组织运输工作，按时向项目部通报运输进展况；</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pPr>
      <w:r>
        <w:rPr>
          <w:rFonts w:hint="eastAsia"/>
        </w:rPr>
        <w:t>负责运输过程中的各项事宜的最终裁决。</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2" w:firstLineChars="200"/>
        <w:textAlignment w:val="auto"/>
        <w:rPr>
          <w:b/>
          <w:bCs/>
        </w:rPr>
      </w:pPr>
      <w:r>
        <w:rPr>
          <w:rFonts w:hint="eastAsia"/>
          <w:b/>
          <w:bCs/>
          <w:lang w:val="en-US" w:eastAsia="zh-CN"/>
        </w:rPr>
        <w:t>2、</w:t>
      </w:r>
      <w:r>
        <w:rPr>
          <w:rFonts w:hint="eastAsia"/>
          <w:b/>
          <w:bCs/>
        </w:rPr>
        <w:t>部门工程师</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pPr>
      <w:r>
        <w:rPr>
          <w:rFonts w:hint="eastAsia"/>
        </w:rPr>
        <w:t>协助部门经理工作，负责运输作业现场的组织、协调及指挥，负责作业过程中技术、安全、质量得指导及审核等工作。负责作业计划及措施的实施，并解决作业过程中的重大技术问题。</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2" w:firstLineChars="200"/>
        <w:textAlignment w:val="auto"/>
        <w:rPr>
          <w:b/>
          <w:bCs/>
        </w:rPr>
      </w:pPr>
      <w:r>
        <w:rPr>
          <w:rFonts w:hint="eastAsia"/>
          <w:b/>
          <w:bCs/>
          <w:lang w:val="en-US" w:eastAsia="zh-CN"/>
        </w:rPr>
        <w:t>3、</w:t>
      </w:r>
      <w:r>
        <w:rPr>
          <w:rFonts w:hint="eastAsia"/>
          <w:b/>
          <w:bCs/>
        </w:rPr>
        <w:t>调度组</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pPr>
      <w:r>
        <w:rPr>
          <w:rFonts w:hint="eastAsia"/>
        </w:rPr>
        <w:t>在部门经理的领导下，负责整个运输过程中的调度工作，合理安排人员和运输产品，制定合理的运输计划。保障货物能够及时安全到位。</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2" w:firstLineChars="200"/>
        <w:textAlignment w:val="auto"/>
        <w:rPr>
          <w:b/>
          <w:bCs/>
        </w:rPr>
      </w:pPr>
      <w:r>
        <w:rPr>
          <w:rFonts w:hint="eastAsia"/>
          <w:b/>
          <w:bCs/>
          <w:lang w:val="en-US" w:eastAsia="zh-CN"/>
        </w:rPr>
        <w:t>4、</w:t>
      </w:r>
      <w:r>
        <w:rPr>
          <w:rFonts w:hint="eastAsia"/>
          <w:b/>
          <w:bCs/>
        </w:rPr>
        <w:t>安全组</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pPr>
      <w:r>
        <w:rPr>
          <w:rFonts w:hint="eastAsia"/>
        </w:rPr>
        <w:t>负责本部门的安全管理工作，负责检查指导并监督执行安全作业规章制度。作业过程中每天召开安全作业例会，负责对人员的安全教育，组织安全作业检查，及时掌握安全作业情况，采取相应措施，保证作业安全。</w:t>
      </w:r>
    </w:p>
    <w:p>
      <w:pPr>
        <w:pStyle w:val="55"/>
        <w:keepNext w:val="0"/>
        <w:keepLines w:val="0"/>
        <w:pageBreakBefore w:val="0"/>
        <w:widowControl w:val="0"/>
        <w:numPr>
          <w:ilvl w:val="0"/>
          <w:numId w:val="0"/>
        </w:numPr>
        <w:kinsoku/>
        <w:wordWrap/>
        <w:overflowPunct/>
        <w:topLinePunct w:val="0"/>
        <w:autoSpaceDE/>
        <w:autoSpaceDN/>
        <w:bidi w:val="0"/>
        <w:adjustRightInd w:val="0"/>
        <w:snapToGrid w:val="0"/>
        <w:spacing w:line="480" w:lineRule="auto"/>
        <w:ind w:left="0" w:firstLine="562" w:firstLineChars="200"/>
        <w:textAlignment w:val="auto"/>
        <w:rPr>
          <w:rFonts w:hint="eastAsia" w:ascii="Times New Roman" w:hAnsi="Times New Roman" w:eastAsia="宋体" w:cs="Times New Roman"/>
          <w:b/>
          <w:bCs/>
          <w:kern w:val="2"/>
          <w:sz w:val="28"/>
          <w:szCs w:val="24"/>
          <w:lang w:val="en-US" w:eastAsia="zh-CN" w:bidi="ar-SA"/>
        </w:rPr>
      </w:pPr>
      <w:r>
        <w:rPr>
          <w:rFonts w:hint="eastAsia" w:ascii="Times New Roman" w:hAnsi="Times New Roman" w:eastAsia="宋体" w:cs="Times New Roman"/>
          <w:b/>
          <w:bCs/>
          <w:kern w:val="2"/>
          <w:sz w:val="28"/>
          <w:szCs w:val="24"/>
          <w:lang w:val="en-US" w:eastAsia="zh-CN" w:bidi="ar-SA"/>
        </w:rPr>
        <w:t>（五）运输总体服务方案</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pPr>
      <w:r>
        <w:rPr>
          <w:rFonts w:hint="eastAsia"/>
        </w:rPr>
        <w:t>“高效快速、机动灵活，诚实守信，卓越服务”是我公司对客户恪守的承诺和经营宗旨，针对本次采购项目，我公司将成立“</w:t>
      </w:r>
      <w:r>
        <w:rPr>
          <w:rFonts w:hint="eastAsia"/>
          <w:lang w:eastAsia="zh-CN"/>
        </w:rPr>
        <w:t>XXX生物有机肥采购项目</w:t>
      </w:r>
      <w:r>
        <w:t>实施领导小组”，由总经理任组长，项目经理任副组长，副总经理任副组长，售后部经理任售后监督调查责任人，配送中心经理任专项配送中心责任人，全面协调各项工作的开展和问题处理，结合本公司日常配送流程，制定如下具体配送实施方案实施计划：</w:t>
      </w:r>
    </w:p>
    <w:p>
      <w:pPr>
        <w:pStyle w:val="55"/>
        <w:keepNext w:val="0"/>
        <w:keepLines w:val="0"/>
        <w:pageBreakBefore w:val="0"/>
        <w:widowControl w:val="0"/>
        <w:numPr>
          <w:ilvl w:val="0"/>
          <w:numId w:val="0"/>
        </w:numPr>
        <w:kinsoku/>
        <w:wordWrap/>
        <w:overflowPunct/>
        <w:topLinePunct w:val="0"/>
        <w:autoSpaceDE/>
        <w:autoSpaceDN/>
        <w:bidi w:val="0"/>
        <w:adjustRightInd w:val="0"/>
        <w:snapToGrid w:val="0"/>
        <w:spacing w:line="480" w:lineRule="auto"/>
        <w:ind w:left="0" w:firstLine="562" w:firstLineChars="200"/>
        <w:textAlignment w:val="auto"/>
        <w:rPr>
          <w:rFonts w:hint="eastAsia" w:ascii="Times New Roman" w:hAnsi="Times New Roman" w:eastAsia="宋体" w:cs="Times New Roman"/>
          <w:b/>
          <w:bCs/>
          <w:kern w:val="2"/>
          <w:sz w:val="28"/>
          <w:szCs w:val="24"/>
          <w:lang w:val="en-US" w:eastAsia="zh-CN" w:bidi="ar-SA"/>
        </w:rPr>
      </w:pPr>
      <w:r>
        <w:rPr>
          <w:rFonts w:hint="eastAsia" w:ascii="Times New Roman" w:hAnsi="Times New Roman" w:eastAsia="宋体" w:cs="Times New Roman"/>
          <w:b/>
          <w:bCs/>
          <w:kern w:val="2"/>
          <w:sz w:val="28"/>
          <w:szCs w:val="24"/>
          <w:lang w:val="en-US" w:eastAsia="zh-CN" w:bidi="ar-SA"/>
        </w:rPr>
        <w:t>（六）配送方案实施计划</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pPr>
      <w:r>
        <w:rPr>
          <w:rFonts w:hint="eastAsia"/>
          <w:lang w:val="en-US" w:eastAsia="zh-CN"/>
        </w:rPr>
        <w:t>1、</w:t>
      </w:r>
      <w:r>
        <w:rPr>
          <w:rFonts w:hint="eastAsia"/>
        </w:rPr>
        <w:t>我公司的配送宗旨是“三按”，按时、按质、按量。“三专”，专人、专车、专线。</w:t>
      </w:r>
    </w:p>
    <w:p>
      <w:pPr>
        <w:pStyle w:val="55"/>
        <w:keepNext w:val="0"/>
        <w:keepLines w:val="0"/>
        <w:pageBreakBefore w:val="0"/>
        <w:widowControl w:val="0"/>
        <w:numPr>
          <w:ilvl w:val="0"/>
          <w:numId w:val="0"/>
        </w:numPr>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rPr>
          <w:rFonts w:hint="eastAsia"/>
          <w:lang w:eastAsia="zh-CN"/>
        </w:rPr>
        <w:t>（</w:t>
      </w:r>
      <w:r>
        <w:rPr>
          <w:rFonts w:hint="eastAsia"/>
          <w:lang w:val="en-US" w:eastAsia="zh-CN"/>
        </w:rPr>
        <w:t>1</w:t>
      </w:r>
      <w:r>
        <w:rPr>
          <w:rFonts w:hint="eastAsia"/>
          <w:lang w:eastAsia="zh-CN"/>
        </w:rPr>
        <w:t>）</w:t>
      </w:r>
      <w:r>
        <w:t>按时——严格按照招标方的时间要求和规定配送；</w:t>
      </w:r>
    </w:p>
    <w:p>
      <w:pPr>
        <w:pStyle w:val="55"/>
        <w:keepNext w:val="0"/>
        <w:keepLines w:val="0"/>
        <w:pageBreakBefore w:val="0"/>
        <w:widowControl w:val="0"/>
        <w:numPr>
          <w:ilvl w:val="0"/>
          <w:numId w:val="0"/>
        </w:numPr>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rPr>
          <w:rFonts w:hint="eastAsia"/>
          <w:lang w:eastAsia="zh-CN"/>
        </w:rPr>
        <w:t>（</w:t>
      </w:r>
      <w:r>
        <w:rPr>
          <w:rFonts w:hint="eastAsia"/>
          <w:lang w:val="en-US" w:eastAsia="zh-CN"/>
        </w:rPr>
        <w:t>2</w:t>
      </w:r>
      <w:r>
        <w:rPr>
          <w:rFonts w:hint="eastAsia"/>
          <w:lang w:eastAsia="zh-CN"/>
        </w:rPr>
        <w:t>）</w:t>
      </w:r>
      <w:r>
        <w:t>按质——保证提供质量合格的优质产品，并登记记录每个送货批次；</w:t>
      </w:r>
    </w:p>
    <w:p>
      <w:pPr>
        <w:pStyle w:val="55"/>
        <w:keepNext w:val="0"/>
        <w:keepLines w:val="0"/>
        <w:pageBreakBefore w:val="0"/>
        <w:widowControl w:val="0"/>
        <w:numPr>
          <w:ilvl w:val="0"/>
          <w:numId w:val="0"/>
        </w:numPr>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rPr>
          <w:rFonts w:hint="eastAsia"/>
          <w:lang w:eastAsia="zh-CN"/>
        </w:rPr>
        <w:t>（</w:t>
      </w:r>
      <w:r>
        <w:rPr>
          <w:rFonts w:hint="eastAsia"/>
          <w:lang w:val="en-US" w:eastAsia="zh-CN"/>
        </w:rPr>
        <w:t>3</w:t>
      </w:r>
      <w:r>
        <w:rPr>
          <w:rFonts w:hint="eastAsia"/>
          <w:lang w:eastAsia="zh-CN"/>
        </w:rPr>
        <w:t>）</w:t>
      </w:r>
      <w:r>
        <w:t>按量——按照招标方的配送明细、数量、</w:t>
      </w:r>
      <w:r>
        <w:rPr>
          <w:rFonts w:hint="eastAsia"/>
        </w:rPr>
        <w:t>配送</w:t>
      </w:r>
      <w:r>
        <w:t>地址认真执行配送工作。</w:t>
      </w:r>
    </w:p>
    <w:p>
      <w:pPr>
        <w:pStyle w:val="55"/>
        <w:keepNext w:val="0"/>
        <w:keepLines w:val="0"/>
        <w:pageBreakBefore w:val="0"/>
        <w:widowControl w:val="0"/>
        <w:numPr>
          <w:ilvl w:val="0"/>
          <w:numId w:val="0"/>
        </w:numPr>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rPr>
          <w:rFonts w:hint="eastAsia"/>
          <w:lang w:eastAsia="zh-CN"/>
        </w:rPr>
        <w:t>（</w:t>
      </w:r>
      <w:r>
        <w:rPr>
          <w:rFonts w:hint="eastAsia"/>
          <w:lang w:val="en-US" w:eastAsia="zh-CN"/>
        </w:rPr>
        <w:t>4</w:t>
      </w:r>
      <w:r>
        <w:rPr>
          <w:rFonts w:hint="eastAsia"/>
          <w:lang w:eastAsia="zh-CN"/>
        </w:rPr>
        <w:t>）</w:t>
      </w:r>
      <w:r>
        <w:t>专人——公司安排多名工作人员实施配送方案，由配送中心经理具体负责；</w:t>
      </w:r>
    </w:p>
    <w:p>
      <w:pPr>
        <w:pStyle w:val="55"/>
        <w:keepNext w:val="0"/>
        <w:keepLines w:val="0"/>
        <w:pageBreakBefore w:val="0"/>
        <w:widowControl w:val="0"/>
        <w:numPr>
          <w:ilvl w:val="0"/>
          <w:numId w:val="0"/>
        </w:numPr>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rPr>
          <w:rFonts w:hint="eastAsia"/>
          <w:lang w:eastAsia="zh-CN"/>
        </w:rPr>
        <w:t>（</w:t>
      </w:r>
      <w:r>
        <w:rPr>
          <w:rFonts w:hint="eastAsia"/>
          <w:lang w:val="en-US" w:eastAsia="zh-CN"/>
        </w:rPr>
        <w:t>5</w:t>
      </w:r>
      <w:r>
        <w:rPr>
          <w:rFonts w:hint="eastAsia"/>
          <w:lang w:eastAsia="zh-CN"/>
        </w:rPr>
        <w:t>）</w:t>
      </w:r>
      <w:r>
        <w:t>专车——公司针对本项目的实施。计划从公司配送中心抽出专用运输车辆，实施专车配送，完全能够确保按时送达到各目的地；</w:t>
      </w:r>
    </w:p>
    <w:p>
      <w:pPr>
        <w:pStyle w:val="55"/>
        <w:keepNext w:val="0"/>
        <w:keepLines w:val="0"/>
        <w:pageBreakBefore w:val="0"/>
        <w:widowControl w:val="0"/>
        <w:numPr>
          <w:ilvl w:val="0"/>
          <w:numId w:val="0"/>
        </w:numPr>
        <w:kinsoku/>
        <w:wordWrap/>
        <w:overflowPunct/>
        <w:topLinePunct w:val="0"/>
        <w:autoSpaceDE/>
        <w:autoSpaceDN/>
        <w:bidi w:val="0"/>
        <w:adjustRightInd w:val="0"/>
        <w:snapToGrid w:val="0"/>
        <w:spacing w:line="480" w:lineRule="auto"/>
        <w:ind w:left="0" w:firstLine="560" w:firstLineChars="200"/>
        <w:textAlignment w:val="auto"/>
      </w:pPr>
      <w:r>
        <w:rPr>
          <w:rFonts w:hint="eastAsia"/>
          <w:lang w:eastAsia="zh-CN"/>
        </w:rPr>
        <w:t>（</w:t>
      </w:r>
      <w:r>
        <w:rPr>
          <w:rFonts w:hint="eastAsia"/>
          <w:lang w:val="en-US" w:eastAsia="zh-CN"/>
        </w:rPr>
        <w:t>6</w:t>
      </w:r>
      <w:r>
        <w:rPr>
          <w:rFonts w:hint="eastAsia"/>
          <w:lang w:eastAsia="zh-CN"/>
        </w:rPr>
        <w:t>）</w:t>
      </w:r>
      <w:r>
        <w:t>专线——我公司为本项目规划的专线配送路线。</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pPr>
      <w:r>
        <w:rPr>
          <w:rFonts w:hint="eastAsia"/>
          <w:lang w:val="en-US" w:eastAsia="zh-CN"/>
        </w:rPr>
        <w:t>2、</w:t>
      </w:r>
      <w:r>
        <w:rPr>
          <w:rFonts w:hint="eastAsia"/>
        </w:rPr>
        <w:t>严格执行公司的“五心”标准</w:t>
      </w:r>
    </w:p>
    <w:p>
      <w:pPr>
        <w:pStyle w:val="55"/>
        <w:keepNext w:val="0"/>
        <w:keepLines w:val="0"/>
        <w:pageBreakBefore w:val="0"/>
        <w:widowControl w:val="0"/>
        <w:numPr>
          <w:ilvl w:val="0"/>
          <w:numId w:val="0"/>
        </w:numPr>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rPr>
          <w:rFonts w:hint="eastAsia"/>
          <w:lang w:eastAsia="zh-CN"/>
        </w:rPr>
        <w:t>（</w:t>
      </w:r>
      <w:r>
        <w:rPr>
          <w:rFonts w:hint="eastAsia"/>
          <w:lang w:val="en-US" w:eastAsia="zh-CN"/>
        </w:rPr>
        <w:t>1</w:t>
      </w:r>
      <w:r>
        <w:rPr>
          <w:rFonts w:hint="eastAsia"/>
          <w:lang w:eastAsia="zh-CN"/>
        </w:rPr>
        <w:t>）</w:t>
      </w:r>
      <w:r>
        <w:rPr>
          <w:rFonts w:hint="eastAsia"/>
        </w:rPr>
        <w:t>诚心</w:t>
      </w:r>
      <w:r>
        <w:t>----诚心诚意</w:t>
      </w:r>
    </w:p>
    <w:p>
      <w:pPr>
        <w:pStyle w:val="55"/>
        <w:keepNext w:val="0"/>
        <w:keepLines w:val="0"/>
        <w:pageBreakBefore w:val="0"/>
        <w:widowControl w:val="0"/>
        <w:numPr>
          <w:ilvl w:val="0"/>
          <w:numId w:val="0"/>
        </w:numPr>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rPr>
          <w:rFonts w:hint="eastAsia"/>
          <w:lang w:eastAsia="zh-CN"/>
        </w:rPr>
        <w:t>（</w:t>
      </w:r>
      <w:r>
        <w:rPr>
          <w:rFonts w:hint="eastAsia"/>
          <w:lang w:val="en-US" w:eastAsia="zh-CN"/>
        </w:rPr>
        <w:t>2</w:t>
      </w:r>
      <w:r>
        <w:rPr>
          <w:rFonts w:hint="eastAsia"/>
          <w:lang w:eastAsia="zh-CN"/>
        </w:rPr>
        <w:t>）</w:t>
      </w:r>
      <w:r>
        <w:t>贴心----站在对方角度考虑问题，以心换心</w:t>
      </w:r>
    </w:p>
    <w:p>
      <w:pPr>
        <w:pStyle w:val="55"/>
        <w:keepNext w:val="0"/>
        <w:keepLines w:val="0"/>
        <w:pageBreakBefore w:val="0"/>
        <w:widowControl w:val="0"/>
        <w:numPr>
          <w:ilvl w:val="0"/>
          <w:numId w:val="0"/>
        </w:numPr>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rPr>
          <w:rFonts w:hint="eastAsia"/>
          <w:lang w:eastAsia="zh-CN"/>
        </w:rPr>
        <w:t>（</w:t>
      </w:r>
      <w:r>
        <w:rPr>
          <w:rFonts w:hint="eastAsia"/>
          <w:lang w:val="en-US" w:eastAsia="zh-CN"/>
        </w:rPr>
        <w:t>3</w:t>
      </w:r>
      <w:r>
        <w:rPr>
          <w:rFonts w:hint="eastAsia"/>
          <w:lang w:eastAsia="zh-CN"/>
        </w:rPr>
        <w:t>）</w:t>
      </w:r>
      <w:r>
        <w:t>细心-----细致周到，不漏掉一个问题，不放过一个细节。</w:t>
      </w:r>
    </w:p>
    <w:p>
      <w:pPr>
        <w:pStyle w:val="55"/>
        <w:keepNext w:val="0"/>
        <w:keepLines w:val="0"/>
        <w:pageBreakBefore w:val="0"/>
        <w:widowControl w:val="0"/>
        <w:numPr>
          <w:ilvl w:val="0"/>
          <w:numId w:val="0"/>
        </w:numPr>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rPr>
          <w:rFonts w:hint="eastAsia"/>
          <w:lang w:eastAsia="zh-CN"/>
        </w:rPr>
        <w:t>（</w:t>
      </w:r>
      <w:r>
        <w:rPr>
          <w:rFonts w:hint="eastAsia"/>
          <w:lang w:val="en-US" w:eastAsia="zh-CN"/>
        </w:rPr>
        <w:t>4</w:t>
      </w:r>
      <w:r>
        <w:rPr>
          <w:rFonts w:hint="eastAsia"/>
          <w:lang w:eastAsia="zh-CN"/>
        </w:rPr>
        <w:t>）</w:t>
      </w:r>
      <w:r>
        <w:t>耐心-----始终保持服务耐心，最苛刻的客户是我们最好的教练</w:t>
      </w:r>
    </w:p>
    <w:p>
      <w:pPr>
        <w:pStyle w:val="55"/>
        <w:keepNext w:val="0"/>
        <w:keepLines w:val="0"/>
        <w:pageBreakBefore w:val="0"/>
        <w:widowControl w:val="0"/>
        <w:numPr>
          <w:ilvl w:val="0"/>
          <w:numId w:val="0"/>
        </w:numPr>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rPr>
          <w:rFonts w:hint="eastAsia"/>
          <w:lang w:eastAsia="zh-CN"/>
        </w:rPr>
        <w:t>（</w:t>
      </w:r>
      <w:r>
        <w:rPr>
          <w:rFonts w:hint="eastAsia"/>
          <w:lang w:val="en-US" w:eastAsia="zh-CN"/>
        </w:rPr>
        <w:t>5</w:t>
      </w:r>
      <w:r>
        <w:rPr>
          <w:rFonts w:hint="eastAsia"/>
          <w:lang w:eastAsia="zh-CN"/>
        </w:rPr>
        <w:t>）</w:t>
      </w:r>
      <w:r>
        <w:t>舒心-----客户放心，更开心，这就是我们的工作客户1%的不满意等于100%的不满意，在整个服务链上我们确保服务的精致性，不漏掉一个问题，不放过一个细节。</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t>整合车辆资源，保证货物运输的及时性。把自有车辆与社会固有车辆进行合理搭配，对不同吨位及目的地的货物，安排合适的车型，以保证货物到达的及时性。</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t>在驾驶人员的学习教育及</w:t>
      </w:r>
      <w:r>
        <w:rPr>
          <w:rFonts w:hint="eastAsia"/>
        </w:rPr>
        <w:t>车辆出行前的安全检查上下功夫，驾驶人员作为运输中的主导者在技能及思想方面必须过硬，车辆在运输途中的稳定性是安全的重要保障。</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pPr>
      <w:r>
        <w:t>做好货物运输途中的安全防护举措，针对不同季节及天气配备相应的防护用具，如：防雨布，棉被，胶垫及固定保护装置等。保证货物的安全运达。</w:t>
      </w:r>
    </w:p>
    <w:p>
      <w:pPr>
        <w:pStyle w:val="55"/>
        <w:keepNext w:val="0"/>
        <w:keepLines w:val="0"/>
        <w:pageBreakBefore w:val="0"/>
        <w:widowControl w:val="0"/>
        <w:numPr>
          <w:ilvl w:val="0"/>
          <w:numId w:val="0"/>
        </w:numPr>
        <w:kinsoku/>
        <w:wordWrap/>
        <w:overflowPunct/>
        <w:topLinePunct w:val="0"/>
        <w:autoSpaceDE/>
        <w:autoSpaceDN/>
        <w:bidi w:val="0"/>
        <w:adjustRightInd w:val="0"/>
        <w:snapToGrid w:val="0"/>
        <w:spacing w:line="480" w:lineRule="auto"/>
        <w:ind w:left="0" w:firstLine="562" w:firstLineChars="200"/>
        <w:textAlignment w:val="auto"/>
        <w:rPr>
          <w:rFonts w:hint="eastAsia" w:ascii="Times New Roman" w:hAnsi="Times New Roman" w:eastAsia="宋体" w:cs="Times New Roman"/>
          <w:b/>
          <w:bCs/>
          <w:kern w:val="2"/>
          <w:sz w:val="28"/>
          <w:szCs w:val="24"/>
          <w:lang w:val="en-US" w:eastAsia="zh-CN" w:bidi="ar-SA"/>
        </w:rPr>
      </w:pPr>
      <w:r>
        <w:rPr>
          <w:rFonts w:hint="eastAsia" w:ascii="Times New Roman" w:hAnsi="Times New Roman" w:eastAsia="宋体" w:cs="Times New Roman"/>
          <w:b/>
          <w:bCs/>
          <w:kern w:val="2"/>
          <w:sz w:val="28"/>
          <w:szCs w:val="24"/>
          <w:lang w:val="en-US" w:eastAsia="zh-CN" w:bidi="ar-SA"/>
        </w:rPr>
        <w:t>（七）运输人员专职岗位</w:t>
      </w:r>
    </w:p>
    <w:p>
      <w:pPr>
        <w:pStyle w:val="55"/>
        <w:keepNext w:val="0"/>
        <w:keepLines w:val="0"/>
        <w:pageBreakBefore w:val="0"/>
        <w:widowControl w:val="0"/>
        <w:numPr>
          <w:ilvl w:val="0"/>
          <w:numId w:val="0"/>
        </w:numPr>
        <w:kinsoku/>
        <w:wordWrap/>
        <w:overflowPunct/>
        <w:topLinePunct w:val="0"/>
        <w:autoSpaceDE/>
        <w:autoSpaceDN/>
        <w:bidi w:val="0"/>
        <w:adjustRightInd w:val="0"/>
        <w:snapToGrid w:val="0"/>
        <w:spacing w:line="480" w:lineRule="auto"/>
        <w:ind w:left="0" w:firstLine="562" w:firstLineChars="200"/>
        <w:textAlignment w:val="auto"/>
        <w:rPr>
          <w:b/>
          <w:bCs/>
        </w:rPr>
      </w:pPr>
      <w:r>
        <w:rPr>
          <w:rFonts w:hint="eastAsia"/>
          <w:b/>
          <w:bCs/>
          <w:lang w:val="en-US" w:eastAsia="zh-CN"/>
        </w:rPr>
        <w:t>1、</w:t>
      </w:r>
      <w:r>
        <w:rPr>
          <w:rFonts w:hint="eastAsia"/>
          <w:b/>
          <w:bCs/>
        </w:rPr>
        <w:t>运输配送主管岗位职责</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pPr>
      <w:r>
        <w:rPr>
          <w:rFonts w:hint="eastAsia"/>
        </w:rPr>
        <w:t>运输配送主管的主要职责包括合理安排运输配送人员，合理调配运输车辆，指导和监督配送工作等。</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pPr>
      <w:r>
        <w:rPr>
          <w:rFonts w:hint="eastAsia"/>
        </w:rPr>
        <w:t>运输调度专员岗位职责</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pPr>
      <w:r>
        <w:rPr>
          <w:rFonts w:hint="eastAsia"/>
        </w:rPr>
        <w:t>运输调度专员主要负责运输规章制度的草拟、车辆的调度、运输费用处理等工作事项，保障货物的及时运送和在装车过程中的完好。</w:t>
      </w:r>
    </w:p>
    <w:p>
      <w:pPr>
        <w:pStyle w:val="55"/>
        <w:keepNext w:val="0"/>
        <w:keepLines w:val="0"/>
        <w:pageBreakBefore w:val="0"/>
        <w:widowControl w:val="0"/>
        <w:numPr>
          <w:ilvl w:val="0"/>
          <w:numId w:val="0"/>
        </w:numPr>
        <w:kinsoku/>
        <w:wordWrap/>
        <w:overflowPunct/>
        <w:topLinePunct w:val="0"/>
        <w:autoSpaceDE/>
        <w:autoSpaceDN/>
        <w:bidi w:val="0"/>
        <w:adjustRightInd w:val="0"/>
        <w:snapToGrid w:val="0"/>
        <w:spacing w:line="480" w:lineRule="auto"/>
        <w:ind w:left="0" w:firstLine="562" w:firstLineChars="200"/>
        <w:textAlignment w:val="auto"/>
        <w:rPr>
          <w:b/>
          <w:bCs/>
        </w:rPr>
      </w:pPr>
      <w:r>
        <w:rPr>
          <w:rFonts w:hint="eastAsia"/>
          <w:b/>
          <w:bCs/>
          <w:lang w:val="en-US" w:eastAsia="zh-CN"/>
        </w:rPr>
        <w:t>2、</w:t>
      </w:r>
      <w:r>
        <w:rPr>
          <w:rFonts w:hint="eastAsia"/>
          <w:b/>
          <w:bCs/>
        </w:rPr>
        <w:t>配送专员岗位职责</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rPr>
          <w:rFonts w:hint="eastAsia"/>
        </w:rPr>
        <w:t>配送专员主要负责制订配送计划，协调客户或供应商配送需求，优化配送方案等工作。</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2" w:firstLineChars="200"/>
        <w:textAlignment w:val="auto"/>
        <w:rPr>
          <w:rFonts w:hint="eastAsia" w:eastAsia="宋体"/>
          <w:b/>
          <w:bCs/>
          <w:lang w:eastAsia="zh-CN"/>
        </w:rPr>
      </w:pPr>
      <w:r>
        <w:rPr>
          <w:rFonts w:hint="eastAsia"/>
          <w:b/>
          <w:bCs/>
        </w:rPr>
        <w:t>（1）</w:t>
      </w:r>
      <w:r>
        <w:rPr>
          <w:b/>
          <w:bCs/>
        </w:rPr>
        <w:t>配送司机岗位职责</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t>①司机应爱惜公司车辆，经常检查车辆的主要机件，每周至少抽出半天时间对自己所开车辆进行检修和清洁。</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t>②司机每天出车前要例行检查车辆水、电、油及其它性能是否正常，发现不正常要立即加补或调整。如车辆因缺油、缺水导致车辆损坏，其费用将自行承担。</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t>③司机发现所驾车辆有故障时要立即检修，不会检修的，应立即报给车队负责人，并提出维修项目，未经批准不许私自将车辆送外维修。产生维修费用须向车队负责人申请，违者费用不予报销。</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rPr>
          <w:rFonts w:hint="eastAsia"/>
        </w:rPr>
        <w:t>④司机对自己所开车辆，各种证件要常检查，出车时一定保证证件齐全。</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t>⑤司机酒后驾车、闯红灯、超速、违章停车、未按指定道路行驶的交通违章，均由司机本人承担。</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pPr>
      <w:r>
        <w:t>⑥行车中发生交通事故，应立即报给车队负责人。能适用快速处理的，应采用快速处理，如必须现场处理，应当立即报警待处，不得逃离现场。</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rPr>
          <w:rFonts w:hint="eastAsia"/>
        </w:rPr>
        <w:t>⑦司机对管理人员的工作安排，应无条件服从，不准借故拖延或拒不出车，对工作有意见的事后可向上级领导反映。</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t>⑧司机未经领导批准不得将自己保管车辆随便交给其他人驾驶，严禁将车辆给无证人员（包括驾驶证是否超过有郊期，驾驶证是否准驾该车型），违者后果自负。</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t>⑨未经批准，不准违章作业，对所运输的物品要高度负责，捆绑牢固，认真检查，文明装卸。出库前要核实送货数量与所开票据是否相符，不相符的要立即解决，到达各项目后如发现所运物品有丢失、损坏等现象，必须立即上报并积极配合查找。</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t>⑩出车在外或出车归来时，停放车辆一定要停到指定</w:t>
      </w:r>
      <w:r>
        <w:rPr>
          <w:rFonts w:hint="eastAsia"/>
        </w:rPr>
        <w:t>停放位置，不能在危险路段和仓库的主要道路停车，司机离开车辆时要锁好门窗防止车辆被盗。</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rPr>
          <w:rFonts w:ascii="Cambria Math" w:hAnsi="Cambria Math" w:cs="Cambria Math"/>
        </w:rPr>
        <w:t>⑪</w:t>
      </w:r>
      <w:r>
        <w:rPr>
          <w:rFonts w:hint="eastAsia"/>
        </w:rPr>
        <w:t>每次出车司机记录好送货地、所送货物、出库时间、到达时间和行驶公里数。</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pPr>
      <w:r>
        <w:rPr>
          <w:rFonts w:ascii="Cambria Math" w:hAnsi="Cambria Math" w:cs="Cambria Math"/>
        </w:rPr>
        <w:t>⑫</w:t>
      </w:r>
      <w:r>
        <w:rPr>
          <w:rFonts w:hint="eastAsia"/>
        </w:rPr>
        <w:t>按照公司规定加油，加油完成后作好记录，并确认签字。</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2" w:firstLineChars="200"/>
        <w:textAlignment w:val="auto"/>
        <w:rPr>
          <w:rFonts w:hint="eastAsia" w:eastAsia="宋体"/>
          <w:b/>
          <w:bCs/>
          <w:lang w:eastAsia="zh-CN"/>
        </w:rPr>
      </w:pPr>
      <w:r>
        <w:rPr>
          <w:rFonts w:hint="eastAsia"/>
          <w:b/>
          <w:bCs/>
        </w:rPr>
        <w:t>（</w:t>
      </w:r>
      <w:r>
        <w:rPr>
          <w:b/>
          <w:bCs/>
        </w:rPr>
        <w:t>2）配送职责</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t>①负责及时、准确、快捷、安全地配送公司材料到各项目、各部门，做好货物移交、手续的确认、回执工作。</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pPr>
      <w:r>
        <w:t>②接到领导或库房人员派车通知，司机要及时到库房了解货物类别、数量。装车时仔细核对货物数量，认真填写配送单据记录。由库房人员开具出库单，并在出库单上注明车牌号并签字。做到从装货—</w:t>
      </w:r>
      <w:r>
        <w:rPr>
          <w:rFonts w:hint="eastAsia"/>
        </w:rPr>
        <w:t>—运输——采购方验收——签字确认——交回出库单，各环节的单据完整、清楚、准确、及时。</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rPr>
          <w:rFonts w:hint="eastAsia"/>
        </w:rPr>
        <w:t>③司机负责公司所有的送货工作，在库房装货时必须按送货单所列商品的名称、规格、数量、颜色逐一与各工地验收人员当面点清。</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t>④货物离开库房后，如出现损坏、少数、丢失等情况，根据原因由事故责任人承担，如责任人为司机人员，我公司将从其工资中按该批货物的成本价格扣除。</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t>⑤司机送货到</w:t>
      </w:r>
      <w:r>
        <w:rPr>
          <w:rFonts w:hint="eastAsia"/>
        </w:rPr>
        <w:t>采购方指定地点</w:t>
      </w:r>
      <w:r>
        <w:t>时，因质量、规格、毁损或其它原因工地拒收或要求退货的，司机应当场验收后必须于送货当天退回库房，并与库管员作好交接手续。</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t>⑥送货人员必须对送货的货品、退回的货品数量负责，不能找任何理由推萎。</w:t>
      </w:r>
    </w:p>
    <w:p>
      <w:pPr>
        <w:pStyle w:val="55"/>
        <w:keepNext w:val="0"/>
        <w:keepLines w:val="0"/>
        <w:pageBreakBefore w:val="0"/>
        <w:widowControl w:val="0"/>
        <w:numPr>
          <w:ilvl w:val="0"/>
          <w:numId w:val="0"/>
        </w:numPr>
        <w:kinsoku/>
        <w:wordWrap/>
        <w:overflowPunct/>
        <w:topLinePunct w:val="0"/>
        <w:autoSpaceDE/>
        <w:autoSpaceDN/>
        <w:bidi w:val="0"/>
        <w:adjustRightInd w:val="0"/>
        <w:snapToGrid w:val="0"/>
        <w:spacing w:line="480" w:lineRule="auto"/>
        <w:ind w:left="0" w:firstLine="562" w:firstLineChars="200"/>
        <w:textAlignment w:val="auto"/>
        <w:rPr>
          <w:rFonts w:hint="eastAsia" w:ascii="Times New Roman" w:hAnsi="Times New Roman" w:eastAsia="宋体" w:cs="Times New Roman"/>
          <w:b/>
          <w:bCs/>
          <w:kern w:val="2"/>
          <w:sz w:val="28"/>
          <w:szCs w:val="24"/>
          <w:lang w:val="en-US" w:eastAsia="zh-CN" w:bidi="ar-SA"/>
        </w:rPr>
      </w:pPr>
      <w:r>
        <w:rPr>
          <w:rFonts w:hint="eastAsia" w:ascii="Times New Roman" w:hAnsi="Times New Roman" w:eastAsia="宋体" w:cs="Times New Roman"/>
          <w:b/>
          <w:bCs/>
          <w:kern w:val="2"/>
          <w:sz w:val="28"/>
          <w:szCs w:val="24"/>
          <w:lang w:val="en-US" w:eastAsia="zh-CN" w:bidi="ar-SA"/>
        </w:rPr>
        <w:t>（八）运输作业总体安排</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t>总体指导思</w:t>
      </w:r>
      <w:r>
        <w:rPr>
          <w:rFonts w:hint="eastAsia"/>
        </w:rPr>
        <w:t>想</w:t>
      </w:r>
      <w:r>
        <w:t>认真贯彻公司的质量方针，本着安全第一、用户至上的思想，合理组织，科学安排，精心操作，确保将肥料安全、优质、按时运输到</w:t>
      </w:r>
      <w:r>
        <w:rPr>
          <w:rFonts w:hint="eastAsia"/>
        </w:rPr>
        <w:t>甲方指定地点</w:t>
      </w:r>
      <w:r>
        <w:t>。</w:t>
      </w:r>
    </w:p>
    <w:p>
      <w:pPr>
        <w:pStyle w:val="55"/>
        <w:keepNext w:val="0"/>
        <w:keepLines w:val="0"/>
        <w:pageBreakBefore w:val="0"/>
        <w:widowControl w:val="0"/>
        <w:numPr>
          <w:ilvl w:val="0"/>
          <w:numId w:val="0"/>
        </w:numPr>
        <w:kinsoku/>
        <w:wordWrap/>
        <w:overflowPunct/>
        <w:topLinePunct w:val="0"/>
        <w:autoSpaceDE/>
        <w:autoSpaceDN/>
        <w:bidi w:val="0"/>
        <w:adjustRightInd w:val="0"/>
        <w:snapToGrid w:val="0"/>
        <w:spacing w:line="480" w:lineRule="auto"/>
        <w:ind w:left="0" w:firstLine="562" w:firstLineChars="200"/>
        <w:textAlignment w:val="auto"/>
        <w:rPr>
          <w:rFonts w:hint="eastAsia" w:ascii="Times New Roman" w:hAnsi="Times New Roman" w:eastAsia="宋体" w:cs="Times New Roman"/>
          <w:b/>
          <w:bCs/>
          <w:kern w:val="2"/>
          <w:sz w:val="28"/>
          <w:szCs w:val="24"/>
          <w:lang w:val="en-US" w:eastAsia="zh-CN" w:bidi="ar-SA"/>
        </w:rPr>
      </w:pPr>
      <w:r>
        <w:rPr>
          <w:rFonts w:hint="eastAsia" w:ascii="Times New Roman" w:hAnsi="Times New Roman" w:eastAsia="宋体" w:cs="Times New Roman"/>
          <w:b/>
          <w:bCs/>
          <w:kern w:val="2"/>
          <w:sz w:val="28"/>
          <w:szCs w:val="24"/>
          <w:lang w:val="en-US" w:eastAsia="zh-CN" w:bidi="ar-SA"/>
        </w:rPr>
        <w:t>（九）运输作业安排</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t>我公司在人员、技术、设备等方面给予保障，确保各项工作到位。</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pPr>
      <w:r>
        <w:t>组织有关技术人员，按照业主对</w:t>
      </w:r>
      <w:r>
        <w:rPr>
          <w:rFonts w:hint="eastAsia"/>
        </w:rPr>
        <w:t>肥料</w:t>
      </w:r>
      <w:r>
        <w:t>运输要求编制具体的运输方案，并对技术方案进行论证，确保方案的可行性、科学性和可操作性。</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rPr>
          <w:rFonts w:hint="eastAsia" w:eastAsia="宋体"/>
          <w:lang w:eastAsia="zh-CN"/>
        </w:rPr>
      </w:pPr>
      <w:r>
        <w:rPr>
          <w:rFonts w:hint="eastAsia"/>
        </w:rPr>
        <w:t>对该项目拟投入的车辆机具进行严格的检查和保养，确保其完好的技术状况，以便随时调遣使用。</w:t>
      </w:r>
    </w:p>
    <w:p>
      <w:pPr>
        <w:keepNext w:val="0"/>
        <w:keepLines w:val="0"/>
        <w:pageBreakBefore w:val="0"/>
        <w:widowControl w:val="0"/>
        <w:kinsoku/>
        <w:wordWrap/>
        <w:overflowPunct/>
        <w:topLinePunct w:val="0"/>
        <w:autoSpaceDE/>
        <w:autoSpaceDN/>
        <w:bidi w:val="0"/>
        <w:adjustRightInd w:val="0"/>
        <w:snapToGrid w:val="0"/>
        <w:spacing w:line="480" w:lineRule="auto"/>
        <w:ind w:left="0" w:firstLine="560" w:firstLineChars="200"/>
        <w:textAlignment w:val="auto"/>
      </w:pPr>
      <w:r>
        <w:t>对作业中的每一个过程都进行认真细致的检查、计划、安排，并做好记录。</w:t>
      </w:r>
    </w:p>
    <w:p>
      <w:pPr>
        <w:widowControl/>
        <w:spacing w:before="0" w:after="0" w:line="240" w:lineRule="auto"/>
        <w:ind w:firstLine="0" w:firstLineChars="0"/>
        <w:jc w:val="left"/>
      </w:pPr>
      <w:r>
        <w:br w:type="page"/>
      </w:r>
    </w:p>
    <w:p>
      <w:pPr>
        <w:pStyle w:val="6"/>
        <w:bidi w:val="0"/>
      </w:pPr>
      <w:bookmarkStart w:id="397" w:name="_Toc116121434"/>
      <w:bookmarkStart w:id="398" w:name="_Toc105600299"/>
      <w:bookmarkStart w:id="399" w:name="_Toc118293253"/>
      <w:bookmarkStart w:id="400" w:name="_Toc117181940"/>
      <w:bookmarkStart w:id="401" w:name="_Toc107845167"/>
      <w:bookmarkStart w:id="402" w:name="_Toc22166"/>
      <w:r>
        <w:rPr>
          <w:rFonts w:hint="eastAsia"/>
          <w:lang w:val="en-US" w:eastAsia="zh-CN"/>
        </w:rPr>
        <w:t>（二）</w:t>
      </w:r>
      <w:r>
        <w:rPr>
          <w:rFonts w:hint="eastAsia"/>
        </w:rPr>
        <w:t>运输保障</w:t>
      </w:r>
      <w:bookmarkEnd w:id="397"/>
      <w:bookmarkEnd w:id="398"/>
      <w:bookmarkEnd w:id="399"/>
      <w:bookmarkEnd w:id="400"/>
      <w:bookmarkEnd w:id="401"/>
      <w:bookmarkEnd w:id="402"/>
    </w:p>
    <w:p>
      <w:pPr>
        <w:ind w:firstLine="480"/>
      </w:pPr>
      <w:r>
        <w:rPr>
          <w:rFonts w:hint="eastAsia"/>
        </w:rPr>
        <w:t>（</w:t>
      </w:r>
      <w:r>
        <w:rPr>
          <w:rFonts w:hint="eastAsia"/>
          <w:lang w:val="en-US" w:eastAsia="zh-CN"/>
        </w:rPr>
        <w:t>一</w:t>
      </w:r>
      <w:r>
        <w:rPr>
          <w:rFonts w:hint="eastAsia"/>
        </w:rPr>
        <w:t>）不论我方采用何种运输方式，我方均保证采购计划供应量，并保证有必要的调峰运输能力，确保采购人的需要。根据合同产品的特点和在运输中的不同要求，我方在包装袋上醒目地标明“小心尖锐物”、“保持干燥”等字样以及相应的标记图案。</w:t>
      </w:r>
    </w:p>
    <w:p>
      <w:pPr>
        <w:ind w:firstLine="480"/>
      </w:pPr>
      <w:r>
        <w:rPr>
          <w:rFonts w:hint="eastAsia"/>
        </w:rPr>
        <w:t>（</w:t>
      </w:r>
      <w:r>
        <w:rPr>
          <w:rFonts w:hint="eastAsia"/>
          <w:lang w:val="en-US" w:eastAsia="zh-CN"/>
        </w:rPr>
        <w:t>二</w:t>
      </w:r>
      <w:r>
        <w:rPr>
          <w:rFonts w:hint="eastAsia"/>
        </w:rPr>
        <w:t>）若因我方车辆限制或调配原因无法运输，如耽误了采购方的需求时间则向采购方支付违约费用。</w:t>
      </w:r>
    </w:p>
    <w:p>
      <w:pPr>
        <w:ind w:firstLine="480"/>
      </w:pPr>
      <w:r>
        <w:rPr>
          <w:rFonts w:hint="eastAsia"/>
        </w:rPr>
        <w:t>（</w:t>
      </w:r>
      <w:r>
        <w:rPr>
          <w:rFonts w:hint="eastAsia"/>
          <w:lang w:val="en-US" w:eastAsia="zh-CN"/>
        </w:rPr>
        <w:t>三</w:t>
      </w:r>
      <w:r>
        <w:rPr>
          <w:rFonts w:hint="eastAsia"/>
        </w:rPr>
        <w:t>）采购人给予供货地址的各公司联系方式，并协调各公司对合同货物在交货地点的组织卸货，我方负责现场指导装卸，以保证卸车过程中的质量和安全。</w:t>
      </w:r>
    </w:p>
    <w:p>
      <w:pPr>
        <w:ind w:firstLine="480"/>
      </w:pPr>
      <w:r>
        <w:rPr>
          <w:rFonts w:hint="eastAsia"/>
        </w:rPr>
        <w:t>同时我公司有固定的自有聘用运输人员，还与长期合作的</w:t>
      </w:r>
      <w:r>
        <w:rPr>
          <w:rFonts w:hint="eastAsia"/>
          <w:lang w:val="en-US" w:eastAsia="zh-CN"/>
        </w:rPr>
        <w:t>XXX</w:t>
      </w:r>
      <w:r>
        <w:rPr>
          <w:rFonts w:hint="eastAsia"/>
        </w:rPr>
        <w:t>运输有限责任公司配合运输任务。保证运输过程的安全性、时效性、应急性等。</w:t>
      </w:r>
    </w:p>
    <w:p>
      <w:pPr>
        <w:spacing w:before="0" w:after="0" w:line="240" w:lineRule="auto"/>
        <w:ind w:firstLine="0" w:firstLineChars="0"/>
        <w:jc w:val="left"/>
      </w:pPr>
      <w:r>
        <w:br w:type="page"/>
      </w:r>
    </w:p>
    <w:p>
      <w:pPr>
        <w:pStyle w:val="6"/>
        <w:bidi w:val="0"/>
      </w:pPr>
      <w:bookmarkStart w:id="403" w:name="_Toc116121435"/>
      <w:bookmarkStart w:id="404" w:name="_Toc118293254"/>
      <w:bookmarkStart w:id="405" w:name="_Toc1489"/>
      <w:bookmarkStart w:id="406" w:name="_Toc117181941"/>
      <w:bookmarkStart w:id="407" w:name="_Toc107845168"/>
      <w:bookmarkStart w:id="408" w:name="_Toc105600300"/>
      <w:r>
        <w:rPr>
          <w:rFonts w:hint="eastAsia"/>
          <w:lang w:val="en-US" w:eastAsia="zh-CN"/>
        </w:rPr>
        <w:t>（三）</w:t>
      </w:r>
      <w:r>
        <w:rPr>
          <w:rFonts w:hint="eastAsia"/>
        </w:rPr>
        <w:t>产品配送流程图</w:t>
      </w:r>
      <w:bookmarkEnd w:id="403"/>
      <w:bookmarkEnd w:id="404"/>
      <w:bookmarkEnd w:id="405"/>
      <w:bookmarkEnd w:id="406"/>
      <w:bookmarkEnd w:id="407"/>
      <w:bookmarkEnd w:id="408"/>
    </w:p>
    <w:p>
      <w:pPr>
        <w:pStyle w:val="52"/>
      </w:pPr>
      <w:r>
        <w:drawing>
          <wp:inline distT="0" distB="0" distL="0" distR="0">
            <wp:extent cx="5278120" cy="6468745"/>
            <wp:effectExtent l="0" t="0" r="17780" b="8255"/>
            <wp:docPr id="215" name="图片 21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图示&#10;&#10;描述已自动生成"/>
                    <pic:cNvPicPr>
                      <a:picLocks noChangeAspect="1"/>
                    </pic:cNvPicPr>
                  </pic:nvPicPr>
                  <pic:blipFill>
                    <a:blip r:embed="rId29"/>
                    <a:stretch>
                      <a:fillRect/>
                    </a:stretch>
                  </pic:blipFill>
                  <pic:spPr>
                    <a:xfrm>
                      <a:off x="0" y="0"/>
                      <a:ext cx="5278120" cy="6468745"/>
                    </a:xfrm>
                    <a:prstGeom prst="rect">
                      <a:avLst/>
                    </a:prstGeom>
                  </pic:spPr>
                </pic:pic>
              </a:graphicData>
            </a:graphic>
          </wp:inline>
        </w:drawing>
      </w:r>
    </w:p>
    <w:p>
      <w:pPr>
        <w:spacing w:before="0" w:after="0" w:line="240" w:lineRule="auto"/>
        <w:ind w:firstLine="0" w:firstLineChars="0"/>
        <w:jc w:val="left"/>
      </w:pPr>
      <w:r>
        <w:br w:type="page"/>
      </w:r>
    </w:p>
    <w:p>
      <w:pPr>
        <w:pStyle w:val="6"/>
        <w:bidi w:val="0"/>
      </w:pPr>
      <w:bookmarkStart w:id="409" w:name="_Toc107845169"/>
      <w:bookmarkStart w:id="410" w:name="_Toc117181942"/>
      <w:bookmarkStart w:id="411" w:name="_Toc105600301"/>
      <w:bookmarkStart w:id="412" w:name="_Toc118293255"/>
      <w:bookmarkStart w:id="413" w:name="_Toc116121436"/>
      <w:bookmarkStart w:id="414" w:name="_Toc18477"/>
      <w:r>
        <w:rPr>
          <w:rFonts w:hint="eastAsia"/>
          <w:lang w:val="en-US" w:eastAsia="zh-CN"/>
        </w:rPr>
        <w:t>（四）</w:t>
      </w:r>
      <w:r>
        <w:rPr>
          <w:rFonts w:hint="eastAsia"/>
        </w:rPr>
        <w:t>配送操作规程</w:t>
      </w:r>
      <w:bookmarkEnd w:id="409"/>
      <w:bookmarkEnd w:id="410"/>
      <w:bookmarkEnd w:id="411"/>
      <w:bookmarkEnd w:id="412"/>
      <w:bookmarkEnd w:id="413"/>
      <w:bookmarkEnd w:id="414"/>
    </w:p>
    <w:p>
      <w:pPr>
        <w:pStyle w:val="52"/>
      </w:pPr>
      <w:r>
        <w:drawing>
          <wp:inline distT="0" distB="0" distL="0" distR="0">
            <wp:extent cx="5278120" cy="1116330"/>
            <wp:effectExtent l="0" t="0" r="17780" b="7620"/>
            <wp:docPr id="5932" name="图片 593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2" name="图片 5932" descr="图示&#10;&#10;描述已自动生成"/>
                    <pic:cNvPicPr>
                      <a:picLocks noChangeAspect="1"/>
                    </pic:cNvPicPr>
                  </pic:nvPicPr>
                  <pic:blipFill>
                    <a:blip r:embed="rId30"/>
                    <a:stretch>
                      <a:fillRect/>
                    </a:stretch>
                  </pic:blipFill>
                  <pic:spPr>
                    <a:xfrm>
                      <a:off x="0" y="0"/>
                      <a:ext cx="5278120" cy="1116330"/>
                    </a:xfrm>
                    <a:prstGeom prst="rect">
                      <a:avLst/>
                    </a:prstGeom>
                  </pic:spPr>
                </pic:pic>
              </a:graphicData>
            </a:graphic>
          </wp:inline>
        </w:drawing>
      </w:r>
    </w:p>
    <w:p>
      <w:pPr>
        <w:pStyle w:val="52"/>
      </w:pPr>
      <w:r>
        <w:rPr>
          <w:rFonts w:hint="eastAsia"/>
        </w:rPr>
        <w:t>物流配送发货通知单（一式两联）</w:t>
      </w:r>
    </w:p>
    <w:tbl>
      <w:tblPr>
        <w:tblStyle w:val="33"/>
        <w:tblW w:w="83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6"/>
        <w:gridCol w:w="1231"/>
        <w:gridCol w:w="802"/>
        <w:gridCol w:w="318"/>
        <w:gridCol w:w="1120"/>
        <w:gridCol w:w="800"/>
        <w:gridCol w:w="710"/>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16" w:type="dxa"/>
            <w:tcBorders>
              <w:top w:val="single" w:color="auto" w:sz="4" w:space="0"/>
              <w:left w:val="single" w:color="auto" w:sz="4" w:space="0"/>
              <w:bottom w:val="single" w:color="auto" w:sz="4" w:space="0"/>
              <w:right w:val="single" w:color="auto" w:sz="4" w:space="0"/>
            </w:tcBorders>
            <w:vAlign w:val="center"/>
          </w:tcPr>
          <w:p>
            <w:pPr>
              <w:pStyle w:val="53"/>
            </w:pPr>
            <w:r>
              <w:rPr>
                <w:rFonts w:hint="eastAsia"/>
              </w:rPr>
              <w:t>收货单位</w:t>
            </w:r>
          </w:p>
        </w:tc>
        <w:tc>
          <w:tcPr>
            <w:tcW w:w="2033" w:type="dxa"/>
            <w:gridSpan w:val="2"/>
            <w:tcBorders>
              <w:top w:val="single" w:color="auto" w:sz="4" w:space="0"/>
              <w:left w:val="nil"/>
              <w:bottom w:val="single" w:color="auto" w:sz="4" w:space="0"/>
              <w:right w:val="single" w:color="auto" w:sz="4" w:space="0"/>
            </w:tcBorders>
            <w:vAlign w:val="center"/>
          </w:tcPr>
          <w:p>
            <w:pPr>
              <w:pStyle w:val="53"/>
            </w:pPr>
          </w:p>
        </w:tc>
        <w:tc>
          <w:tcPr>
            <w:tcW w:w="2238" w:type="dxa"/>
            <w:gridSpan w:val="3"/>
            <w:tcBorders>
              <w:top w:val="single" w:color="auto" w:sz="4" w:space="0"/>
              <w:left w:val="nil"/>
              <w:bottom w:val="single" w:color="auto" w:sz="4" w:space="0"/>
              <w:right w:val="single" w:color="auto" w:sz="4" w:space="0"/>
            </w:tcBorders>
            <w:vAlign w:val="center"/>
          </w:tcPr>
          <w:p>
            <w:pPr>
              <w:pStyle w:val="53"/>
            </w:pPr>
            <w:r>
              <w:rPr>
                <w:rFonts w:hint="eastAsia"/>
              </w:rPr>
              <w:t>地址</w:t>
            </w:r>
          </w:p>
        </w:tc>
        <w:tc>
          <w:tcPr>
            <w:tcW w:w="2025" w:type="dxa"/>
            <w:gridSpan w:val="2"/>
            <w:tcBorders>
              <w:top w:val="single" w:color="auto" w:sz="4" w:space="0"/>
              <w:left w:val="nil"/>
              <w:bottom w:val="single" w:color="auto" w:sz="4" w:space="0"/>
              <w:right w:val="single" w:color="auto" w:sz="4" w:space="0"/>
            </w:tcBorders>
            <w:vAlign w:val="center"/>
          </w:tcPr>
          <w:p>
            <w:pPr>
              <w:pStyle w:val="5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16" w:type="dxa"/>
            <w:tcBorders>
              <w:top w:val="single" w:color="auto" w:sz="4" w:space="0"/>
              <w:left w:val="single" w:color="auto" w:sz="4" w:space="0"/>
              <w:bottom w:val="single" w:color="auto" w:sz="4" w:space="0"/>
              <w:right w:val="single" w:color="auto" w:sz="4" w:space="0"/>
            </w:tcBorders>
            <w:vAlign w:val="center"/>
          </w:tcPr>
          <w:p>
            <w:pPr>
              <w:pStyle w:val="53"/>
            </w:pPr>
            <w:r>
              <w:rPr>
                <w:rFonts w:hint="eastAsia"/>
              </w:rPr>
              <w:t>联系人</w:t>
            </w:r>
          </w:p>
        </w:tc>
        <w:tc>
          <w:tcPr>
            <w:tcW w:w="2033" w:type="dxa"/>
            <w:gridSpan w:val="2"/>
            <w:tcBorders>
              <w:top w:val="single" w:color="auto" w:sz="4" w:space="0"/>
              <w:left w:val="nil"/>
              <w:bottom w:val="single" w:color="auto" w:sz="4" w:space="0"/>
              <w:right w:val="single" w:color="auto" w:sz="4" w:space="0"/>
            </w:tcBorders>
            <w:vAlign w:val="center"/>
          </w:tcPr>
          <w:p>
            <w:pPr>
              <w:pStyle w:val="53"/>
            </w:pPr>
          </w:p>
        </w:tc>
        <w:tc>
          <w:tcPr>
            <w:tcW w:w="2238" w:type="dxa"/>
            <w:gridSpan w:val="3"/>
            <w:tcBorders>
              <w:top w:val="single" w:color="auto" w:sz="4" w:space="0"/>
              <w:left w:val="nil"/>
              <w:bottom w:val="single" w:color="auto" w:sz="4" w:space="0"/>
              <w:right w:val="single" w:color="auto" w:sz="4" w:space="0"/>
            </w:tcBorders>
            <w:vAlign w:val="center"/>
          </w:tcPr>
          <w:p>
            <w:pPr>
              <w:pStyle w:val="53"/>
            </w:pPr>
            <w:r>
              <w:rPr>
                <w:rFonts w:hint="eastAsia"/>
              </w:rPr>
              <w:t>电话</w:t>
            </w:r>
          </w:p>
        </w:tc>
        <w:tc>
          <w:tcPr>
            <w:tcW w:w="2025" w:type="dxa"/>
            <w:gridSpan w:val="2"/>
            <w:tcBorders>
              <w:top w:val="single" w:color="auto" w:sz="4" w:space="0"/>
              <w:left w:val="nil"/>
              <w:bottom w:val="single" w:color="auto" w:sz="4" w:space="0"/>
              <w:right w:val="single" w:color="auto" w:sz="4" w:space="0"/>
            </w:tcBorders>
            <w:vAlign w:val="center"/>
          </w:tcPr>
          <w:p>
            <w:pPr>
              <w:pStyle w:val="5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16" w:type="dxa"/>
            <w:tcBorders>
              <w:top w:val="single" w:color="auto" w:sz="4" w:space="0"/>
              <w:left w:val="single" w:color="auto" w:sz="4" w:space="0"/>
              <w:bottom w:val="single" w:color="auto" w:sz="4" w:space="0"/>
              <w:right w:val="single" w:color="auto" w:sz="4" w:space="0"/>
            </w:tcBorders>
            <w:vAlign w:val="center"/>
          </w:tcPr>
          <w:p>
            <w:pPr>
              <w:pStyle w:val="53"/>
            </w:pPr>
            <w:r>
              <w:rPr>
                <w:rFonts w:hint="eastAsia"/>
              </w:rPr>
              <w:t>品名</w:t>
            </w:r>
          </w:p>
        </w:tc>
        <w:tc>
          <w:tcPr>
            <w:tcW w:w="2033" w:type="dxa"/>
            <w:gridSpan w:val="2"/>
            <w:tcBorders>
              <w:top w:val="single" w:color="auto" w:sz="4" w:space="0"/>
              <w:left w:val="nil"/>
              <w:bottom w:val="single" w:color="auto" w:sz="4" w:space="0"/>
              <w:right w:val="single" w:color="auto" w:sz="4" w:space="0"/>
            </w:tcBorders>
            <w:vAlign w:val="center"/>
          </w:tcPr>
          <w:p>
            <w:pPr>
              <w:pStyle w:val="53"/>
            </w:pPr>
          </w:p>
        </w:tc>
        <w:tc>
          <w:tcPr>
            <w:tcW w:w="2238" w:type="dxa"/>
            <w:gridSpan w:val="3"/>
            <w:tcBorders>
              <w:top w:val="single" w:color="auto" w:sz="4" w:space="0"/>
              <w:left w:val="nil"/>
              <w:bottom w:val="single" w:color="auto" w:sz="4" w:space="0"/>
              <w:right w:val="single" w:color="auto" w:sz="4" w:space="0"/>
            </w:tcBorders>
            <w:vAlign w:val="center"/>
          </w:tcPr>
          <w:p>
            <w:pPr>
              <w:pStyle w:val="53"/>
            </w:pPr>
            <w:r>
              <w:rPr>
                <w:rFonts w:hint="eastAsia"/>
              </w:rPr>
              <w:t>数量</w:t>
            </w:r>
          </w:p>
        </w:tc>
        <w:tc>
          <w:tcPr>
            <w:tcW w:w="2025" w:type="dxa"/>
            <w:gridSpan w:val="2"/>
            <w:tcBorders>
              <w:top w:val="single" w:color="auto" w:sz="4" w:space="0"/>
              <w:left w:val="nil"/>
              <w:bottom w:val="single" w:color="auto" w:sz="4" w:space="0"/>
              <w:right w:val="single" w:color="auto" w:sz="4" w:space="0"/>
            </w:tcBorders>
            <w:vAlign w:val="center"/>
          </w:tcPr>
          <w:p>
            <w:pPr>
              <w:pStyle w:val="5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16" w:type="dxa"/>
            <w:tcBorders>
              <w:top w:val="single" w:color="auto" w:sz="4" w:space="0"/>
              <w:left w:val="single" w:color="auto" w:sz="4" w:space="0"/>
              <w:bottom w:val="single" w:color="auto" w:sz="4" w:space="0"/>
              <w:right w:val="single" w:color="auto" w:sz="4" w:space="0"/>
            </w:tcBorders>
            <w:vAlign w:val="center"/>
          </w:tcPr>
          <w:p>
            <w:pPr>
              <w:pStyle w:val="53"/>
            </w:pPr>
            <w:r>
              <w:rPr>
                <w:rFonts w:hint="eastAsia"/>
              </w:rPr>
              <w:t>需到货时间</w:t>
            </w:r>
          </w:p>
        </w:tc>
        <w:tc>
          <w:tcPr>
            <w:tcW w:w="6296" w:type="dxa"/>
            <w:gridSpan w:val="7"/>
            <w:tcBorders>
              <w:top w:val="single" w:color="auto" w:sz="4" w:space="0"/>
              <w:left w:val="nil"/>
              <w:bottom w:val="single" w:color="auto" w:sz="4" w:space="0"/>
              <w:right w:val="single" w:color="auto" w:sz="4" w:space="0"/>
            </w:tcBorders>
            <w:vAlign w:val="center"/>
          </w:tcPr>
          <w:p>
            <w:pPr>
              <w:pStyle w:val="5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16" w:type="dxa"/>
            <w:tcBorders>
              <w:top w:val="single" w:color="auto" w:sz="4" w:space="0"/>
              <w:left w:val="single" w:color="auto" w:sz="4" w:space="0"/>
              <w:bottom w:val="single" w:color="auto" w:sz="4" w:space="0"/>
              <w:right w:val="single" w:color="auto" w:sz="4" w:space="0"/>
            </w:tcBorders>
            <w:vAlign w:val="center"/>
          </w:tcPr>
          <w:p>
            <w:pPr>
              <w:pStyle w:val="53"/>
            </w:pPr>
            <w:r>
              <w:rPr>
                <w:rFonts w:hint="eastAsia"/>
              </w:rPr>
              <w:t>申请部门</w:t>
            </w:r>
          </w:p>
        </w:tc>
        <w:tc>
          <w:tcPr>
            <w:tcW w:w="1231" w:type="dxa"/>
            <w:tcBorders>
              <w:top w:val="single" w:color="auto" w:sz="4" w:space="0"/>
              <w:left w:val="nil"/>
              <w:bottom w:val="single" w:color="auto" w:sz="4" w:space="0"/>
              <w:right w:val="single" w:color="auto" w:sz="4" w:space="0"/>
            </w:tcBorders>
            <w:vAlign w:val="center"/>
          </w:tcPr>
          <w:p>
            <w:pPr>
              <w:pStyle w:val="53"/>
            </w:pPr>
          </w:p>
        </w:tc>
        <w:tc>
          <w:tcPr>
            <w:tcW w:w="1120" w:type="dxa"/>
            <w:gridSpan w:val="2"/>
            <w:tcBorders>
              <w:top w:val="single" w:color="auto" w:sz="4" w:space="0"/>
              <w:left w:val="nil"/>
              <w:bottom w:val="single" w:color="auto" w:sz="4" w:space="0"/>
              <w:right w:val="single" w:color="auto" w:sz="4" w:space="0"/>
            </w:tcBorders>
            <w:vAlign w:val="center"/>
          </w:tcPr>
          <w:p>
            <w:pPr>
              <w:pStyle w:val="53"/>
            </w:pPr>
            <w:r>
              <w:rPr>
                <w:rFonts w:hint="eastAsia"/>
              </w:rPr>
              <w:t>经办人</w:t>
            </w:r>
          </w:p>
        </w:tc>
        <w:tc>
          <w:tcPr>
            <w:tcW w:w="1120" w:type="dxa"/>
            <w:tcBorders>
              <w:top w:val="single" w:color="auto" w:sz="4" w:space="0"/>
              <w:left w:val="nil"/>
              <w:bottom w:val="single" w:color="auto" w:sz="4" w:space="0"/>
              <w:right w:val="single" w:color="auto" w:sz="4" w:space="0"/>
            </w:tcBorders>
            <w:vAlign w:val="center"/>
          </w:tcPr>
          <w:p>
            <w:pPr>
              <w:pStyle w:val="53"/>
            </w:pPr>
          </w:p>
        </w:tc>
        <w:tc>
          <w:tcPr>
            <w:tcW w:w="1510" w:type="dxa"/>
            <w:gridSpan w:val="2"/>
            <w:tcBorders>
              <w:top w:val="single" w:color="auto" w:sz="4" w:space="0"/>
              <w:left w:val="nil"/>
              <w:bottom w:val="single" w:color="auto" w:sz="4" w:space="0"/>
              <w:right w:val="single" w:color="auto" w:sz="4" w:space="0"/>
            </w:tcBorders>
            <w:vAlign w:val="center"/>
          </w:tcPr>
          <w:p>
            <w:pPr>
              <w:pStyle w:val="53"/>
            </w:pPr>
            <w:r>
              <w:rPr>
                <w:rFonts w:hint="eastAsia"/>
              </w:rPr>
              <w:t>主管签字</w:t>
            </w:r>
          </w:p>
        </w:tc>
        <w:tc>
          <w:tcPr>
            <w:tcW w:w="1315" w:type="dxa"/>
            <w:tcBorders>
              <w:top w:val="single" w:color="auto" w:sz="4" w:space="0"/>
              <w:left w:val="nil"/>
              <w:bottom w:val="single" w:color="auto" w:sz="4" w:space="0"/>
              <w:right w:val="single" w:color="auto" w:sz="4" w:space="0"/>
            </w:tcBorders>
            <w:vAlign w:val="center"/>
          </w:tcPr>
          <w:p>
            <w:pPr>
              <w:pStyle w:val="53"/>
            </w:pPr>
          </w:p>
        </w:tc>
      </w:tr>
    </w:tbl>
    <w:p>
      <w:pPr>
        <w:pStyle w:val="52"/>
      </w:pPr>
      <w:r>
        <w:drawing>
          <wp:inline distT="0" distB="0" distL="0" distR="0">
            <wp:extent cx="4639945" cy="1760220"/>
            <wp:effectExtent l="0" t="0" r="8255" b="11430"/>
            <wp:docPr id="5933" name="图片 593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 name="图片 5933" descr="图示&#10;&#10;描述已自动生成"/>
                    <pic:cNvPicPr>
                      <a:picLocks noChangeAspect="1"/>
                    </pic:cNvPicPr>
                  </pic:nvPicPr>
                  <pic:blipFill>
                    <a:blip r:embed="rId31"/>
                    <a:stretch>
                      <a:fillRect/>
                    </a:stretch>
                  </pic:blipFill>
                  <pic:spPr>
                    <a:xfrm>
                      <a:off x="0" y="0"/>
                      <a:ext cx="4655403" cy="1766426"/>
                    </a:xfrm>
                    <a:prstGeom prst="rect">
                      <a:avLst/>
                    </a:prstGeom>
                  </pic:spPr>
                </pic:pic>
              </a:graphicData>
            </a:graphic>
          </wp:inline>
        </w:drawing>
      </w:r>
    </w:p>
    <w:p>
      <w:pPr>
        <w:pStyle w:val="52"/>
      </w:pPr>
      <w:r>
        <w:drawing>
          <wp:inline distT="0" distB="0" distL="0" distR="0">
            <wp:extent cx="5278120" cy="2115820"/>
            <wp:effectExtent l="0" t="0" r="17780" b="17780"/>
            <wp:docPr id="5934" name="图片 5934" descr="文本, 示意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 name="图片 5934" descr="文本, 示意图&#10;&#10;中度可信度描述已自动生成"/>
                    <pic:cNvPicPr>
                      <a:picLocks noChangeAspect="1"/>
                    </pic:cNvPicPr>
                  </pic:nvPicPr>
                  <pic:blipFill>
                    <a:blip r:embed="rId32"/>
                    <a:stretch>
                      <a:fillRect/>
                    </a:stretch>
                  </pic:blipFill>
                  <pic:spPr>
                    <a:xfrm>
                      <a:off x="0" y="0"/>
                      <a:ext cx="5278120" cy="2116172"/>
                    </a:xfrm>
                    <a:prstGeom prst="rect">
                      <a:avLst/>
                    </a:prstGeom>
                  </pic:spPr>
                </pic:pic>
              </a:graphicData>
            </a:graphic>
          </wp:inline>
        </w:drawing>
      </w:r>
    </w:p>
    <w:p>
      <w:pPr>
        <w:pStyle w:val="52"/>
      </w:pPr>
      <w:r>
        <w:drawing>
          <wp:inline distT="0" distB="0" distL="0" distR="0">
            <wp:extent cx="5278120" cy="6825615"/>
            <wp:effectExtent l="0" t="0" r="17780" b="13335"/>
            <wp:docPr id="217" name="图片 21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图示&#10;&#10;描述已自动生成"/>
                    <pic:cNvPicPr>
                      <a:picLocks noChangeAspect="1"/>
                    </pic:cNvPicPr>
                  </pic:nvPicPr>
                  <pic:blipFill>
                    <a:blip r:embed="rId33"/>
                    <a:stretch>
                      <a:fillRect/>
                    </a:stretch>
                  </pic:blipFill>
                  <pic:spPr>
                    <a:xfrm>
                      <a:off x="0" y="0"/>
                      <a:ext cx="5278120" cy="6825615"/>
                    </a:xfrm>
                    <a:prstGeom prst="rect">
                      <a:avLst/>
                    </a:prstGeom>
                  </pic:spPr>
                </pic:pic>
              </a:graphicData>
            </a:graphic>
          </wp:inline>
        </w:drawing>
      </w:r>
    </w:p>
    <w:p>
      <w:pPr>
        <w:spacing w:before="0" w:after="0" w:line="240" w:lineRule="auto"/>
        <w:ind w:firstLine="0" w:firstLineChars="0"/>
        <w:jc w:val="left"/>
      </w:pPr>
      <w:r>
        <w:br w:type="page"/>
      </w:r>
    </w:p>
    <w:p>
      <w:pPr>
        <w:pStyle w:val="6"/>
        <w:bidi w:val="0"/>
      </w:pPr>
      <w:bookmarkStart w:id="415" w:name="_Toc105600302"/>
      <w:bookmarkStart w:id="416" w:name="_Toc117181943"/>
      <w:bookmarkStart w:id="417" w:name="_Toc116121437"/>
      <w:bookmarkStart w:id="418" w:name="_Toc24029"/>
      <w:bookmarkStart w:id="419" w:name="_Toc118293256"/>
      <w:bookmarkStart w:id="420" w:name="_Toc107845170"/>
      <w:r>
        <w:rPr>
          <w:rFonts w:hint="eastAsia"/>
          <w:lang w:val="en-US" w:eastAsia="zh-CN"/>
        </w:rPr>
        <w:t>（五）</w:t>
      </w:r>
      <w:r>
        <w:rPr>
          <w:rFonts w:hint="eastAsia"/>
        </w:rPr>
        <w:t>配送管理</w:t>
      </w:r>
      <w:bookmarkEnd w:id="415"/>
      <w:bookmarkEnd w:id="416"/>
      <w:bookmarkEnd w:id="417"/>
      <w:bookmarkEnd w:id="418"/>
      <w:bookmarkEnd w:id="419"/>
      <w:bookmarkEnd w:id="420"/>
    </w:p>
    <w:p>
      <w:pPr>
        <w:ind w:firstLine="482"/>
        <w:rPr>
          <w:b/>
          <w:bCs/>
        </w:rPr>
      </w:pPr>
      <w:r>
        <w:rPr>
          <w:rFonts w:hint="eastAsia"/>
          <w:b/>
          <w:bCs/>
          <w:lang w:eastAsia="zh-CN"/>
        </w:rPr>
        <w:t>（</w:t>
      </w:r>
      <w:r>
        <w:rPr>
          <w:rFonts w:hint="eastAsia"/>
          <w:b/>
          <w:bCs/>
        </w:rPr>
        <w:t>一</w:t>
      </w:r>
      <w:r>
        <w:rPr>
          <w:rFonts w:hint="eastAsia"/>
          <w:b/>
          <w:bCs/>
          <w:lang w:eastAsia="zh-CN"/>
        </w:rPr>
        <w:t>）</w:t>
      </w:r>
      <w:r>
        <w:rPr>
          <w:rFonts w:hint="eastAsia"/>
          <w:b/>
          <w:bCs/>
        </w:rPr>
        <w:t>总则</w:t>
      </w:r>
    </w:p>
    <w:p>
      <w:pPr>
        <w:ind w:firstLine="480"/>
      </w:pPr>
      <w:r>
        <w:rPr>
          <w:rFonts w:hint="eastAsia"/>
        </w:rPr>
        <w:t>为了使公司物流配送工作，尽可能做到及时准确、服务周到，有效控制物流成本，提高本公司的物流客服水平质量，专门成立针对本项目配送机构，通过完善配送制度，加强规范管理，配送能力不断提高。配送中心不仅把肥料配送到乡、村，而且实行了集中配货配送中心坚持服务至上、随要随配送，保证了货源需要，提高产品配送率。</w:t>
      </w:r>
    </w:p>
    <w:p>
      <w:pPr>
        <w:ind w:firstLine="482"/>
        <w:rPr>
          <w:b/>
          <w:bCs/>
        </w:rPr>
      </w:pPr>
      <w:r>
        <w:rPr>
          <w:rFonts w:hint="eastAsia"/>
          <w:b/>
          <w:bCs/>
        </w:rPr>
        <w:t>（二）配送工作的要求</w:t>
      </w:r>
    </w:p>
    <w:p>
      <w:pPr>
        <w:ind w:firstLine="480"/>
      </w:pPr>
      <w:r>
        <w:rPr>
          <w:rFonts w:hint="eastAsia"/>
        </w:rPr>
        <w:t>配送中心应收集业务信息，建立配送工作的业务档案，配货。公司配送的商品验收由“实物负责人”在“商品调拨单”上签字确认。公司留一联登帐，退一联给收货人。</w:t>
      </w:r>
    </w:p>
    <w:p>
      <w:pPr>
        <w:ind w:firstLine="480"/>
        <w:rPr>
          <w:rFonts w:hint="eastAsia" w:eastAsia="宋体"/>
          <w:lang w:eastAsia="zh-CN"/>
        </w:rPr>
      </w:pPr>
      <w:r>
        <w:rPr>
          <w:rFonts w:hint="eastAsia"/>
        </w:rPr>
        <w:t>应符合以下要求：</w:t>
      </w:r>
    </w:p>
    <w:p>
      <w:pPr>
        <w:ind w:firstLine="480"/>
        <w:rPr>
          <w:rFonts w:hint="eastAsia" w:eastAsia="宋体"/>
          <w:lang w:eastAsia="zh-CN"/>
        </w:rPr>
      </w:pPr>
      <w:r>
        <w:rPr>
          <w:rFonts w:hint="eastAsia"/>
          <w:lang w:val="en-US" w:eastAsia="zh-CN"/>
        </w:rPr>
        <w:t>1、</w:t>
      </w:r>
      <w:r>
        <w:rPr>
          <w:rFonts w:hint="eastAsia"/>
        </w:rPr>
        <w:t>根据订货时间、品种、规格、数量、地点等要求组织分拣、配货和送达；</w:t>
      </w:r>
    </w:p>
    <w:p>
      <w:pPr>
        <w:ind w:firstLine="480"/>
      </w:pPr>
      <w:r>
        <w:rPr>
          <w:rFonts w:hint="eastAsia"/>
          <w:lang w:val="en-US" w:eastAsia="zh-CN"/>
        </w:rPr>
        <w:t>2、</w:t>
      </w:r>
      <w:r>
        <w:rPr>
          <w:rFonts w:hint="eastAsia"/>
        </w:rPr>
        <w:t>合理安排配送车辆、配载方式、运输线路；</w:t>
      </w:r>
    </w:p>
    <w:p>
      <w:pPr>
        <w:ind w:firstLine="482"/>
        <w:rPr>
          <w:b/>
          <w:bCs/>
        </w:rPr>
      </w:pPr>
      <w:r>
        <w:rPr>
          <w:rFonts w:hint="eastAsia"/>
          <w:b/>
          <w:bCs/>
          <w:lang w:eastAsia="zh-CN"/>
        </w:rPr>
        <w:t>（</w:t>
      </w:r>
      <w:r>
        <w:rPr>
          <w:rFonts w:hint="eastAsia"/>
          <w:b/>
          <w:bCs/>
          <w:lang w:val="en-US" w:eastAsia="zh-CN"/>
        </w:rPr>
        <w:t>三</w:t>
      </w:r>
      <w:r>
        <w:rPr>
          <w:rFonts w:hint="eastAsia"/>
          <w:b/>
          <w:bCs/>
          <w:lang w:eastAsia="zh-CN"/>
        </w:rPr>
        <w:t>）</w:t>
      </w:r>
      <w:r>
        <w:rPr>
          <w:rFonts w:hint="eastAsia"/>
          <w:b/>
          <w:bCs/>
        </w:rPr>
        <w:t>仓库管理工作</w:t>
      </w:r>
    </w:p>
    <w:p>
      <w:pPr>
        <w:ind w:firstLine="480"/>
      </w:pPr>
      <w:r>
        <w:rPr>
          <w:rFonts w:hint="eastAsia"/>
        </w:rPr>
        <w:t>公司十分重视做好仓库的卫生工作和安全保卫工作。应做到以下几点：</w:t>
      </w:r>
    </w:p>
    <w:p>
      <w:pPr>
        <w:ind w:firstLine="480"/>
      </w:pPr>
      <w:r>
        <w:rPr>
          <w:rFonts w:hint="eastAsia"/>
          <w:lang w:val="en-US" w:eastAsia="zh-CN"/>
        </w:rPr>
        <w:t>1、</w:t>
      </w:r>
      <w:r>
        <w:rPr>
          <w:rFonts w:hint="eastAsia"/>
        </w:rPr>
        <w:t>仓库卫生应定期打扫，注意通风防潮，经常检查库房温度和湿度，防止物资霉变；</w:t>
      </w:r>
    </w:p>
    <w:p>
      <w:pPr>
        <w:ind w:firstLine="480"/>
      </w:pPr>
      <w:r>
        <w:rPr>
          <w:rFonts w:hint="eastAsia"/>
          <w:lang w:val="en-US" w:eastAsia="zh-CN"/>
        </w:rPr>
        <w:t>2、</w:t>
      </w:r>
      <w:r>
        <w:rPr>
          <w:rFonts w:hint="eastAsia"/>
        </w:rPr>
        <w:t>仓库保管应由专人负责，发料时间和次数应作出规定，未经许可，任何人不得随意出入仓库；</w:t>
      </w:r>
    </w:p>
    <w:p>
      <w:pPr>
        <w:ind w:firstLine="480"/>
      </w:pPr>
      <w:r>
        <w:rPr>
          <w:rFonts w:hint="eastAsia"/>
          <w:lang w:val="en-US" w:eastAsia="zh-CN"/>
        </w:rPr>
        <w:t>3、</w:t>
      </w:r>
      <w:r>
        <w:rPr>
          <w:rFonts w:hint="eastAsia"/>
        </w:rPr>
        <w:t>仓库要加强消防工作，配置足够的消防器材，禁止携带火种进入仓库，禁止在库区使用明火。</w:t>
      </w:r>
    </w:p>
    <w:p>
      <w:pPr>
        <w:ind w:firstLine="482"/>
        <w:rPr>
          <w:rFonts w:hint="eastAsia" w:eastAsia="宋体"/>
          <w:b/>
          <w:bCs/>
          <w:lang w:eastAsia="zh-CN"/>
        </w:rPr>
      </w:pPr>
      <w:r>
        <w:rPr>
          <w:rFonts w:hint="eastAsia"/>
          <w:b/>
          <w:bCs/>
        </w:rPr>
        <w:t>（四）仓储管理</w:t>
      </w:r>
    </w:p>
    <w:p>
      <w:pPr>
        <w:ind w:firstLine="480"/>
        <w:rPr>
          <w:rFonts w:hint="eastAsia" w:eastAsia="宋体"/>
          <w:lang w:eastAsia="zh-CN"/>
        </w:rPr>
      </w:pPr>
      <w:r>
        <w:rPr>
          <w:rFonts w:hint="eastAsia"/>
        </w:rPr>
        <w:t>应符合以下要求：</w:t>
      </w:r>
    </w:p>
    <w:p>
      <w:pPr>
        <w:ind w:firstLine="480"/>
      </w:pPr>
      <w:r>
        <w:rPr>
          <w:rFonts w:hint="eastAsia"/>
          <w:lang w:val="en-US" w:eastAsia="zh-CN"/>
        </w:rPr>
        <w:t>1、</w:t>
      </w:r>
      <w:r>
        <w:rPr>
          <w:rFonts w:hint="eastAsia"/>
        </w:rPr>
        <w:t>执行有机肥出入库管理制度；</w:t>
      </w:r>
    </w:p>
    <w:p>
      <w:pPr>
        <w:ind w:firstLine="480"/>
        <w:rPr>
          <w:rFonts w:hint="eastAsia" w:eastAsia="宋体"/>
          <w:lang w:eastAsia="zh-CN"/>
        </w:rPr>
      </w:pPr>
      <w:r>
        <w:rPr>
          <w:rFonts w:hint="eastAsia"/>
          <w:lang w:val="en-US" w:eastAsia="zh-CN"/>
        </w:rPr>
        <w:t>2、</w:t>
      </w:r>
      <w:r>
        <w:rPr>
          <w:rFonts w:hint="eastAsia"/>
        </w:rPr>
        <w:t>肥料分区分类存放，账货相符；</w:t>
      </w:r>
    </w:p>
    <w:p>
      <w:pPr>
        <w:ind w:firstLine="480"/>
        <w:rPr>
          <w:rFonts w:hint="eastAsia" w:eastAsia="宋体"/>
          <w:lang w:eastAsia="zh-CN"/>
        </w:rPr>
      </w:pPr>
      <w:r>
        <w:rPr>
          <w:rFonts w:hint="eastAsia"/>
          <w:lang w:val="en-US" w:eastAsia="zh-CN"/>
        </w:rPr>
        <w:t>3、</w:t>
      </w:r>
      <w:r>
        <w:rPr>
          <w:rFonts w:hint="eastAsia"/>
        </w:rPr>
        <w:t>对在库肥料采取必要的防护措施，保证肥料质量的稳定；</w:t>
      </w:r>
    </w:p>
    <w:p>
      <w:pPr>
        <w:ind w:firstLine="480"/>
        <w:rPr>
          <w:rFonts w:hint="eastAsia" w:eastAsia="宋体"/>
          <w:lang w:eastAsia="zh-CN"/>
        </w:rPr>
      </w:pPr>
      <w:r>
        <w:rPr>
          <w:rFonts w:hint="eastAsia"/>
          <w:lang w:val="en-US" w:eastAsia="zh-CN"/>
        </w:rPr>
        <w:t>4、</w:t>
      </w:r>
      <w:r>
        <w:rPr>
          <w:rFonts w:hint="eastAsia"/>
        </w:rPr>
        <w:t>肥料垛整齐，保持合理的墙距、顶距、灯距、柱距、垛距；</w:t>
      </w:r>
    </w:p>
    <w:p>
      <w:pPr>
        <w:ind w:firstLine="480"/>
        <w:rPr>
          <w:rFonts w:hint="eastAsia" w:eastAsia="宋体"/>
          <w:lang w:eastAsia="zh-CN"/>
        </w:rPr>
      </w:pPr>
      <w:r>
        <w:rPr>
          <w:rFonts w:hint="eastAsia"/>
          <w:lang w:val="en-US" w:eastAsia="zh-CN"/>
        </w:rPr>
        <w:t>5、</w:t>
      </w:r>
      <w:r>
        <w:rPr>
          <w:rFonts w:hint="eastAsia"/>
        </w:rPr>
        <w:t>作业现场整洁；</w:t>
      </w:r>
    </w:p>
    <w:p>
      <w:pPr>
        <w:ind w:firstLine="480"/>
      </w:pPr>
      <w:r>
        <w:rPr>
          <w:rFonts w:hint="eastAsia"/>
          <w:lang w:val="en-US" w:eastAsia="zh-CN"/>
        </w:rPr>
        <w:t>6、</w:t>
      </w:r>
      <w:r>
        <w:rPr>
          <w:rFonts w:hint="eastAsia"/>
        </w:rPr>
        <w:t>机械装卸作业率不低于10%。</w:t>
      </w:r>
    </w:p>
    <w:p>
      <w:pPr>
        <w:ind w:firstLine="482"/>
        <w:rPr>
          <w:rFonts w:hint="eastAsia" w:eastAsia="宋体"/>
          <w:b/>
          <w:bCs/>
          <w:lang w:eastAsia="zh-CN"/>
        </w:rPr>
      </w:pPr>
      <w:r>
        <w:rPr>
          <w:rFonts w:hint="eastAsia"/>
          <w:b/>
          <w:bCs/>
        </w:rPr>
        <w:t>（五）信息管理</w:t>
      </w:r>
    </w:p>
    <w:p>
      <w:pPr>
        <w:ind w:firstLine="480"/>
        <w:rPr>
          <w:rFonts w:hint="eastAsia" w:eastAsia="宋体"/>
          <w:lang w:eastAsia="zh-CN"/>
        </w:rPr>
      </w:pPr>
      <w:r>
        <w:rPr>
          <w:rFonts w:hint="eastAsia"/>
        </w:rPr>
        <w:t>应符合以下要求：采用适宜的信息管理手段，有效处理肥料出入库、在库等信息；</w:t>
      </w:r>
    </w:p>
    <w:p>
      <w:pPr>
        <w:ind w:firstLine="482"/>
        <w:rPr>
          <w:rFonts w:hint="eastAsia" w:eastAsia="宋体"/>
          <w:b/>
          <w:bCs/>
          <w:lang w:eastAsia="zh-CN"/>
        </w:rPr>
      </w:pPr>
      <w:r>
        <w:rPr>
          <w:rFonts w:hint="eastAsia"/>
          <w:b/>
          <w:bCs/>
          <w:lang w:eastAsia="zh-CN"/>
        </w:rPr>
        <w:t>（</w:t>
      </w:r>
      <w:r>
        <w:rPr>
          <w:rFonts w:hint="eastAsia"/>
          <w:b/>
          <w:bCs/>
          <w:lang w:val="en-US" w:eastAsia="zh-CN"/>
        </w:rPr>
        <w:t>六</w:t>
      </w:r>
      <w:r>
        <w:rPr>
          <w:rFonts w:hint="eastAsia"/>
          <w:b/>
          <w:bCs/>
          <w:lang w:eastAsia="zh-CN"/>
        </w:rPr>
        <w:t>）</w:t>
      </w:r>
      <w:r>
        <w:rPr>
          <w:rFonts w:hint="eastAsia"/>
          <w:b/>
          <w:bCs/>
        </w:rPr>
        <w:t>建立配送，努力提高网络配送能力</w:t>
      </w:r>
    </w:p>
    <w:p>
      <w:pPr>
        <w:ind w:firstLine="480"/>
      </w:pPr>
      <w:r>
        <w:rPr>
          <w:rFonts w:hint="eastAsia"/>
        </w:rPr>
        <w:t>配送中心是连锁网络的中心环节，打造现代流通网络的关键是必须建有配送中心，没有配送中心的作用，网点就实现不了连锁，建立的网络久而久之就会自然消解。为了实现对肥料配送，按照“统一品牌、统一采购、统一配送、统一营销策略、统一销售价格、统一服务标准”的“六统一”要求。</w:t>
      </w:r>
    </w:p>
    <w:p>
      <w:pPr>
        <w:spacing w:before="0" w:after="0" w:line="240" w:lineRule="auto"/>
        <w:ind w:firstLine="0" w:firstLineChars="0"/>
        <w:jc w:val="left"/>
      </w:pPr>
      <w:r>
        <w:br w:type="page"/>
      </w:r>
    </w:p>
    <w:p>
      <w:pPr>
        <w:pStyle w:val="6"/>
        <w:bidi w:val="0"/>
      </w:pPr>
      <w:bookmarkStart w:id="421" w:name="_Toc118293257"/>
      <w:bookmarkStart w:id="422" w:name="_Toc24497"/>
      <w:bookmarkStart w:id="423" w:name="_Toc107845171"/>
      <w:bookmarkStart w:id="424" w:name="_Toc116121438"/>
      <w:bookmarkStart w:id="425" w:name="_Toc117181944"/>
      <w:bookmarkStart w:id="426" w:name="_Toc105600303"/>
      <w:r>
        <w:rPr>
          <w:rFonts w:hint="eastAsia"/>
          <w:lang w:val="en-US" w:eastAsia="zh-CN"/>
        </w:rPr>
        <w:t>（六）</w:t>
      </w:r>
      <w:r>
        <w:rPr>
          <w:rFonts w:hint="eastAsia"/>
        </w:rPr>
        <w:t>产品应急配送计划</w:t>
      </w:r>
      <w:bookmarkEnd w:id="421"/>
      <w:bookmarkEnd w:id="422"/>
      <w:bookmarkEnd w:id="423"/>
      <w:bookmarkEnd w:id="424"/>
      <w:bookmarkEnd w:id="425"/>
      <w:bookmarkEnd w:id="426"/>
    </w:p>
    <w:p>
      <w:pPr>
        <w:ind w:firstLine="482"/>
        <w:rPr>
          <w:b/>
          <w:bCs/>
        </w:rPr>
      </w:pPr>
      <w:r>
        <w:rPr>
          <w:rFonts w:hint="eastAsia"/>
          <w:b/>
          <w:bCs/>
          <w:lang w:eastAsia="zh-CN"/>
        </w:rPr>
        <w:t>（</w:t>
      </w:r>
      <w:r>
        <w:rPr>
          <w:rFonts w:hint="eastAsia"/>
          <w:b/>
          <w:bCs/>
          <w:lang w:val="en-US" w:eastAsia="zh-CN"/>
        </w:rPr>
        <w:t>一</w:t>
      </w:r>
      <w:r>
        <w:rPr>
          <w:rFonts w:hint="eastAsia"/>
          <w:b/>
          <w:bCs/>
          <w:lang w:eastAsia="zh-CN"/>
        </w:rPr>
        <w:t>）</w:t>
      </w:r>
      <w:r>
        <w:rPr>
          <w:rFonts w:hint="eastAsia"/>
          <w:b/>
          <w:bCs/>
        </w:rPr>
        <w:t>目的</w:t>
      </w:r>
    </w:p>
    <w:p>
      <w:pPr>
        <w:ind w:firstLine="480"/>
      </w:pPr>
      <w:r>
        <w:rPr>
          <w:rFonts w:hint="eastAsia"/>
        </w:rPr>
        <w:t>本计划制订并规范在物流配送过程中突发性事件发生后的应急处理措施，确保在紧急情况下仍能确保证本公司的产品能够正常交付到客户端，满足客户生产需求。</w:t>
      </w:r>
    </w:p>
    <w:p>
      <w:pPr>
        <w:ind w:firstLine="482"/>
        <w:rPr>
          <w:b/>
          <w:bCs/>
        </w:rPr>
      </w:pPr>
      <w:r>
        <w:rPr>
          <w:rFonts w:hint="eastAsia"/>
          <w:b/>
          <w:bCs/>
          <w:lang w:eastAsia="zh-CN"/>
        </w:rPr>
        <w:t>（</w:t>
      </w:r>
      <w:r>
        <w:rPr>
          <w:rFonts w:hint="eastAsia"/>
          <w:b/>
          <w:bCs/>
          <w:lang w:val="en-US" w:eastAsia="zh-CN"/>
        </w:rPr>
        <w:t>二</w:t>
      </w:r>
      <w:r>
        <w:rPr>
          <w:rFonts w:hint="eastAsia"/>
          <w:b/>
          <w:bCs/>
          <w:lang w:eastAsia="zh-CN"/>
        </w:rPr>
        <w:t>）</w:t>
      </w:r>
      <w:r>
        <w:rPr>
          <w:rFonts w:hint="eastAsia"/>
          <w:b/>
          <w:bCs/>
        </w:rPr>
        <w:t>范围</w:t>
      </w:r>
    </w:p>
    <w:p>
      <w:pPr>
        <w:ind w:firstLine="480"/>
      </w:pPr>
      <w:r>
        <w:rPr>
          <w:rFonts w:hint="eastAsia"/>
        </w:rPr>
        <w:t>本计划适用于所有公司产品在配送过程中能事先预测到的非自然灾害所产生的突然性事件。</w:t>
      </w:r>
    </w:p>
    <w:p>
      <w:pPr>
        <w:ind w:firstLine="482"/>
        <w:rPr>
          <w:b/>
          <w:bCs/>
        </w:rPr>
      </w:pPr>
      <w:r>
        <w:rPr>
          <w:rFonts w:hint="eastAsia"/>
          <w:b/>
          <w:bCs/>
          <w:lang w:eastAsia="zh-CN"/>
        </w:rPr>
        <w:t>（</w:t>
      </w:r>
      <w:r>
        <w:rPr>
          <w:rFonts w:hint="eastAsia"/>
          <w:b/>
          <w:bCs/>
          <w:lang w:val="en-US" w:eastAsia="zh-CN"/>
        </w:rPr>
        <w:t>三</w:t>
      </w:r>
      <w:r>
        <w:rPr>
          <w:rFonts w:hint="eastAsia"/>
          <w:b/>
          <w:bCs/>
          <w:lang w:eastAsia="zh-CN"/>
        </w:rPr>
        <w:t>）</w:t>
      </w:r>
      <w:r>
        <w:rPr>
          <w:rFonts w:hint="eastAsia"/>
          <w:b/>
          <w:bCs/>
        </w:rPr>
        <w:t>术语和定义</w:t>
      </w:r>
    </w:p>
    <w:p>
      <w:pPr>
        <w:ind w:firstLine="480"/>
      </w:pPr>
      <w:r>
        <w:rPr>
          <w:rFonts w:hint="eastAsia"/>
        </w:rPr>
        <w:t>突发性事件：交通运输故障等导致配送中断事件；</w:t>
      </w:r>
    </w:p>
    <w:p>
      <w:pPr>
        <w:ind w:firstLine="482"/>
        <w:rPr>
          <w:b/>
          <w:bCs/>
        </w:rPr>
      </w:pPr>
      <w:r>
        <w:rPr>
          <w:rFonts w:hint="eastAsia"/>
          <w:b/>
          <w:bCs/>
          <w:lang w:eastAsia="zh-CN"/>
        </w:rPr>
        <w:t>（</w:t>
      </w:r>
      <w:r>
        <w:rPr>
          <w:rFonts w:hint="eastAsia"/>
          <w:b/>
          <w:bCs/>
          <w:lang w:val="en-US" w:eastAsia="zh-CN"/>
        </w:rPr>
        <w:t>四</w:t>
      </w:r>
      <w:r>
        <w:rPr>
          <w:rFonts w:hint="eastAsia"/>
          <w:b/>
          <w:bCs/>
          <w:lang w:eastAsia="zh-CN"/>
        </w:rPr>
        <w:t>）</w:t>
      </w:r>
      <w:r>
        <w:rPr>
          <w:rFonts w:hint="eastAsia"/>
          <w:b/>
          <w:bCs/>
        </w:rPr>
        <w:t>职责</w:t>
      </w:r>
    </w:p>
    <w:p>
      <w:pPr>
        <w:ind w:firstLine="480"/>
      </w:pPr>
      <w:r>
        <w:rPr>
          <w:rFonts w:hint="eastAsia"/>
        </w:rPr>
        <w:t>营销部市和物流部负责突发性事件应急处理计划和对策的拟定和执行。</w:t>
      </w:r>
    </w:p>
    <w:p>
      <w:pPr>
        <w:ind w:firstLine="480"/>
      </w:pPr>
      <w:r>
        <w:rPr>
          <w:rFonts w:hint="eastAsia"/>
        </w:rPr>
        <w:t>总经理负责突发性事件应急处理计划和对策的监督执行。</w:t>
      </w:r>
    </w:p>
    <w:p>
      <w:pPr>
        <w:ind w:firstLine="482"/>
        <w:rPr>
          <w:b/>
          <w:bCs/>
        </w:rPr>
      </w:pPr>
      <w:r>
        <w:rPr>
          <w:rFonts w:hint="eastAsia"/>
          <w:b/>
          <w:bCs/>
          <w:lang w:eastAsia="zh-CN"/>
        </w:rPr>
        <w:t>（</w:t>
      </w:r>
      <w:r>
        <w:rPr>
          <w:rFonts w:hint="eastAsia"/>
          <w:b/>
          <w:bCs/>
          <w:lang w:val="en-US" w:eastAsia="zh-CN"/>
        </w:rPr>
        <w:t>五</w:t>
      </w:r>
      <w:r>
        <w:rPr>
          <w:rFonts w:hint="eastAsia"/>
          <w:b/>
          <w:bCs/>
          <w:lang w:eastAsia="zh-CN"/>
        </w:rPr>
        <w:t>）</w:t>
      </w:r>
      <w:r>
        <w:rPr>
          <w:rFonts w:hint="eastAsia"/>
          <w:b/>
          <w:bCs/>
        </w:rPr>
        <w:t>工作程序</w:t>
      </w:r>
    </w:p>
    <w:p>
      <w:pPr>
        <w:pStyle w:val="55"/>
        <w:numPr>
          <w:ilvl w:val="0"/>
          <w:numId w:val="0"/>
        </w:numPr>
        <w:ind w:firstLine="562" w:firstLineChars="200"/>
        <w:rPr>
          <w:b/>
          <w:bCs/>
        </w:rPr>
      </w:pPr>
      <w:r>
        <w:rPr>
          <w:rFonts w:hint="eastAsia"/>
          <w:b/>
          <w:bCs/>
          <w:lang w:val="en-US" w:eastAsia="zh-CN"/>
        </w:rPr>
        <w:t>1、</w:t>
      </w:r>
      <w:r>
        <w:rPr>
          <w:rFonts w:hint="eastAsia"/>
          <w:b/>
          <w:bCs/>
        </w:rPr>
        <w:t>紧急联络通讯录的建立</w:t>
      </w:r>
    </w:p>
    <w:p>
      <w:pPr>
        <w:ind w:firstLine="480"/>
      </w:pPr>
      <w:r>
        <w:rPr>
          <w:rFonts w:hint="eastAsia"/>
        </w:rPr>
        <w:t>由营销部综合科负责制定紧急联系人通讯录（包括发货业务人员、配送人员（货车司机）、收货业务人员电话以及主管级以上人员的姓名、联系方式等），确保通讯录涉及人员人手一份且方便取得。</w:t>
      </w:r>
    </w:p>
    <w:p>
      <w:pPr>
        <w:pStyle w:val="55"/>
        <w:numPr>
          <w:ilvl w:val="0"/>
          <w:numId w:val="0"/>
        </w:numPr>
        <w:ind w:firstLine="562" w:firstLineChars="200"/>
        <w:rPr>
          <w:b/>
          <w:bCs/>
        </w:rPr>
      </w:pPr>
      <w:r>
        <w:rPr>
          <w:rFonts w:hint="eastAsia"/>
          <w:b/>
          <w:bCs/>
          <w:lang w:val="en-US" w:eastAsia="zh-CN"/>
        </w:rPr>
        <w:t>2、</w:t>
      </w:r>
      <w:r>
        <w:rPr>
          <w:rFonts w:hint="eastAsia"/>
          <w:b/>
          <w:bCs/>
        </w:rPr>
        <w:t>物流配送受控记录</w:t>
      </w:r>
    </w:p>
    <w:p>
      <w:pPr>
        <w:ind w:firstLine="480"/>
      </w:pPr>
      <w:r>
        <w:rPr>
          <w:rFonts w:hint="eastAsia"/>
        </w:rPr>
        <w:t>业务部负责发货业务人员与负责收货业务人员做好货车发车时刻与抵达时刻的记录，使得整个物流配送过程受控。对于在预定时间波动范围内不能按时抵达终点端，负责接收货物的业务人员必须及时将配送滞后信息反馈至物流主管处，由物流主管应根据实际情况及时作出相应的措施，以满足客户订单需求。</w:t>
      </w:r>
    </w:p>
    <w:p>
      <w:pPr>
        <w:pStyle w:val="55"/>
        <w:numPr>
          <w:ilvl w:val="0"/>
          <w:numId w:val="0"/>
        </w:numPr>
        <w:ind w:firstLine="562" w:firstLineChars="200"/>
        <w:rPr>
          <w:b/>
          <w:bCs/>
        </w:rPr>
      </w:pPr>
      <w:r>
        <w:rPr>
          <w:rFonts w:hint="eastAsia"/>
          <w:b/>
          <w:bCs/>
          <w:lang w:val="en-US" w:eastAsia="zh-CN"/>
        </w:rPr>
        <w:t>3、</w:t>
      </w:r>
      <w:r>
        <w:rPr>
          <w:rFonts w:hint="eastAsia"/>
          <w:b/>
          <w:bCs/>
        </w:rPr>
        <w:t>配送中断的紧急措施</w:t>
      </w:r>
    </w:p>
    <w:p>
      <w:pPr>
        <w:ind w:firstLine="480"/>
      </w:pPr>
      <w:r>
        <w:rPr>
          <w:rFonts w:hint="eastAsia"/>
          <w:lang w:eastAsia="zh-CN"/>
        </w:rPr>
        <w:t>（</w:t>
      </w:r>
      <w:r>
        <w:rPr>
          <w:rFonts w:hint="eastAsia"/>
          <w:lang w:val="en-US" w:eastAsia="zh-CN"/>
        </w:rPr>
        <w:t>1</w:t>
      </w:r>
      <w:r>
        <w:rPr>
          <w:rFonts w:hint="eastAsia"/>
          <w:lang w:eastAsia="zh-CN"/>
        </w:rPr>
        <w:t>）</w:t>
      </w:r>
      <w:r>
        <w:rPr>
          <w:rFonts w:hint="eastAsia"/>
        </w:rPr>
        <w:t>紧急调用中转库库存产品；</w:t>
      </w:r>
    </w:p>
    <w:p>
      <w:pPr>
        <w:ind w:firstLine="480"/>
      </w:pPr>
      <w:r>
        <w:rPr>
          <w:rFonts w:hint="eastAsia"/>
          <w:lang w:eastAsia="zh-CN"/>
        </w:rPr>
        <w:t>（</w:t>
      </w:r>
      <w:r>
        <w:rPr>
          <w:rFonts w:hint="eastAsia"/>
          <w:lang w:val="en-US" w:eastAsia="zh-CN"/>
        </w:rPr>
        <w:t>2</w:t>
      </w:r>
      <w:r>
        <w:rPr>
          <w:rFonts w:hint="eastAsia"/>
          <w:lang w:eastAsia="zh-CN"/>
        </w:rPr>
        <w:t>）</w:t>
      </w:r>
      <w:r>
        <w:rPr>
          <w:rFonts w:hint="eastAsia"/>
        </w:rPr>
        <w:t>采用其它或更为快捷的运输方式配送（如：货物专列）；</w:t>
      </w:r>
    </w:p>
    <w:p>
      <w:pPr>
        <w:ind w:firstLine="480"/>
      </w:pPr>
      <w:r>
        <w:rPr>
          <w:rFonts w:hint="eastAsia"/>
          <w:lang w:eastAsia="zh-CN"/>
        </w:rPr>
        <w:t>（</w:t>
      </w:r>
      <w:r>
        <w:rPr>
          <w:rFonts w:hint="eastAsia"/>
          <w:lang w:val="en-US" w:eastAsia="zh-CN"/>
        </w:rPr>
        <w:t>3</w:t>
      </w:r>
      <w:r>
        <w:rPr>
          <w:rFonts w:hint="eastAsia"/>
          <w:lang w:eastAsia="zh-CN"/>
        </w:rPr>
        <w:t>）</w:t>
      </w:r>
      <w:r>
        <w:rPr>
          <w:rFonts w:hint="eastAsia"/>
        </w:rPr>
        <w:t>如会影响产品交付期，市场科应及时与客户端联系，以争取客户端同意延迟交货；</w:t>
      </w:r>
    </w:p>
    <w:p>
      <w:pPr>
        <w:pStyle w:val="6"/>
        <w:bidi w:val="0"/>
      </w:pPr>
      <w:bookmarkStart w:id="427" w:name="_Toc107845172"/>
      <w:bookmarkStart w:id="428" w:name="_Toc105600304"/>
      <w:bookmarkStart w:id="429" w:name="_Toc116121439"/>
      <w:bookmarkStart w:id="430" w:name="_Toc118293258"/>
      <w:bookmarkStart w:id="431" w:name="_Toc17916"/>
      <w:bookmarkStart w:id="432" w:name="_Toc117181945"/>
      <w:r>
        <w:rPr>
          <w:rFonts w:hint="eastAsia"/>
          <w:lang w:val="en-US" w:eastAsia="zh-CN"/>
        </w:rPr>
        <w:t>（七）</w:t>
      </w:r>
      <w:r>
        <w:rPr>
          <w:rFonts w:hint="eastAsia"/>
        </w:rPr>
        <w:t>雨季运输服务方案</w:t>
      </w:r>
      <w:bookmarkEnd w:id="427"/>
      <w:bookmarkEnd w:id="428"/>
      <w:bookmarkEnd w:id="429"/>
      <w:bookmarkEnd w:id="430"/>
      <w:bookmarkEnd w:id="431"/>
      <w:bookmarkEnd w:id="432"/>
    </w:p>
    <w:p>
      <w:pPr>
        <w:numPr>
          <w:ilvl w:val="0"/>
          <w:numId w:val="0"/>
        </w:numPr>
        <w:ind w:left="900" w:hanging="420" w:firstLineChars="0"/>
        <w:rPr>
          <w:b/>
          <w:bCs/>
        </w:rPr>
      </w:pPr>
      <w:r>
        <w:rPr>
          <w:rFonts w:hint="eastAsia"/>
          <w:b/>
          <w:bCs/>
          <w:lang w:eastAsia="zh-CN"/>
        </w:rPr>
        <w:t>（</w:t>
      </w:r>
      <w:r>
        <w:rPr>
          <w:rFonts w:hint="eastAsia"/>
          <w:b/>
          <w:bCs/>
          <w:lang w:val="en-US" w:eastAsia="zh-CN"/>
        </w:rPr>
        <w:t>一</w:t>
      </w:r>
      <w:r>
        <w:rPr>
          <w:rFonts w:hint="eastAsia"/>
          <w:b/>
          <w:bCs/>
          <w:lang w:eastAsia="zh-CN"/>
        </w:rPr>
        <w:t>）</w:t>
      </w:r>
      <w:r>
        <w:rPr>
          <w:rFonts w:hint="eastAsia"/>
          <w:b/>
          <w:bCs/>
        </w:rPr>
        <w:t>运输前准备</w:t>
      </w:r>
    </w:p>
    <w:p>
      <w:pPr>
        <w:ind w:firstLine="480"/>
      </w:pPr>
      <w:r>
        <w:rPr>
          <w:rFonts w:hint="eastAsia"/>
        </w:rPr>
        <w:t>根据采购方的要求，按时将肥料运输到采购方指定地点。</w:t>
      </w:r>
    </w:p>
    <w:p>
      <w:pPr>
        <w:ind w:firstLine="480"/>
      </w:pPr>
      <w:r>
        <w:rPr>
          <w:rFonts w:hint="eastAsia"/>
        </w:rPr>
        <w:t>我单位在签订合同后，会专门成立本项目的领导小组，指定本项目的实施计划，提前了解运输期间的天气、路况等情况，提前做好应对措施。</w:t>
      </w:r>
    </w:p>
    <w:p>
      <w:pPr>
        <w:ind w:firstLine="480"/>
      </w:pPr>
      <w:r>
        <w:rPr>
          <w:rFonts w:hint="eastAsia"/>
        </w:rPr>
        <w:t>肥料在储存、运输包装不当的情况，容易发生吸潮导致效果下降等情况，因为我单位会在装车前做好防潮、加固等措施，保证肥料在运输过程中，不被吸潮等。</w:t>
      </w:r>
    </w:p>
    <w:p>
      <w:pPr>
        <w:ind w:firstLine="480"/>
      </w:pPr>
      <w:r>
        <w:rPr>
          <w:rFonts w:hint="eastAsia"/>
        </w:rPr>
        <w:t>肥料装载过程中的保障措施</w:t>
      </w:r>
    </w:p>
    <w:tbl>
      <w:tblPr>
        <w:tblStyle w:val="33"/>
        <w:tblW w:w="83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7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5" w:type="dxa"/>
            <w:vAlign w:val="center"/>
          </w:tcPr>
          <w:p>
            <w:pPr>
              <w:pStyle w:val="53"/>
            </w:pPr>
            <w:r>
              <w:rPr>
                <w:rFonts w:hint="eastAsia"/>
              </w:rPr>
              <w:t>1</w:t>
            </w:r>
          </w:p>
        </w:tc>
        <w:tc>
          <w:tcPr>
            <w:tcW w:w="7819" w:type="dxa"/>
            <w:vAlign w:val="center"/>
          </w:tcPr>
          <w:p>
            <w:pPr>
              <w:pStyle w:val="53"/>
            </w:pPr>
            <w:r>
              <w:rPr>
                <w:rFonts w:hint="eastAsia"/>
              </w:rPr>
              <w:t>装车前必须检查；车况是否完好、随车配备的新蓬布、货箱底垫棉毯、钢绳、捆绑带、灭火器、维修工具等专用设备是否齐全有效，车辆是否有滴油、漏水现象。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5" w:type="dxa"/>
            <w:vAlign w:val="center"/>
          </w:tcPr>
          <w:p>
            <w:pPr>
              <w:pStyle w:val="53"/>
            </w:pPr>
            <w:r>
              <w:t>2</w:t>
            </w:r>
          </w:p>
        </w:tc>
        <w:tc>
          <w:tcPr>
            <w:tcW w:w="7819" w:type="dxa"/>
            <w:vAlign w:val="center"/>
          </w:tcPr>
          <w:p>
            <w:pPr>
              <w:pStyle w:val="53"/>
            </w:pPr>
            <w:r>
              <w:rPr>
                <w:rFonts w:hint="eastAsia"/>
              </w:rPr>
              <w:t>装载肥料过程中如果发现肥料有漏包、潮湿、硬化、包装无标识标牌、存在质量问题等的肥料一律不能上车，应及时联系仓管员查明原因，补换完好无损的件数后才能装车。装载肥料时，要与发货员一起清点数量及品种，要绝对做到：层次分明、数量准确、品种清楚，规格界限分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5" w:type="dxa"/>
            <w:vAlign w:val="center"/>
          </w:tcPr>
          <w:p>
            <w:pPr>
              <w:pStyle w:val="53"/>
            </w:pPr>
            <w:r>
              <w:t>3</w:t>
            </w:r>
          </w:p>
        </w:tc>
        <w:tc>
          <w:tcPr>
            <w:tcW w:w="7819" w:type="dxa"/>
            <w:vAlign w:val="center"/>
          </w:tcPr>
          <w:p>
            <w:pPr>
              <w:pStyle w:val="53"/>
            </w:pPr>
            <w:r>
              <w:rPr>
                <w:rFonts w:hint="eastAsia"/>
              </w:rPr>
              <w:t>装载肥料做到：不超重、不超宽、不超高。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4" w:hRule="atLeast"/>
          <w:jc w:val="center"/>
        </w:trPr>
        <w:tc>
          <w:tcPr>
            <w:tcW w:w="485" w:type="dxa"/>
            <w:vAlign w:val="center"/>
          </w:tcPr>
          <w:p>
            <w:pPr>
              <w:pStyle w:val="53"/>
            </w:pPr>
            <w:r>
              <w:t>4</w:t>
            </w:r>
          </w:p>
        </w:tc>
        <w:tc>
          <w:tcPr>
            <w:tcW w:w="7819" w:type="dxa"/>
            <w:vAlign w:val="center"/>
          </w:tcPr>
          <w:p>
            <w:pPr>
              <w:pStyle w:val="53"/>
            </w:pPr>
            <w:r>
              <w:rPr>
                <w:rFonts w:hint="eastAsia"/>
              </w:rPr>
              <w:t>对车上肥料进行防水覆盖，完好密封，关好后箱防盜门并上锁，确保在运输途中的安全。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5" w:type="dxa"/>
            <w:vAlign w:val="center"/>
          </w:tcPr>
          <w:p>
            <w:pPr>
              <w:pStyle w:val="53"/>
            </w:pPr>
            <w:r>
              <w:t>5</w:t>
            </w:r>
          </w:p>
        </w:tc>
        <w:tc>
          <w:tcPr>
            <w:tcW w:w="7819" w:type="dxa"/>
            <w:vAlign w:val="center"/>
          </w:tcPr>
          <w:p>
            <w:pPr>
              <w:pStyle w:val="53"/>
            </w:pPr>
            <w:r>
              <w:rPr>
                <w:rFonts w:hint="eastAsia"/>
              </w:rPr>
              <w:t>驾驶员必须认真检查核对仓管员开具的各种单据，核对无误后，按规定的运输线路礼貌行驶。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5" w:type="dxa"/>
            <w:vAlign w:val="center"/>
          </w:tcPr>
          <w:p>
            <w:pPr>
              <w:pStyle w:val="53"/>
            </w:pPr>
            <w:r>
              <w:t>6</w:t>
            </w:r>
          </w:p>
        </w:tc>
        <w:tc>
          <w:tcPr>
            <w:tcW w:w="7819" w:type="dxa"/>
            <w:vAlign w:val="center"/>
          </w:tcPr>
          <w:p>
            <w:pPr>
              <w:pStyle w:val="53"/>
            </w:pPr>
            <w:r>
              <w:rPr>
                <w:rFonts w:hint="eastAsia"/>
              </w:rPr>
              <w:t>肥料装卸人员，要服从采购方工作人员的安排，对所装卸的物资要轻抬轻放，物资堆放整齐，品种规格堆放有序，层次清楚，物资装卸完毕，要对现场卫生进行清扫干净。</w:t>
            </w:r>
          </w:p>
        </w:tc>
      </w:tr>
    </w:tbl>
    <w:p>
      <w:pPr>
        <w:bidi w:val="0"/>
        <w:ind w:firstLine="560" w:firstLineChars="200"/>
      </w:pPr>
      <w:r>
        <w:rPr>
          <w:rFonts w:hint="eastAsia"/>
        </w:rPr>
        <w:t>我单位运输肥料采购的车辆都是封闭式的，在冬雨季运输过程中，能保证肥料在运输过程中的质量保证，保证肥料不会出现吸潮结块等情况</w:t>
      </w:r>
    </w:p>
    <w:p>
      <w:pPr>
        <w:numPr>
          <w:ilvl w:val="0"/>
          <w:numId w:val="0"/>
        </w:numPr>
        <w:ind w:left="902" w:hanging="420" w:firstLineChars="0"/>
        <w:rPr>
          <w:b/>
          <w:bCs/>
        </w:rPr>
      </w:pPr>
      <w:r>
        <w:rPr>
          <w:rFonts w:hint="eastAsia"/>
          <w:b/>
          <w:bCs/>
          <w:lang w:eastAsia="zh-CN"/>
        </w:rPr>
        <w:t>（</w:t>
      </w:r>
      <w:r>
        <w:rPr>
          <w:rFonts w:hint="eastAsia"/>
          <w:b/>
          <w:bCs/>
          <w:lang w:val="en-US" w:eastAsia="zh-CN"/>
        </w:rPr>
        <w:t>二</w:t>
      </w:r>
      <w:r>
        <w:rPr>
          <w:rFonts w:hint="eastAsia"/>
          <w:b/>
          <w:bCs/>
          <w:lang w:eastAsia="zh-CN"/>
        </w:rPr>
        <w:t>）</w:t>
      </w:r>
      <w:r>
        <w:rPr>
          <w:rFonts w:hint="eastAsia"/>
          <w:b/>
          <w:bCs/>
        </w:rPr>
        <w:t>本项目的机构设置</w:t>
      </w:r>
    </w:p>
    <w:p>
      <w:pPr>
        <w:ind w:firstLine="480"/>
      </w:pPr>
      <w:r>
        <w:rPr>
          <w:rFonts w:hint="eastAsia"/>
          <w:lang w:val="en-US" w:eastAsia="zh-CN"/>
        </w:rPr>
        <w:t>1、</w:t>
      </w:r>
      <w:r>
        <w:rPr>
          <w:rFonts w:hint="eastAsia"/>
        </w:rPr>
        <w:t>成立专职的“</w:t>
      </w:r>
      <w:r>
        <w:rPr>
          <w:rFonts w:hint="eastAsia"/>
          <w:lang w:val="en-US" w:eastAsia="zh-CN"/>
        </w:rPr>
        <w:t>XXX</w:t>
      </w:r>
      <w:r>
        <w:t>项目</w:t>
      </w:r>
      <w:r>
        <w:rPr>
          <w:rFonts w:hint="eastAsia"/>
        </w:rPr>
        <w:t>”项目部、“运输车辆调度室”、“安全保障应急救援队”</w:t>
      </w:r>
    </w:p>
    <w:p>
      <w:pPr>
        <w:ind w:firstLine="480"/>
      </w:pPr>
      <w:r>
        <w:rPr>
          <w:rFonts w:hint="eastAsia"/>
          <w:lang w:val="en-US" w:eastAsia="zh-CN"/>
        </w:rPr>
        <w:t>2、</w:t>
      </w:r>
      <w:r>
        <w:rPr>
          <w:rFonts w:hint="eastAsia"/>
        </w:rPr>
        <w:t>制定安全保障措施、服务准则、应急预案等相关制度方案，对运输服务、物资装卸及安全管理的落实情况进行全程跟踪、并时时进行监督检查。</w:t>
      </w:r>
    </w:p>
    <w:p>
      <w:pPr>
        <w:ind w:firstLine="480"/>
      </w:pPr>
      <w:r>
        <w:rPr>
          <w:rFonts w:hint="eastAsia"/>
          <w:lang w:val="en-US" w:eastAsia="zh-CN"/>
        </w:rPr>
        <w:t>3、</w:t>
      </w:r>
      <w:r>
        <w:rPr>
          <w:rFonts w:hint="eastAsia"/>
        </w:rPr>
        <w:t>制定应急预案及处置措施，有效的防范自然灾害和运输途中的各类风险。</w:t>
      </w:r>
    </w:p>
    <w:p>
      <w:pPr>
        <w:ind w:firstLine="480"/>
      </w:pPr>
      <w:r>
        <w:rPr>
          <w:rFonts w:hint="eastAsia"/>
          <w:lang w:val="en-US" w:eastAsia="zh-CN"/>
        </w:rPr>
        <w:t>4、</w:t>
      </w:r>
      <w:r>
        <w:rPr>
          <w:rFonts w:hint="eastAsia"/>
        </w:rPr>
        <w:t>配备独立的办公设备，专职的项目管理、调度、安全及后勤保障人员和运输车辆。</w:t>
      </w:r>
    </w:p>
    <w:p>
      <w:pPr>
        <w:ind w:firstLine="480"/>
      </w:pPr>
      <w:r>
        <w:rPr>
          <w:rFonts w:hint="eastAsia"/>
          <w:lang w:val="en-US" w:eastAsia="zh-CN"/>
        </w:rPr>
        <w:t>5、</w:t>
      </w:r>
      <w:r>
        <w:rPr>
          <w:rFonts w:hint="eastAsia"/>
        </w:rPr>
        <w:t>成立应急保障小组</w:t>
      </w:r>
    </w:p>
    <w:p>
      <w:pPr>
        <w:widowControl/>
        <w:spacing w:before="0" w:after="0" w:line="240" w:lineRule="auto"/>
        <w:ind w:firstLine="0" w:firstLineChars="0"/>
        <w:jc w:val="left"/>
      </w:pPr>
      <w:r>
        <w:br w:type="page"/>
      </w:r>
    </w:p>
    <w:p>
      <w:pPr>
        <w:pStyle w:val="6"/>
        <w:bidi w:val="0"/>
      </w:pPr>
      <w:bookmarkStart w:id="433" w:name="_Toc117181946"/>
      <w:bookmarkStart w:id="434" w:name="_Toc118293259"/>
      <w:bookmarkStart w:id="435" w:name="_Toc29297"/>
      <w:bookmarkStart w:id="436" w:name="_Toc107845173"/>
      <w:bookmarkStart w:id="437" w:name="_Toc105600305"/>
      <w:bookmarkStart w:id="438" w:name="_Toc116121440"/>
      <w:r>
        <w:rPr>
          <w:rFonts w:hint="eastAsia"/>
          <w:lang w:val="en-US" w:eastAsia="zh-CN"/>
        </w:rPr>
        <w:t>（八）</w:t>
      </w:r>
      <w:r>
        <w:rPr>
          <w:rFonts w:hint="eastAsia"/>
        </w:rPr>
        <w:t>其它恶劣天气的运输应急预案</w:t>
      </w:r>
      <w:bookmarkEnd w:id="433"/>
      <w:bookmarkEnd w:id="434"/>
      <w:bookmarkEnd w:id="435"/>
      <w:bookmarkEnd w:id="436"/>
      <w:bookmarkEnd w:id="437"/>
      <w:bookmarkEnd w:id="438"/>
    </w:p>
    <w:p>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rFonts w:hint="eastAsia"/>
          <w:b/>
          <w:bCs/>
          <w:lang w:eastAsia="zh-CN"/>
        </w:rPr>
      </w:pPr>
      <w:r>
        <w:rPr>
          <w:rFonts w:hint="eastAsia"/>
          <w:b/>
          <w:bCs/>
          <w:lang w:eastAsia="zh-CN"/>
        </w:rPr>
        <w:t>（</w:t>
      </w:r>
      <w:r>
        <w:rPr>
          <w:rFonts w:hint="eastAsia"/>
          <w:b/>
          <w:bCs/>
          <w:lang w:val="en-US" w:eastAsia="zh-CN"/>
        </w:rPr>
        <w:t>一</w:t>
      </w:r>
      <w:r>
        <w:rPr>
          <w:rFonts w:hint="eastAsia"/>
          <w:b/>
          <w:bCs/>
          <w:lang w:eastAsia="zh-CN"/>
        </w:rPr>
        <w:t>）</w:t>
      </w:r>
      <w:r>
        <w:rPr>
          <w:rFonts w:hint="eastAsia"/>
          <w:b/>
          <w:bCs/>
        </w:rPr>
        <w:t>编制目的</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rPr>
        <w:t>为了提高企业在恶劣天气下处理突发事件的应急处理能力，有效减少和控制安全运输行车事故的发生，保证恶劣天气下的行车安全，明确相关应急处理工作人员的工作职责，确保应急工作快速启动和高效有序，结合公司的实际情况，制定本预案。</w:t>
      </w:r>
    </w:p>
    <w:p>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rFonts w:hint="eastAsia"/>
          <w:b/>
          <w:bCs/>
          <w:lang w:eastAsia="zh-CN"/>
        </w:rPr>
      </w:pPr>
      <w:r>
        <w:rPr>
          <w:rFonts w:hint="eastAsia"/>
          <w:b/>
          <w:bCs/>
          <w:lang w:eastAsia="zh-CN"/>
        </w:rPr>
        <w:t>（</w:t>
      </w:r>
      <w:r>
        <w:rPr>
          <w:rFonts w:hint="eastAsia"/>
          <w:b/>
          <w:bCs/>
          <w:lang w:val="en-US" w:eastAsia="zh-CN"/>
        </w:rPr>
        <w:t>二</w:t>
      </w:r>
      <w:r>
        <w:rPr>
          <w:rFonts w:hint="eastAsia"/>
          <w:b/>
          <w:bCs/>
          <w:lang w:eastAsia="zh-CN"/>
        </w:rPr>
        <w:t>）</w:t>
      </w:r>
      <w:r>
        <w:rPr>
          <w:rFonts w:hint="eastAsia"/>
          <w:b/>
          <w:bCs/>
        </w:rPr>
        <w:t>适用范围</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eastAsia="宋体"/>
          <w:lang w:eastAsia="zh-CN"/>
        </w:rPr>
      </w:pPr>
      <w:r>
        <w:rPr>
          <w:rFonts w:hint="eastAsia"/>
        </w:rPr>
        <w:t>在以下情形出现时，启动本预案。</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eastAsia="宋体"/>
          <w:lang w:eastAsia="zh-CN"/>
        </w:rPr>
      </w:pPr>
      <w:r>
        <w:rPr>
          <w:rFonts w:hint="eastAsia"/>
          <w:lang w:val="en-US" w:eastAsia="zh-CN"/>
        </w:rPr>
        <w:t>1、</w:t>
      </w:r>
      <w:r>
        <w:rPr>
          <w:rFonts w:hint="eastAsia"/>
        </w:rPr>
        <w:t>雾天能见度较低时；</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eastAsia="宋体"/>
          <w:lang w:eastAsia="zh-CN"/>
        </w:rPr>
      </w:pPr>
      <w:r>
        <w:rPr>
          <w:rFonts w:hint="eastAsia"/>
          <w:lang w:val="en-US" w:eastAsia="zh-CN"/>
        </w:rPr>
        <w:t>2、</w:t>
      </w:r>
      <w:r>
        <w:rPr>
          <w:rFonts w:hint="eastAsia"/>
        </w:rPr>
        <w:t>暴雪、积雪很深或雪后路面结冰时；</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lang w:val="en-US" w:eastAsia="zh-CN"/>
        </w:rPr>
        <w:t>3、</w:t>
      </w:r>
      <w:r>
        <w:rPr>
          <w:rFonts w:hint="eastAsia"/>
        </w:rPr>
        <w:t>遇强台风、特大暴雨、沙尘、冰雹时。</w:t>
      </w:r>
    </w:p>
    <w:p>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rFonts w:hint="eastAsia"/>
          <w:b/>
          <w:bCs/>
          <w:lang w:eastAsia="zh-CN"/>
        </w:rPr>
      </w:pPr>
      <w:r>
        <w:rPr>
          <w:rFonts w:hint="eastAsia"/>
          <w:b/>
          <w:bCs/>
          <w:lang w:eastAsia="zh-CN"/>
        </w:rPr>
        <w:t>（</w:t>
      </w:r>
      <w:r>
        <w:rPr>
          <w:rFonts w:hint="eastAsia"/>
          <w:b/>
          <w:bCs/>
          <w:lang w:val="en-US" w:eastAsia="zh-CN"/>
        </w:rPr>
        <w:t>三</w:t>
      </w:r>
      <w:r>
        <w:rPr>
          <w:rFonts w:hint="eastAsia"/>
          <w:b/>
          <w:bCs/>
          <w:lang w:eastAsia="zh-CN"/>
        </w:rPr>
        <w:t>）</w:t>
      </w:r>
      <w:r>
        <w:rPr>
          <w:rFonts w:hint="eastAsia"/>
          <w:b/>
          <w:bCs/>
        </w:rPr>
        <w:t>组织机构和职责</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eastAsia="宋体"/>
          <w:lang w:eastAsia="zh-CN"/>
        </w:rPr>
      </w:pPr>
      <w:r>
        <w:rPr>
          <w:rFonts w:hint="eastAsia"/>
          <w:lang w:val="en-US" w:eastAsia="zh-CN"/>
        </w:rPr>
        <w:t>1、</w:t>
      </w:r>
      <w:r>
        <w:rPr>
          <w:rFonts w:hint="eastAsia"/>
        </w:rPr>
        <w:t>恶劣天气应急处理领导小组</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default" w:eastAsia="宋体"/>
          <w:lang w:val="en-US" w:eastAsia="zh-CN"/>
        </w:rPr>
      </w:pPr>
      <w:r>
        <w:rPr>
          <w:rFonts w:hint="eastAsia"/>
        </w:rPr>
        <w:t>组长：</w:t>
      </w:r>
      <w:r>
        <w:rPr>
          <w:rFonts w:hint="eastAsia" w:ascii="宋体" w:hAnsi="宋体" w:eastAsia="宋体" w:cs="宋体"/>
          <w:lang w:val="en-US" w:eastAsia="zh-CN"/>
        </w:rPr>
        <w:t>XXX</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eastAsia="宋体"/>
          <w:lang w:eastAsia="zh-CN"/>
        </w:rPr>
      </w:pPr>
      <w:r>
        <w:rPr>
          <w:rFonts w:hint="eastAsia"/>
        </w:rPr>
        <w:t>副组长：</w:t>
      </w:r>
      <w:r>
        <w:rPr>
          <w:rFonts w:hint="eastAsia" w:ascii="宋体" w:hAnsi="宋体" w:eastAsia="宋体" w:cs="宋体"/>
          <w:lang w:val="en-US" w:eastAsia="zh-CN"/>
        </w:rPr>
        <w:t>XXX</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default" w:eastAsia="宋体"/>
          <w:lang w:val="en-US" w:eastAsia="zh-CN"/>
        </w:rPr>
      </w:pPr>
      <w:r>
        <w:rPr>
          <w:rFonts w:hint="eastAsia"/>
        </w:rPr>
        <w:t>成员：</w:t>
      </w:r>
      <w:r>
        <w:rPr>
          <w:rFonts w:hint="eastAsia" w:ascii="宋体" w:hAnsi="宋体" w:eastAsia="宋体" w:cs="宋体"/>
          <w:lang w:val="en-US" w:eastAsia="zh-CN"/>
        </w:rPr>
        <w:t>XXX</w:t>
      </w:r>
      <w:r>
        <w:rPr>
          <w:rFonts w:hint="eastAsia"/>
        </w:rPr>
        <w:t>、</w:t>
      </w:r>
      <w:r>
        <w:rPr>
          <w:rFonts w:hint="eastAsia" w:ascii="宋体" w:hAnsi="宋体" w:eastAsia="宋体" w:cs="宋体"/>
          <w:lang w:val="en-US" w:eastAsia="zh-CN"/>
        </w:rPr>
        <w:t>XXX</w:t>
      </w:r>
      <w:r>
        <w:rPr>
          <w:rFonts w:hint="eastAsia"/>
        </w:rPr>
        <w:t>、</w:t>
      </w:r>
      <w:r>
        <w:rPr>
          <w:rFonts w:hint="eastAsia" w:ascii="宋体" w:hAnsi="宋体" w:eastAsia="宋体" w:cs="宋体"/>
          <w:lang w:val="en-US" w:eastAsia="zh-CN"/>
        </w:rPr>
        <w:t>XXX</w:t>
      </w:r>
      <w:r>
        <w:rPr>
          <w:rFonts w:hint="eastAsia"/>
        </w:rPr>
        <w:t>、</w:t>
      </w:r>
      <w:r>
        <w:rPr>
          <w:rFonts w:hint="eastAsia"/>
          <w:lang w:val="en-US" w:eastAsia="zh-CN"/>
        </w:rPr>
        <w:t>......</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eastAsia="宋体"/>
          <w:lang w:eastAsia="zh-CN"/>
        </w:rPr>
      </w:pPr>
      <w:r>
        <w:rPr>
          <w:rFonts w:hint="eastAsia"/>
        </w:rPr>
        <w:t>职责：</w:t>
      </w:r>
      <w:r>
        <w:rPr>
          <w:rFonts w:hint="eastAsia"/>
          <w:lang w:eastAsia="zh-CN"/>
        </w:rPr>
        <w:t>（</w:t>
      </w:r>
      <w:r>
        <w:rPr>
          <w:rFonts w:hint="eastAsia"/>
          <w:lang w:val="en-US" w:eastAsia="zh-CN"/>
        </w:rPr>
        <w:t>1</w:t>
      </w:r>
      <w:r>
        <w:rPr>
          <w:rFonts w:hint="eastAsia"/>
          <w:lang w:eastAsia="zh-CN"/>
        </w:rPr>
        <w:t>）</w:t>
      </w:r>
      <w:r>
        <w:rPr>
          <w:rFonts w:hint="eastAsia"/>
        </w:rPr>
        <w:t>认真贯彻恶劣天气的方针、政策、法规；</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eastAsia="宋体"/>
          <w:lang w:eastAsia="zh-CN"/>
        </w:rPr>
      </w:pPr>
      <w:r>
        <w:rPr>
          <w:rFonts w:hint="eastAsia"/>
          <w:lang w:eastAsia="zh-CN"/>
        </w:rPr>
        <w:t>（</w:t>
      </w:r>
      <w:r>
        <w:rPr>
          <w:rFonts w:hint="eastAsia"/>
          <w:lang w:val="en-US" w:eastAsia="zh-CN"/>
        </w:rPr>
        <w:t>2</w:t>
      </w:r>
      <w:r>
        <w:rPr>
          <w:rFonts w:hint="eastAsia"/>
          <w:lang w:eastAsia="zh-CN"/>
        </w:rPr>
        <w:t>）</w:t>
      </w:r>
      <w:r>
        <w:rPr>
          <w:rFonts w:hint="eastAsia"/>
        </w:rPr>
        <w:t>根据恶劣天气情况，宣布恶劣天气预案的启动、终结；</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eastAsia="宋体"/>
          <w:lang w:eastAsia="zh-CN"/>
        </w:rPr>
      </w:pPr>
      <w:r>
        <w:rPr>
          <w:rFonts w:hint="eastAsia"/>
          <w:lang w:eastAsia="zh-CN"/>
        </w:rPr>
        <w:t>（</w:t>
      </w:r>
      <w:r>
        <w:rPr>
          <w:rFonts w:hint="eastAsia"/>
          <w:lang w:val="en-US" w:eastAsia="zh-CN"/>
        </w:rPr>
        <w:t>3</w:t>
      </w:r>
      <w:r>
        <w:rPr>
          <w:rFonts w:hint="eastAsia"/>
          <w:lang w:eastAsia="zh-CN"/>
        </w:rPr>
        <w:t>）</w:t>
      </w:r>
      <w:r>
        <w:rPr>
          <w:rFonts w:hint="eastAsia"/>
        </w:rPr>
        <w:t>领导、组织应对恶劣天气的各项工作。</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eastAsia="宋体"/>
          <w:lang w:eastAsia="zh-CN"/>
        </w:rPr>
      </w:pPr>
      <w:r>
        <w:rPr>
          <w:rFonts w:hint="eastAsia"/>
          <w:lang w:val="en-US" w:eastAsia="zh-CN"/>
        </w:rPr>
        <w:t>2、</w:t>
      </w:r>
      <w:r>
        <w:rPr>
          <w:rFonts w:hint="eastAsia"/>
        </w:rPr>
        <w:t>恶劣天气应急工作小组</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eastAsia="宋体"/>
          <w:lang w:eastAsia="zh-CN"/>
        </w:rPr>
      </w:pPr>
      <w:r>
        <w:rPr>
          <w:rFonts w:hint="eastAsia"/>
        </w:rPr>
        <w:t>恶劣天气应急处理领导小组下设各相关应急处理工作组，具体负责处理各自职责范围内的事务并做好与其他工作小组的协调工作。</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eastAsia="宋体"/>
          <w:lang w:eastAsia="zh-CN"/>
        </w:rPr>
      </w:pPr>
      <w:r>
        <w:rPr>
          <w:rFonts w:hint="eastAsia"/>
        </w:rPr>
        <w:t>安全管理工作小组</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default" w:eastAsia="宋体"/>
          <w:lang w:val="en-US" w:eastAsia="zh-CN"/>
        </w:rPr>
      </w:pPr>
      <w:r>
        <w:rPr>
          <w:rFonts w:hint="eastAsia"/>
        </w:rPr>
        <w:t>组长：</w:t>
      </w:r>
      <w:r>
        <w:rPr>
          <w:rFonts w:hint="eastAsia" w:ascii="宋体" w:hAnsi="宋体" w:eastAsia="宋体" w:cs="宋体"/>
          <w:lang w:val="en-US" w:eastAsia="zh-CN"/>
        </w:rPr>
        <w:t>XXX</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eastAsia="宋体"/>
          <w:lang w:eastAsia="zh-CN"/>
        </w:rPr>
      </w:pPr>
      <w:r>
        <w:rPr>
          <w:rFonts w:hint="eastAsia"/>
        </w:rPr>
        <w:t>副组长：</w:t>
      </w:r>
      <w:r>
        <w:rPr>
          <w:rFonts w:hint="eastAsia" w:ascii="宋体" w:hAnsi="宋体" w:eastAsia="宋体" w:cs="宋体"/>
          <w:lang w:val="en-US" w:eastAsia="zh-CN"/>
        </w:rPr>
        <w:t>XXX</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default" w:eastAsia="宋体"/>
          <w:lang w:val="en-US" w:eastAsia="zh-CN"/>
        </w:rPr>
      </w:pPr>
      <w:r>
        <w:rPr>
          <w:rFonts w:hint="eastAsia"/>
        </w:rPr>
        <w:t>成员：</w:t>
      </w:r>
      <w:r>
        <w:rPr>
          <w:rFonts w:hint="eastAsia" w:ascii="宋体" w:hAnsi="宋体" w:eastAsia="宋体" w:cs="宋体"/>
          <w:lang w:val="en-US" w:eastAsia="zh-CN"/>
        </w:rPr>
        <w:t>XXX</w:t>
      </w:r>
      <w:r>
        <w:rPr>
          <w:rFonts w:hint="eastAsia"/>
        </w:rPr>
        <w:t>、</w:t>
      </w:r>
      <w:r>
        <w:rPr>
          <w:rFonts w:hint="eastAsia" w:ascii="宋体" w:hAnsi="宋体" w:eastAsia="宋体" w:cs="宋体"/>
          <w:lang w:val="en-US" w:eastAsia="zh-CN"/>
        </w:rPr>
        <w:t>XXX</w:t>
      </w:r>
      <w:r>
        <w:rPr>
          <w:rFonts w:hint="eastAsia"/>
        </w:rPr>
        <w:t>、</w:t>
      </w:r>
      <w:r>
        <w:rPr>
          <w:rFonts w:hint="eastAsia" w:ascii="宋体" w:hAnsi="宋体" w:eastAsia="宋体" w:cs="宋体"/>
          <w:lang w:val="en-US" w:eastAsia="zh-CN"/>
        </w:rPr>
        <w:t>XXX</w:t>
      </w:r>
      <w:r>
        <w:rPr>
          <w:rFonts w:hint="eastAsia"/>
        </w:rPr>
        <w:t>、</w:t>
      </w:r>
      <w:r>
        <w:rPr>
          <w:rFonts w:hint="eastAsia"/>
          <w:lang w:val="en-US" w:eastAsia="zh-CN"/>
        </w:rPr>
        <w:t>......</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eastAsia="宋体"/>
          <w:lang w:eastAsia="zh-CN"/>
        </w:rPr>
      </w:pPr>
      <w:r>
        <w:rPr>
          <w:rFonts w:hint="eastAsia"/>
        </w:rPr>
        <w:t>职责：</w:t>
      </w:r>
      <w:r>
        <w:rPr>
          <w:rFonts w:hint="eastAsia"/>
          <w:lang w:eastAsia="zh-CN"/>
        </w:rPr>
        <w:t>（</w:t>
      </w:r>
      <w:r>
        <w:rPr>
          <w:rFonts w:hint="eastAsia"/>
          <w:lang w:val="en-US" w:eastAsia="zh-CN"/>
        </w:rPr>
        <w:t>1</w:t>
      </w:r>
      <w:r>
        <w:rPr>
          <w:rFonts w:hint="eastAsia"/>
          <w:lang w:eastAsia="zh-CN"/>
        </w:rPr>
        <w:t>）</w:t>
      </w:r>
      <w:r>
        <w:rPr>
          <w:rFonts w:hint="eastAsia"/>
        </w:rPr>
        <w:t>做好对驾驶员的安全交待；</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eastAsia="宋体"/>
          <w:lang w:eastAsia="zh-CN"/>
        </w:rPr>
      </w:pPr>
      <w:r>
        <w:rPr>
          <w:rFonts w:hint="eastAsia"/>
          <w:lang w:eastAsia="zh-CN"/>
        </w:rPr>
        <w:t>（</w:t>
      </w:r>
      <w:r>
        <w:rPr>
          <w:rFonts w:hint="eastAsia"/>
          <w:lang w:val="en-US" w:eastAsia="zh-CN"/>
        </w:rPr>
        <w:t>2</w:t>
      </w:r>
      <w:r>
        <w:rPr>
          <w:rFonts w:hint="eastAsia"/>
          <w:lang w:eastAsia="zh-CN"/>
        </w:rPr>
        <w:t>）</w:t>
      </w:r>
      <w:r>
        <w:rPr>
          <w:rFonts w:hint="eastAsia"/>
        </w:rPr>
        <w:t>检查车辆是否符合安全要求；</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eastAsia="宋体"/>
          <w:lang w:eastAsia="zh-CN"/>
        </w:rPr>
      </w:pPr>
      <w:r>
        <w:rPr>
          <w:rFonts w:hint="eastAsia"/>
          <w:lang w:eastAsia="zh-CN"/>
        </w:rPr>
        <w:t>（</w:t>
      </w:r>
      <w:r>
        <w:rPr>
          <w:rFonts w:hint="eastAsia"/>
          <w:lang w:val="en-US" w:eastAsia="zh-CN"/>
        </w:rPr>
        <w:t>3</w:t>
      </w:r>
      <w:r>
        <w:rPr>
          <w:rFonts w:hint="eastAsia"/>
          <w:lang w:eastAsia="zh-CN"/>
        </w:rPr>
        <w:t>）</w:t>
      </w:r>
      <w:r>
        <w:rPr>
          <w:rFonts w:hint="eastAsia"/>
        </w:rPr>
        <w:t>指挥车辆有序停放和视情发班；</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eastAsia="宋体"/>
          <w:lang w:eastAsia="zh-CN"/>
        </w:rPr>
      </w:pPr>
      <w:r>
        <w:rPr>
          <w:rFonts w:hint="eastAsia"/>
          <w:lang w:eastAsia="zh-CN"/>
        </w:rPr>
        <w:t>（</w:t>
      </w:r>
      <w:r>
        <w:rPr>
          <w:rFonts w:hint="eastAsia"/>
          <w:lang w:val="en-US" w:eastAsia="zh-CN"/>
        </w:rPr>
        <w:t>4</w:t>
      </w:r>
      <w:r>
        <w:rPr>
          <w:rFonts w:hint="eastAsia"/>
          <w:lang w:eastAsia="zh-CN"/>
        </w:rPr>
        <w:t>）</w:t>
      </w:r>
      <w:r>
        <w:rPr>
          <w:rFonts w:hint="eastAsia"/>
        </w:rPr>
        <w:t>发布安全提示等信息；</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eastAsia="宋体"/>
          <w:lang w:eastAsia="zh-CN"/>
        </w:rPr>
      </w:pPr>
      <w:r>
        <w:rPr>
          <w:rFonts w:hint="eastAsia"/>
          <w:lang w:eastAsia="zh-CN"/>
        </w:rPr>
        <w:t>（</w:t>
      </w:r>
      <w:r>
        <w:rPr>
          <w:rFonts w:hint="eastAsia"/>
          <w:lang w:val="en-US" w:eastAsia="zh-CN"/>
        </w:rPr>
        <w:t>5</w:t>
      </w:r>
      <w:r>
        <w:rPr>
          <w:rFonts w:hint="eastAsia"/>
          <w:lang w:eastAsia="zh-CN"/>
        </w:rPr>
        <w:t>）</w:t>
      </w:r>
      <w:r>
        <w:rPr>
          <w:rFonts w:hint="eastAsia"/>
        </w:rPr>
        <w:t>收集天气、路况信息。</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eastAsia="宋体"/>
          <w:lang w:eastAsia="zh-CN"/>
        </w:rPr>
      </w:pPr>
      <w:r>
        <w:rPr>
          <w:rFonts w:hint="eastAsia"/>
          <w:lang w:val="en-US" w:eastAsia="zh-CN"/>
        </w:rPr>
        <w:t>3、</w:t>
      </w:r>
      <w:r>
        <w:rPr>
          <w:rFonts w:hint="eastAsia"/>
        </w:rPr>
        <w:t>生产调度工作小组</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default" w:eastAsia="宋体"/>
          <w:lang w:val="en-US" w:eastAsia="zh-CN"/>
        </w:rPr>
      </w:pPr>
      <w:r>
        <w:rPr>
          <w:rFonts w:hint="eastAsia"/>
        </w:rPr>
        <w:t>组长：</w:t>
      </w:r>
      <w:r>
        <w:rPr>
          <w:rFonts w:hint="eastAsia" w:ascii="宋体" w:hAnsi="宋体" w:eastAsia="宋体" w:cs="宋体"/>
          <w:lang w:val="en-US" w:eastAsia="zh-CN"/>
        </w:rPr>
        <w:t>XXX</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eastAsia="宋体"/>
          <w:lang w:eastAsia="zh-CN"/>
        </w:rPr>
      </w:pPr>
      <w:r>
        <w:rPr>
          <w:rFonts w:hint="eastAsia"/>
        </w:rPr>
        <w:t>副组长：</w:t>
      </w:r>
      <w:r>
        <w:rPr>
          <w:rFonts w:hint="eastAsia" w:ascii="宋体" w:hAnsi="宋体" w:eastAsia="宋体" w:cs="宋体"/>
          <w:lang w:val="en-US" w:eastAsia="zh-CN"/>
        </w:rPr>
        <w:t>XXX</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default" w:eastAsia="宋体"/>
          <w:lang w:val="en-US" w:eastAsia="zh-CN"/>
        </w:rPr>
      </w:pPr>
      <w:r>
        <w:rPr>
          <w:rFonts w:hint="eastAsia"/>
        </w:rPr>
        <w:t>成员：</w:t>
      </w:r>
      <w:r>
        <w:rPr>
          <w:rFonts w:hint="eastAsia" w:ascii="宋体" w:hAnsi="宋体" w:eastAsia="宋体" w:cs="宋体"/>
          <w:lang w:val="en-US" w:eastAsia="zh-CN"/>
        </w:rPr>
        <w:t>XXX</w:t>
      </w:r>
      <w:r>
        <w:rPr>
          <w:rFonts w:hint="eastAsia"/>
        </w:rPr>
        <w:t>、</w:t>
      </w:r>
      <w:r>
        <w:rPr>
          <w:rFonts w:hint="eastAsia" w:ascii="宋体" w:hAnsi="宋体" w:eastAsia="宋体" w:cs="宋体"/>
          <w:lang w:val="en-US" w:eastAsia="zh-CN"/>
        </w:rPr>
        <w:t>XXX</w:t>
      </w:r>
      <w:r>
        <w:rPr>
          <w:rFonts w:hint="eastAsia"/>
        </w:rPr>
        <w:t>、</w:t>
      </w:r>
      <w:r>
        <w:rPr>
          <w:rFonts w:hint="eastAsia" w:ascii="宋体" w:hAnsi="宋体" w:eastAsia="宋体" w:cs="宋体"/>
          <w:lang w:val="en-US" w:eastAsia="zh-CN"/>
        </w:rPr>
        <w:t>XXX</w:t>
      </w:r>
      <w:r>
        <w:rPr>
          <w:rFonts w:hint="eastAsia"/>
        </w:rPr>
        <w:t>、</w:t>
      </w:r>
      <w:r>
        <w:rPr>
          <w:rFonts w:hint="eastAsia"/>
          <w:lang w:val="en-US" w:eastAsia="zh-CN"/>
        </w:rPr>
        <w:t>......</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eastAsia="宋体"/>
          <w:lang w:eastAsia="zh-CN"/>
        </w:rPr>
      </w:pPr>
      <w:r>
        <w:rPr>
          <w:rFonts w:hint="eastAsia"/>
        </w:rPr>
        <w:t>职责：</w:t>
      </w:r>
      <w:r>
        <w:rPr>
          <w:rFonts w:hint="eastAsia"/>
          <w:lang w:eastAsia="zh-CN"/>
        </w:rPr>
        <w:t>（</w:t>
      </w:r>
      <w:r>
        <w:rPr>
          <w:rFonts w:hint="eastAsia"/>
          <w:lang w:val="en-US" w:eastAsia="zh-CN"/>
        </w:rPr>
        <w:t>1</w:t>
      </w:r>
      <w:r>
        <w:rPr>
          <w:rFonts w:hint="eastAsia"/>
          <w:lang w:eastAsia="zh-CN"/>
        </w:rPr>
        <w:t>）</w:t>
      </w:r>
      <w:r>
        <w:rPr>
          <w:rFonts w:hint="eastAsia"/>
        </w:rPr>
        <w:t>负责班次的安排和调整；</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eastAsia="宋体"/>
          <w:lang w:eastAsia="zh-CN"/>
        </w:rPr>
      </w:pPr>
      <w:r>
        <w:rPr>
          <w:rFonts w:hint="eastAsia"/>
          <w:lang w:eastAsia="zh-CN"/>
        </w:rPr>
        <w:t>（</w:t>
      </w:r>
      <w:r>
        <w:rPr>
          <w:rFonts w:hint="eastAsia"/>
          <w:lang w:val="en-US" w:eastAsia="zh-CN"/>
        </w:rPr>
        <w:t>2</w:t>
      </w:r>
      <w:r>
        <w:rPr>
          <w:rFonts w:hint="eastAsia"/>
          <w:lang w:eastAsia="zh-CN"/>
        </w:rPr>
        <w:t>）</w:t>
      </w:r>
      <w:r>
        <w:rPr>
          <w:rFonts w:hint="eastAsia"/>
        </w:rPr>
        <w:t>与对方公司做好协调工作，并保持联系；</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eastAsia="宋体"/>
          <w:lang w:eastAsia="zh-CN"/>
        </w:rPr>
      </w:pPr>
      <w:r>
        <w:rPr>
          <w:rFonts w:hint="eastAsia"/>
          <w:lang w:eastAsia="zh-CN"/>
        </w:rPr>
        <w:t>（</w:t>
      </w:r>
      <w:r>
        <w:rPr>
          <w:rFonts w:hint="eastAsia"/>
          <w:lang w:val="en-US" w:eastAsia="zh-CN"/>
        </w:rPr>
        <w:t>3</w:t>
      </w:r>
      <w:r>
        <w:rPr>
          <w:rFonts w:hint="eastAsia"/>
          <w:lang w:eastAsia="zh-CN"/>
        </w:rPr>
        <w:t>）</w:t>
      </w:r>
      <w:r>
        <w:rPr>
          <w:rFonts w:hint="eastAsia"/>
        </w:rPr>
        <w:t>预案终止时，立即合理安排生产班次。</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eastAsia="宋体"/>
          <w:lang w:eastAsia="zh-CN"/>
        </w:rPr>
      </w:pPr>
      <w:r>
        <w:rPr>
          <w:rFonts w:hint="eastAsia"/>
          <w:lang w:val="en-US" w:eastAsia="zh-CN"/>
        </w:rPr>
        <w:t>3、</w:t>
      </w:r>
      <w:r>
        <w:rPr>
          <w:rFonts w:hint="eastAsia"/>
        </w:rPr>
        <w:t>应急预案启动期间，领导小组和各工作小组成员未经组长批准不得离岗，有特殊情况不能履行职责时，该成员职责由所在领导小组、工作小组安排人员递补。</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eastAsia="宋体"/>
          <w:lang w:eastAsia="zh-CN"/>
        </w:rPr>
      </w:pPr>
      <w:r>
        <w:rPr>
          <w:rFonts w:hint="eastAsia"/>
          <w:lang w:val="en-US" w:eastAsia="zh-CN"/>
        </w:rPr>
        <w:t>4、</w:t>
      </w:r>
      <w:r>
        <w:rPr>
          <w:rFonts w:hint="eastAsia"/>
        </w:rPr>
        <w:t>各工作组必须严格执行领导小组的决定和指令，遇情况发生变化时及时向上级汇报。</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lang w:val="en-US" w:eastAsia="zh-CN"/>
        </w:rPr>
        <w:t>5、</w:t>
      </w:r>
      <w:r>
        <w:rPr>
          <w:rFonts w:hint="eastAsia"/>
        </w:rPr>
        <w:t>供应方案</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lang w:eastAsia="zh-CN"/>
        </w:rPr>
        <w:t>（</w:t>
      </w:r>
      <w:r>
        <w:rPr>
          <w:rFonts w:hint="eastAsia"/>
          <w:lang w:val="en-US" w:eastAsia="zh-CN"/>
        </w:rPr>
        <w:t>1</w:t>
      </w:r>
      <w:r>
        <w:rPr>
          <w:rFonts w:hint="eastAsia"/>
          <w:lang w:eastAsia="zh-CN"/>
        </w:rPr>
        <w:t>）</w:t>
      </w:r>
      <w:r>
        <w:rPr>
          <w:rFonts w:hint="eastAsia"/>
        </w:rPr>
        <w:t>如遇恶劣天气影响配送工作时，应在最短的时间内向应急领导小组汇报情况。</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lang w:eastAsia="zh-CN"/>
        </w:rPr>
        <w:t>（</w:t>
      </w:r>
      <w:r>
        <w:rPr>
          <w:rFonts w:hint="eastAsia"/>
          <w:lang w:val="en-US" w:eastAsia="zh-CN"/>
        </w:rPr>
        <w:t>2</w:t>
      </w:r>
      <w:r>
        <w:rPr>
          <w:rFonts w:hint="eastAsia"/>
          <w:lang w:eastAsia="zh-CN"/>
        </w:rPr>
        <w:t>）</w:t>
      </w:r>
      <w:r>
        <w:rPr>
          <w:rFonts w:hint="eastAsia"/>
        </w:rPr>
        <w:t>接受应急运输任务后，运输车辆、人员必须整合待命，在规定时间内到达指定地点集合，必须由配送部主管亲自带队。</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lang w:eastAsia="zh-CN"/>
        </w:rPr>
        <w:t>（</w:t>
      </w:r>
      <w:r>
        <w:rPr>
          <w:rFonts w:hint="eastAsia"/>
          <w:lang w:val="en-US" w:eastAsia="zh-CN"/>
        </w:rPr>
        <w:t>3</w:t>
      </w:r>
      <w:r>
        <w:rPr>
          <w:rFonts w:hint="eastAsia"/>
          <w:lang w:eastAsia="zh-CN"/>
        </w:rPr>
        <w:t>）</w:t>
      </w:r>
      <w:r>
        <w:rPr>
          <w:rFonts w:hint="eastAsia"/>
        </w:rPr>
        <w:t>应急组长根据实际情况做出判断，如遇雾天，在能见度小于30米的情况下，应提前30-60分钟出发，在行车前应检查雾灯是否能够正常工作，若发生故障则立即更换车辆进行配送。由于能见度低，道路情况复杂，所以在行车过程中注意力保持高度集中，降低车速；并提前与客户沟通货物送达的预计时间，并且安排多人同时配送。</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lang w:eastAsia="zh-CN"/>
        </w:rPr>
        <w:t>（</w:t>
      </w:r>
      <w:r>
        <w:rPr>
          <w:rFonts w:hint="eastAsia"/>
          <w:lang w:val="en-US" w:eastAsia="zh-CN"/>
        </w:rPr>
        <w:t>4</w:t>
      </w:r>
      <w:r>
        <w:rPr>
          <w:rFonts w:hint="eastAsia"/>
          <w:lang w:eastAsia="zh-CN"/>
        </w:rPr>
        <w:t>）</w:t>
      </w:r>
      <w:r>
        <w:rPr>
          <w:rFonts w:hint="eastAsia"/>
        </w:rPr>
        <w:t>暴雨天气应提前做好各项准备工作，并从物流中心提前30-60分钟出发，降低配送行车途中的车速，提高警惕性，确保肥料安全</w:t>
      </w:r>
      <w:bookmarkStart w:id="439" w:name="_Hlk106721503"/>
      <w:r>
        <w:rPr>
          <w:rFonts w:hint="eastAsia"/>
        </w:rPr>
        <w:t>送达</w:t>
      </w:r>
      <w:bookmarkEnd w:id="439"/>
      <w:r>
        <w:rPr>
          <w:rFonts w:hint="eastAsia"/>
        </w:rPr>
        <w:t>采购人指定各村委会。</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lang w:eastAsia="zh-CN"/>
        </w:rPr>
        <w:t>（</w:t>
      </w:r>
      <w:r>
        <w:rPr>
          <w:rFonts w:hint="eastAsia"/>
          <w:lang w:val="en-US" w:eastAsia="zh-CN"/>
        </w:rPr>
        <w:t>5</w:t>
      </w:r>
      <w:r>
        <w:rPr>
          <w:rFonts w:hint="eastAsia"/>
          <w:lang w:eastAsia="zh-CN"/>
        </w:rPr>
        <w:t>）</w:t>
      </w:r>
      <w:r>
        <w:rPr>
          <w:rFonts w:hint="eastAsia"/>
        </w:rPr>
        <w:t>冰雪天气出发前做好各项准备工作，检查车辆轮胎，若不适合进行冰雪路面行车的，应对轮胎进行更换或换车，并从运输中心提前30-60分钟出发，降低配送行车途中的车速，在行车中不要采用紧急制动，以保证能安全将肥料送达采购人指定各村委会。</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lang w:eastAsia="zh-CN"/>
        </w:rPr>
        <w:t>（</w:t>
      </w:r>
      <w:r>
        <w:rPr>
          <w:rFonts w:hint="eastAsia"/>
          <w:lang w:val="en-US" w:eastAsia="zh-CN"/>
        </w:rPr>
        <w:t>6</w:t>
      </w:r>
      <w:r>
        <w:rPr>
          <w:rFonts w:hint="eastAsia"/>
          <w:lang w:eastAsia="zh-CN"/>
        </w:rPr>
        <w:t>）</w:t>
      </w:r>
      <w:r>
        <w:rPr>
          <w:rFonts w:hint="eastAsia"/>
        </w:rPr>
        <w:t>如送货途中遇特大自然灾害，配送人员在保证自身安全和妥善保管好货物，电话联系客户说明情况力求客户的谅解，争取延长配送时间。</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lang w:eastAsia="zh-CN"/>
        </w:rPr>
        <w:t>（</w:t>
      </w:r>
      <w:r>
        <w:rPr>
          <w:rFonts w:hint="eastAsia"/>
          <w:lang w:val="en-US" w:eastAsia="zh-CN"/>
        </w:rPr>
        <w:t>7</w:t>
      </w:r>
      <w:r>
        <w:rPr>
          <w:rFonts w:hint="eastAsia"/>
          <w:lang w:eastAsia="zh-CN"/>
        </w:rPr>
        <w:t>）</w:t>
      </w:r>
      <w:r>
        <w:rPr>
          <w:rFonts w:hint="eastAsia"/>
        </w:rPr>
        <w:t>执行应急运输任务时，运输车辆及参运驾驶人员要遵守交通应急预案有关规定，服从交通主管部门的统一调度、指挥、遇事主动请示、汇报，协调解决好各项工作事务。</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lang w:eastAsia="zh-CN"/>
        </w:rPr>
        <w:t>（</w:t>
      </w:r>
      <w:r>
        <w:rPr>
          <w:rFonts w:hint="eastAsia"/>
          <w:lang w:val="en-US" w:eastAsia="zh-CN"/>
        </w:rPr>
        <w:t>8</w:t>
      </w:r>
      <w:r>
        <w:rPr>
          <w:rFonts w:hint="eastAsia"/>
          <w:lang w:eastAsia="zh-CN"/>
        </w:rPr>
        <w:t>）</w:t>
      </w:r>
      <w:r>
        <w:rPr>
          <w:rFonts w:hint="eastAsia"/>
        </w:rPr>
        <w:t>配送中心负责人可拟定多条道路运输方案，应对突发性自然灾害保证有机肥的供应。</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lang w:val="en-US" w:eastAsia="zh-CN"/>
        </w:rPr>
        <w:t>6、</w:t>
      </w:r>
      <w:r>
        <w:rPr>
          <w:rFonts w:hint="eastAsia"/>
        </w:rPr>
        <w:t>保障措施</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lang w:eastAsia="zh-CN"/>
        </w:rPr>
        <w:t>（</w:t>
      </w:r>
      <w:r>
        <w:rPr>
          <w:rFonts w:hint="eastAsia"/>
          <w:lang w:val="en-US" w:eastAsia="zh-CN"/>
        </w:rPr>
        <w:t>1</w:t>
      </w:r>
      <w:r>
        <w:rPr>
          <w:rFonts w:hint="eastAsia"/>
          <w:lang w:eastAsia="zh-CN"/>
        </w:rPr>
        <w:t>）</w:t>
      </w:r>
      <w:r>
        <w:rPr>
          <w:rFonts w:hint="eastAsia"/>
        </w:rPr>
        <w:t>安全意识到位。组织所有配送人员开展安全培训，进一步强化安全意识，着重强调遇到恶劣天气时的安全行车注意事项，确保人员、车辆和货款的安全。</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lang w:eastAsia="zh-CN"/>
        </w:rPr>
        <w:t>（</w:t>
      </w:r>
      <w:r>
        <w:rPr>
          <w:rFonts w:hint="eastAsia"/>
          <w:lang w:val="en-US" w:eastAsia="zh-CN"/>
        </w:rPr>
        <w:t>2</w:t>
      </w:r>
      <w:r>
        <w:rPr>
          <w:rFonts w:hint="eastAsia"/>
          <w:lang w:eastAsia="zh-CN"/>
        </w:rPr>
        <w:t>）</w:t>
      </w:r>
      <w:r>
        <w:rPr>
          <w:rFonts w:hint="eastAsia"/>
        </w:rPr>
        <w:t>做好应急运输保障工作，在发生自然灾害如台风、洪水、地震等突发性事件时，要服从县级以上人民政府或者交通主管部门的统一调度、指挥。</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lang w:eastAsia="zh-CN"/>
        </w:rPr>
        <w:t>（</w:t>
      </w:r>
      <w:r>
        <w:rPr>
          <w:rFonts w:hint="eastAsia"/>
          <w:lang w:val="en-US" w:eastAsia="zh-CN"/>
        </w:rPr>
        <w:t>3</w:t>
      </w:r>
      <w:r>
        <w:rPr>
          <w:rFonts w:hint="eastAsia"/>
          <w:lang w:eastAsia="zh-CN"/>
        </w:rPr>
        <w:t>）</w:t>
      </w:r>
      <w:r>
        <w:rPr>
          <w:rFonts w:hint="eastAsia"/>
        </w:rPr>
        <w:t>遇有自然灾害，应立即在最短时间内逐级向交通主管部门报告（在异地遇有自然灾害、突发性事件的应同时向当地人民政府和交通主管部门报告）。</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lang w:eastAsia="zh-CN"/>
        </w:rPr>
        <w:t>（</w:t>
      </w:r>
      <w:r>
        <w:rPr>
          <w:rFonts w:hint="eastAsia"/>
          <w:lang w:val="en-US" w:eastAsia="zh-CN"/>
        </w:rPr>
        <w:t>4</w:t>
      </w:r>
      <w:r>
        <w:rPr>
          <w:rFonts w:hint="eastAsia"/>
          <w:lang w:eastAsia="zh-CN"/>
        </w:rPr>
        <w:t>）</w:t>
      </w:r>
      <w:r>
        <w:rPr>
          <w:rFonts w:hint="eastAsia"/>
        </w:rPr>
        <w:t>投入应急运输车辆使用年限不超过5年，并经检测合格的再用车；车辆运行单程在500公里以上配备2名驾驶员，每位驾驶员连续驾驶时间不超过3小时。</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eastAsia="宋体"/>
          <w:lang w:eastAsia="zh-CN"/>
        </w:rPr>
      </w:pPr>
      <w:r>
        <w:rPr>
          <w:rFonts w:hint="eastAsia"/>
          <w:lang w:eastAsia="zh-CN"/>
        </w:rPr>
        <w:t>（</w:t>
      </w:r>
      <w:r>
        <w:rPr>
          <w:rFonts w:hint="eastAsia"/>
          <w:lang w:val="en-US" w:eastAsia="zh-CN"/>
        </w:rPr>
        <w:t>5</w:t>
      </w:r>
      <w:r>
        <w:rPr>
          <w:rFonts w:hint="eastAsia"/>
          <w:lang w:eastAsia="zh-CN"/>
        </w:rPr>
        <w:t>）</w:t>
      </w:r>
      <w:r>
        <w:rPr>
          <w:rFonts w:hint="eastAsia"/>
        </w:rPr>
        <w:t>参运应急人员年龄在</w:t>
      </w:r>
      <w:r>
        <w:t>20</w:t>
      </w:r>
      <w:r>
        <w:rPr>
          <w:rFonts w:hint="eastAsia"/>
        </w:rPr>
        <w:t>至</w:t>
      </w:r>
      <w:r>
        <w:t>50</w:t>
      </w:r>
      <w:r>
        <w:rPr>
          <w:rFonts w:hint="eastAsia"/>
        </w:rPr>
        <w:t>岁之间，符合道路运输经营条件的驾驶人员，且技术过硬、作风正派、身体健康。</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eastAsia="宋体"/>
          <w:lang w:eastAsia="zh-CN"/>
        </w:rPr>
      </w:pPr>
      <w:r>
        <w:rPr>
          <w:rFonts w:hint="eastAsia"/>
          <w:lang w:eastAsia="zh-CN"/>
        </w:rPr>
        <w:t>（</w:t>
      </w:r>
      <w:r>
        <w:rPr>
          <w:rFonts w:hint="eastAsia"/>
          <w:lang w:val="en-US" w:eastAsia="zh-CN"/>
        </w:rPr>
        <w:t>6</w:t>
      </w:r>
      <w:r>
        <w:rPr>
          <w:rFonts w:hint="eastAsia"/>
          <w:lang w:eastAsia="zh-CN"/>
        </w:rPr>
        <w:t>）</w:t>
      </w:r>
      <w:r>
        <w:rPr>
          <w:rFonts w:hint="eastAsia"/>
        </w:rPr>
        <w:t>接受应急运输任务后，运输车辆、人员必须整合待命，在规定时间内到达指定地点集合，且必须由道路运输经营者亲自带队。</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eastAsia="宋体"/>
          <w:lang w:eastAsia="zh-CN"/>
        </w:rPr>
      </w:pPr>
      <w:r>
        <w:rPr>
          <w:rFonts w:hint="eastAsia"/>
          <w:lang w:eastAsia="zh-CN"/>
        </w:rPr>
        <w:t>（</w:t>
      </w:r>
      <w:r>
        <w:rPr>
          <w:rFonts w:hint="eastAsia"/>
          <w:lang w:val="en-US" w:eastAsia="zh-CN"/>
        </w:rPr>
        <w:t>7</w:t>
      </w:r>
      <w:r>
        <w:rPr>
          <w:rFonts w:hint="eastAsia"/>
          <w:lang w:eastAsia="zh-CN"/>
        </w:rPr>
        <w:t>）</w:t>
      </w:r>
      <w:r>
        <w:rPr>
          <w:rFonts w:hint="eastAsia"/>
        </w:rPr>
        <w:t>执行应急运输任务时，运输车辆及参运驾驶人员要遵守应急预案的有关规定，服从交通主管部门的统一调度、指挥，遇事主动请示、汇报，协调解决好各项工作事务。</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lang w:eastAsia="zh-CN"/>
        </w:rPr>
        <w:t>（</w:t>
      </w:r>
      <w:r>
        <w:rPr>
          <w:rFonts w:hint="eastAsia"/>
          <w:lang w:val="en-US" w:eastAsia="zh-CN"/>
        </w:rPr>
        <w:t>8</w:t>
      </w:r>
      <w:r>
        <w:rPr>
          <w:rFonts w:hint="eastAsia"/>
          <w:lang w:eastAsia="zh-CN"/>
        </w:rPr>
        <w:t>）</w:t>
      </w:r>
      <w:r>
        <w:rPr>
          <w:rFonts w:hint="eastAsia"/>
        </w:rPr>
        <w:t>配给中心做好道路运输保障工作，确定多条道路运输方案，应对突发性自然灾害保证</w:t>
      </w:r>
      <w:r>
        <w:rPr>
          <w:rFonts w:hint="eastAsia"/>
          <w:lang w:eastAsia="zh-CN"/>
        </w:rPr>
        <w:t>XXX生物有机肥采购项目</w:t>
      </w:r>
      <w:r>
        <w:t>有机肥采购</w:t>
      </w:r>
      <w:r>
        <w:rPr>
          <w:rFonts w:hint="eastAsia"/>
        </w:rPr>
        <w:t>供应。</w:t>
      </w:r>
    </w:p>
    <w:p>
      <w:pPr>
        <w:widowControl/>
        <w:spacing w:before="0" w:after="0" w:line="240" w:lineRule="auto"/>
        <w:ind w:firstLine="0" w:firstLineChars="0"/>
        <w:jc w:val="left"/>
      </w:pPr>
      <w:r>
        <w:br w:type="page"/>
      </w:r>
    </w:p>
    <w:p>
      <w:pPr>
        <w:pStyle w:val="6"/>
        <w:bidi w:val="0"/>
      </w:pPr>
      <w:bookmarkStart w:id="440" w:name="_Toc117181947"/>
      <w:bookmarkStart w:id="441" w:name="_Toc116121441"/>
      <w:bookmarkStart w:id="442" w:name="_Toc118293260"/>
      <w:bookmarkStart w:id="443" w:name="_Toc107845174"/>
      <w:bookmarkStart w:id="444" w:name="_Toc105600306"/>
      <w:bookmarkStart w:id="445" w:name="_Toc9988"/>
      <w:r>
        <w:rPr>
          <w:rFonts w:hint="eastAsia"/>
          <w:lang w:val="en-US" w:eastAsia="zh-CN"/>
        </w:rPr>
        <w:t>（九）</w:t>
      </w:r>
      <w:r>
        <w:rPr>
          <w:rFonts w:hint="eastAsia"/>
        </w:rPr>
        <w:t>运输过程中的应急预案</w:t>
      </w:r>
      <w:bookmarkEnd w:id="440"/>
      <w:bookmarkEnd w:id="441"/>
      <w:bookmarkEnd w:id="442"/>
      <w:bookmarkEnd w:id="443"/>
      <w:bookmarkEnd w:id="444"/>
      <w:bookmarkEnd w:id="445"/>
    </w:p>
    <w:p>
      <w:pPr>
        <w:ind w:firstLine="480"/>
      </w:pPr>
      <w:r>
        <w:rPr>
          <w:rFonts w:hint="eastAsia"/>
        </w:rPr>
        <w:t>为了确保有效应急处置可能发生的突发事件（如：火灾、水灾、地震、传染疾病、战争、恐怖、群体性活动安全、自然灾害等），保障生命安全、减少损失，维护贵部安全稳定，特制定本方案。</w:t>
      </w:r>
    </w:p>
    <w:p>
      <w:pPr>
        <w:ind w:firstLine="482"/>
        <w:rPr>
          <w:rFonts w:hint="eastAsia" w:eastAsia="宋体"/>
          <w:lang w:eastAsia="zh-CN"/>
        </w:rPr>
      </w:pPr>
      <w:r>
        <w:rPr>
          <w:rFonts w:hint="eastAsia"/>
          <w:b/>
          <w:bCs/>
        </w:rPr>
        <w:t>（</w:t>
      </w:r>
      <w:r>
        <w:rPr>
          <w:rFonts w:hint="eastAsia"/>
          <w:b/>
          <w:bCs/>
          <w:lang w:val="en-US" w:eastAsia="zh-CN"/>
        </w:rPr>
        <w:t>一</w:t>
      </w:r>
      <w:r>
        <w:rPr>
          <w:rFonts w:hint="eastAsia"/>
          <w:b/>
          <w:bCs/>
        </w:rPr>
        <w:t>）工作原则</w:t>
      </w:r>
    </w:p>
    <w:p>
      <w:pPr>
        <w:ind w:firstLine="480"/>
      </w:pPr>
      <w:r>
        <w:rPr>
          <w:rFonts w:hint="eastAsia"/>
        </w:rPr>
        <w:t>1</w:t>
      </w:r>
      <w:r>
        <w:rPr>
          <w:rFonts w:hint="eastAsia"/>
          <w:lang w:eastAsia="zh-CN"/>
        </w:rPr>
        <w:t>、</w:t>
      </w:r>
      <w:r>
        <w:rPr>
          <w:rFonts w:hint="eastAsia"/>
        </w:rPr>
        <w:t>以保证客户利益为根本原则，确保费用降低和交付及时。</w:t>
      </w:r>
    </w:p>
    <w:p>
      <w:pPr>
        <w:ind w:firstLine="480"/>
        <w:rPr>
          <w:rFonts w:hint="eastAsia" w:eastAsia="宋体"/>
          <w:lang w:eastAsia="zh-CN"/>
        </w:rPr>
      </w:pPr>
      <w:r>
        <w:t>2</w:t>
      </w:r>
      <w:r>
        <w:rPr>
          <w:rFonts w:hint="eastAsia"/>
          <w:lang w:eastAsia="zh-CN"/>
        </w:rPr>
        <w:t>、</w:t>
      </w:r>
      <w:r>
        <w:rPr>
          <w:rFonts w:hint="eastAsia"/>
        </w:rPr>
        <w:t>各个部门密切配合，分工协作，各司其职，各尽其责。</w:t>
      </w:r>
    </w:p>
    <w:p>
      <w:pPr>
        <w:ind w:firstLine="480"/>
      </w:pPr>
      <w:r>
        <w:rPr>
          <w:rFonts w:hint="eastAsia"/>
        </w:rPr>
        <w:t>3</w:t>
      </w:r>
      <w:r>
        <w:rPr>
          <w:rFonts w:hint="eastAsia"/>
          <w:lang w:eastAsia="zh-CN"/>
        </w:rPr>
        <w:t>、</w:t>
      </w:r>
      <w:r>
        <w:rPr>
          <w:rFonts w:hint="eastAsia"/>
        </w:rPr>
        <w:t>整合、调度所有配送资源，充分发挥集中配送的的核心作用。</w:t>
      </w:r>
    </w:p>
    <w:p>
      <w:pPr>
        <w:ind w:firstLine="482"/>
        <w:rPr>
          <w:rFonts w:hint="eastAsia" w:eastAsia="宋体"/>
          <w:b/>
          <w:bCs/>
          <w:lang w:eastAsia="zh-CN"/>
        </w:rPr>
      </w:pPr>
      <w:r>
        <w:rPr>
          <w:rFonts w:hint="eastAsia"/>
          <w:b/>
          <w:bCs/>
        </w:rPr>
        <w:t>（</w:t>
      </w:r>
      <w:r>
        <w:rPr>
          <w:rFonts w:hint="eastAsia"/>
          <w:b/>
          <w:bCs/>
          <w:lang w:val="en-US" w:eastAsia="zh-CN"/>
        </w:rPr>
        <w:t>二</w:t>
      </w:r>
      <w:r>
        <w:rPr>
          <w:rFonts w:hint="eastAsia"/>
          <w:b/>
          <w:bCs/>
        </w:rPr>
        <w:t>）组织指挥体系及职责</w:t>
      </w:r>
    </w:p>
    <w:p>
      <w:pPr>
        <w:ind w:firstLine="480"/>
        <w:rPr>
          <w:rFonts w:hint="eastAsia" w:eastAsia="宋体"/>
          <w:lang w:eastAsia="zh-CN"/>
        </w:rPr>
      </w:pPr>
      <w:r>
        <w:t>1</w:t>
      </w:r>
      <w:r>
        <w:rPr>
          <w:rFonts w:hint="eastAsia"/>
          <w:lang w:eastAsia="zh-CN"/>
        </w:rPr>
        <w:t>、</w:t>
      </w:r>
      <w:r>
        <w:rPr>
          <w:rFonts w:hint="eastAsia"/>
        </w:rPr>
        <w:t>指挥小组组成成立集中配送突发事件应急指挥小组（以下简称“指挥小组”）。应急小组由组长、副组长、成员组成。</w:t>
      </w:r>
    </w:p>
    <w:p>
      <w:pPr>
        <w:ind w:firstLine="480"/>
        <w:rPr>
          <w:rFonts w:hint="eastAsia" w:eastAsia="宋体"/>
          <w:lang w:eastAsia="zh-CN"/>
        </w:rPr>
      </w:pPr>
      <w:r>
        <w:t>2</w:t>
      </w:r>
      <w:r>
        <w:rPr>
          <w:rFonts w:hint="eastAsia"/>
          <w:lang w:eastAsia="zh-CN"/>
        </w:rPr>
        <w:t>、</w:t>
      </w:r>
      <w:r>
        <w:rPr>
          <w:rFonts w:hint="eastAsia"/>
        </w:rPr>
        <w:t>指挥小组主要职责</w:t>
      </w:r>
    </w:p>
    <w:p>
      <w:pPr>
        <w:ind w:firstLine="480"/>
      </w:pPr>
      <w:r>
        <w:rPr>
          <w:rFonts w:hint="eastAsia"/>
        </w:rPr>
        <w:t>负责指挥、协调和组织公司肥料运输过程中突发事件应急工作；及时了解公司业务部门资源调度情况，并提出应急措施建议；安排部署应积极补救工作。</w:t>
      </w:r>
    </w:p>
    <w:p>
      <w:pPr>
        <w:ind w:firstLine="480"/>
        <w:rPr>
          <w:rFonts w:hint="eastAsia" w:eastAsia="宋体"/>
          <w:lang w:eastAsia="zh-CN"/>
        </w:rPr>
      </w:pPr>
      <w:r>
        <w:t>3</w:t>
      </w:r>
      <w:r>
        <w:rPr>
          <w:rFonts w:hint="eastAsia"/>
          <w:lang w:eastAsia="zh-CN"/>
        </w:rPr>
        <w:t>、</w:t>
      </w:r>
      <w:r>
        <w:rPr>
          <w:rFonts w:hint="eastAsia"/>
        </w:rPr>
        <w:t>各成员部门职责</w:t>
      </w:r>
    </w:p>
    <w:p>
      <w:pPr>
        <w:ind w:firstLine="480"/>
        <w:rPr>
          <w:rFonts w:hint="eastAsia" w:eastAsia="宋体"/>
          <w:lang w:eastAsia="zh-CN"/>
        </w:rPr>
      </w:pPr>
      <w:r>
        <w:rPr>
          <w:rFonts w:hint="eastAsia"/>
        </w:rPr>
        <w:t>仓储运输部：负责物资和车辆的应急调度；突发事件原因分析，落实责任，以及避免此类事故的纠正措施。</w:t>
      </w:r>
    </w:p>
    <w:p>
      <w:pPr>
        <w:ind w:firstLine="480"/>
      </w:pPr>
      <w:r>
        <w:rPr>
          <w:rFonts w:hint="eastAsia"/>
        </w:rPr>
        <w:t>财务部：负责应急费用的审批，以及对责任单位或个人的考核。</w:t>
      </w:r>
    </w:p>
    <w:p>
      <w:pPr>
        <w:ind w:firstLine="480"/>
        <w:rPr>
          <w:rFonts w:hint="eastAsia" w:eastAsia="宋体"/>
          <w:lang w:eastAsia="zh-CN"/>
        </w:rPr>
      </w:pPr>
      <w:r>
        <w:rPr>
          <w:rFonts w:hint="eastAsia"/>
        </w:rPr>
        <w:t>供应链管理部：负责应急系统信息处理，系统纠错及预警设计以及供应链的提升。</w:t>
      </w:r>
    </w:p>
    <w:p>
      <w:pPr>
        <w:ind w:firstLine="480"/>
      </w:pPr>
      <w:r>
        <w:rPr>
          <w:rFonts w:hint="eastAsia"/>
        </w:rPr>
        <w:t>综合管理部：负责应急的后勤准备及服务等。</w:t>
      </w:r>
    </w:p>
    <w:p>
      <w:pPr>
        <w:ind w:firstLine="482"/>
        <w:rPr>
          <w:rFonts w:hint="eastAsia" w:eastAsia="宋体"/>
          <w:b/>
          <w:bCs/>
          <w:lang w:eastAsia="zh-CN"/>
        </w:rPr>
      </w:pPr>
      <w:r>
        <w:rPr>
          <w:rFonts w:hint="eastAsia"/>
          <w:b/>
          <w:bCs/>
        </w:rPr>
        <w:t>（</w:t>
      </w:r>
      <w:r>
        <w:rPr>
          <w:rFonts w:hint="eastAsia"/>
          <w:b/>
          <w:bCs/>
          <w:lang w:val="en-US" w:eastAsia="zh-CN"/>
        </w:rPr>
        <w:t>三</w:t>
      </w:r>
      <w:r>
        <w:rPr>
          <w:rFonts w:hint="eastAsia"/>
          <w:b/>
          <w:bCs/>
        </w:rPr>
        <w:t>）应急响应</w:t>
      </w:r>
    </w:p>
    <w:p>
      <w:pPr>
        <w:ind w:firstLine="480"/>
        <w:rPr>
          <w:rFonts w:hint="eastAsia" w:eastAsia="宋体"/>
          <w:lang w:eastAsia="zh-CN"/>
        </w:rPr>
      </w:pPr>
      <w:r>
        <w:t>1</w:t>
      </w:r>
      <w:r>
        <w:rPr>
          <w:rFonts w:hint="eastAsia"/>
          <w:lang w:eastAsia="zh-CN"/>
        </w:rPr>
        <w:t>、</w:t>
      </w:r>
      <w:r>
        <w:rPr>
          <w:rFonts w:hint="eastAsia"/>
        </w:rPr>
        <w:t>响应程序</w:t>
      </w:r>
    </w:p>
    <w:p>
      <w:pPr>
        <w:ind w:firstLine="480"/>
        <w:rPr>
          <w:rFonts w:hint="eastAsia" w:eastAsia="宋体"/>
          <w:lang w:eastAsia="zh-CN"/>
        </w:rPr>
      </w:pPr>
      <w:r>
        <w:rPr>
          <w:rFonts w:hint="eastAsia"/>
        </w:rPr>
        <w:t>指挥小组接到突发事件报告后，应立即启动本预案。各成员单位按照指挥小组的统一部署和各自职责，做好相应的应急响应工作。指挥小组办公室根据具体情况，确定和适时调整队伍，对突发事件进行应急处理。</w:t>
      </w:r>
    </w:p>
    <w:p>
      <w:pPr>
        <w:ind w:firstLine="480"/>
        <w:rPr>
          <w:rFonts w:hint="eastAsia" w:eastAsia="宋体"/>
          <w:lang w:eastAsia="zh-CN"/>
        </w:rPr>
      </w:pPr>
      <w:r>
        <w:t>2</w:t>
      </w:r>
      <w:r>
        <w:rPr>
          <w:rFonts w:hint="eastAsia"/>
          <w:lang w:eastAsia="zh-CN"/>
        </w:rPr>
        <w:t>、</w:t>
      </w:r>
      <w:r>
        <w:rPr>
          <w:rFonts w:hint="eastAsia"/>
        </w:rPr>
        <w:t>应急通讯</w:t>
      </w:r>
    </w:p>
    <w:p>
      <w:pPr>
        <w:ind w:firstLine="480"/>
        <w:rPr>
          <w:rFonts w:hint="eastAsia" w:eastAsia="宋体"/>
          <w:lang w:eastAsia="zh-CN"/>
        </w:rPr>
      </w:pPr>
      <w:r>
        <w:rPr>
          <w:rFonts w:hint="eastAsia"/>
        </w:rPr>
        <w:t>指挥小组成员应当保证</w:t>
      </w:r>
      <w:r>
        <w:t>24</w:t>
      </w:r>
      <w:r>
        <w:rPr>
          <w:rFonts w:hint="eastAsia"/>
        </w:rPr>
        <w:t>小时通讯畅通，并将手机、值班电话指挥小组办公室报告。</w:t>
      </w:r>
    </w:p>
    <w:p>
      <w:pPr>
        <w:ind w:firstLine="480"/>
      </w:pPr>
      <w:r>
        <w:rPr>
          <w:rFonts w:hint="eastAsia"/>
          <w:lang w:val="en-US" w:eastAsia="zh-CN"/>
        </w:rPr>
        <w:t>3、</w:t>
      </w:r>
      <w:r>
        <w:rPr>
          <w:rFonts w:hint="eastAsia"/>
        </w:rPr>
        <w:t>应急供货</w:t>
      </w:r>
    </w:p>
    <w:p>
      <w:pPr>
        <w:ind w:firstLine="480"/>
      </w:pPr>
      <w:r>
        <w:rPr>
          <w:rFonts w:hint="eastAsia"/>
        </w:rPr>
        <w:t>本公司生产车间及收发货均安排24小时上班，如贵项目发生项目急需供货的情况，我公司可安排相关人员在洽商好的时间内将急需的货物送到需方指定地点。并且保证不收取任何费用。</w:t>
      </w:r>
    </w:p>
    <w:p>
      <w:pPr>
        <w:ind w:firstLine="480"/>
      </w:pPr>
      <w:r>
        <w:rPr>
          <w:rFonts w:hint="eastAsia"/>
          <w:lang w:val="en-US" w:eastAsia="zh-CN"/>
        </w:rPr>
        <w:t>4、</w:t>
      </w:r>
      <w:r>
        <w:rPr>
          <w:rFonts w:hint="eastAsia"/>
        </w:rPr>
        <w:t>道路运输突发事件处理流程</w:t>
      </w:r>
    </w:p>
    <w:p>
      <w:pPr>
        <w:pStyle w:val="52"/>
      </w:pPr>
      <w:r>
        <w:rPr>
          <w:rFonts w:hint="eastAsia"/>
        </w:rPr>
        <w:t>车辆故障突发事件处理流程图</w:t>
      </w:r>
    </w:p>
    <w:p>
      <w:pPr>
        <w:pStyle w:val="52"/>
      </w:pPr>
      <w:r>
        <w:drawing>
          <wp:inline distT="0" distB="0" distL="0" distR="0">
            <wp:extent cx="5278120" cy="1405255"/>
            <wp:effectExtent l="0" t="0" r="17780" b="4445"/>
            <wp:docPr id="501" name="图片 50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501" descr="图示&#10;&#10;描述已自动生成"/>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78120" cy="1405255"/>
                    </a:xfrm>
                    <a:prstGeom prst="rect">
                      <a:avLst/>
                    </a:prstGeom>
                    <a:noFill/>
                    <a:ln>
                      <a:noFill/>
                    </a:ln>
                  </pic:spPr>
                </pic:pic>
              </a:graphicData>
            </a:graphic>
          </wp:inline>
        </w:drawing>
      </w:r>
    </w:p>
    <w:p>
      <w:pPr>
        <w:pStyle w:val="52"/>
      </w:pPr>
      <w:r>
        <w:rPr>
          <w:rFonts w:hint="eastAsia"/>
        </w:rPr>
        <w:t>道路问题突发事件处理流程图</w:t>
      </w:r>
    </w:p>
    <w:p>
      <w:pPr>
        <w:pStyle w:val="52"/>
      </w:pPr>
      <w:r>
        <w:drawing>
          <wp:inline distT="0" distB="0" distL="0" distR="0">
            <wp:extent cx="5274310" cy="3242945"/>
            <wp:effectExtent l="57150" t="57150" r="59690" b="52705"/>
            <wp:docPr id="502" name="图示 5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pPr>
        <w:pStyle w:val="52"/>
      </w:pPr>
      <w:r>
        <w:rPr>
          <w:rFonts w:hint="eastAsia"/>
        </w:rPr>
        <w:t>交通事故突发事件处理流程图</w:t>
      </w:r>
    </w:p>
    <w:p>
      <w:pPr>
        <w:pStyle w:val="52"/>
      </w:pPr>
      <w:r>
        <w:drawing>
          <wp:inline distT="0" distB="0" distL="0" distR="0">
            <wp:extent cx="5278120" cy="1405255"/>
            <wp:effectExtent l="0" t="0" r="17780" b="4445"/>
            <wp:docPr id="503" name="图片 50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503" descr="图示&#10;&#10;描述已自动生成"/>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78120" cy="1405255"/>
                    </a:xfrm>
                    <a:prstGeom prst="rect">
                      <a:avLst/>
                    </a:prstGeom>
                    <a:noFill/>
                    <a:ln>
                      <a:noFill/>
                    </a:ln>
                  </pic:spPr>
                </pic:pic>
              </a:graphicData>
            </a:graphic>
          </wp:inline>
        </w:drawing>
      </w:r>
    </w:p>
    <w:p>
      <w:pPr>
        <w:rPr>
          <w:rFonts w:hint="eastAsia"/>
        </w:rPr>
      </w:pPr>
      <w:r>
        <w:rPr>
          <w:rFonts w:hint="eastAsia"/>
        </w:rPr>
        <w:br w:type="page"/>
      </w:r>
    </w:p>
    <w:p>
      <w:pPr>
        <w:pStyle w:val="52"/>
        <w:rPr>
          <w:rFonts w:hint="eastAsia"/>
        </w:rPr>
      </w:pPr>
      <w:r>
        <w:rPr>
          <w:rFonts w:hint="eastAsia"/>
        </w:rPr>
        <w:t>综合应急处理流程图</w:t>
      </w:r>
    </w:p>
    <w:p>
      <w:pPr>
        <w:pStyle w:val="52"/>
      </w:pPr>
      <w:r>
        <w:drawing>
          <wp:inline distT="0" distB="0" distL="0" distR="0">
            <wp:extent cx="5278120" cy="7157085"/>
            <wp:effectExtent l="0" t="0" r="17780" b="5715"/>
            <wp:docPr id="6007" name="图片 600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7" name="图片 6007" descr="图示&#10;&#10;描述已自动生成"/>
                    <pic:cNvPicPr>
                      <a:picLocks noChangeAspect="1"/>
                    </pic:cNvPicPr>
                  </pic:nvPicPr>
                  <pic:blipFill>
                    <a:blip r:embed="rId39"/>
                    <a:stretch>
                      <a:fillRect/>
                    </a:stretch>
                  </pic:blipFill>
                  <pic:spPr>
                    <a:xfrm>
                      <a:off x="0" y="0"/>
                      <a:ext cx="5278120" cy="7157085"/>
                    </a:xfrm>
                    <a:prstGeom prst="rect">
                      <a:avLst/>
                    </a:prstGeom>
                  </pic:spPr>
                </pic:pic>
              </a:graphicData>
            </a:graphic>
          </wp:inline>
        </w:drawing>
      </w:r>
    </w:p>
    <w:p>
      <w:pPr>
        <w:spacing w:before="0" w:after="0" w:line="240" w:lineRule="auto"/>
        <w:ind w:firstLine="0" w:firstLineChars="0"/>
        <w:jc w:val="left"/>
      </w:pPr>
      <w:r>
        <w:br w:type="page"/>
      </w:r>
    </w:p>
    <w:p>
      <w:pPr>
        <w:pStyle w:val="6"/>
        <w:bidi w:val="0"/>
      </w:pPr>
      <w:bookmarkStart w:id="446" w:name="_Toc116121442"/>
      <w:bookmarkStart w:id="447" w:name="_Toc107845175"/>
      <w:bookmarkStart w:id="448" w:name="_Toc117181948"/>
      <w:bookmarkStart w:id="449" w:name="_Toc105600307"/>
      <w:bookmarkStart w:id="450" w:name="_Toc5033"/>
      <w:bookmarkStart w:id="451" w:name="_Toc118293261"/>
      <w:r>
        <w:rPr>
          <w:rFonts w:hint="eastAsia"/>
          <w:lang w:val="en-US" w:eastAsia="zh-CN"/>
        </w:rPr>
        <w:t>（十）</w:t>
      </w:r>
      <w:r>
        <w:rPr>
          <w:rFonts w:hint="eastAsia"/>
        </w:rPr>
        <w:t>配送人员及配送车辆安排</w:t>
      </w:r>
      <w:bookmarkEnd w:id="446"/>
      <w:bookmarkEnd w:id="447"/>
      <w:bookmarkEnd w:id="448"/>
      <w:bookmarkEnd w:id="449"/>
      <w:bookmarkEnd w:id="450"/>
      <w:bookmarkEnd w:id="451"/>
    </w:p>
    <w:p>
      <w:pPr>
        <w:ind w:firstLine="480"/>
      </w:pPr>
      <w:r>
        <w:rPr>
          <w:rFonts w:hint="eastAsia"/>
        </w:rPr>
        <w:t>针对本次项目，我公司认为必须有良好的组织结构保障才能确保本项目的顺利实施。</w:t>
      </w:r>
    </w:p>
    <w:p>
      <w:pPr>
        <w:ind w:firstLine="480"/>
      </w:pPr>
      <w:r>
        <w:rPr>
          <w:rFonts w:hint="eastAsia"/>
        </w:rPr>
        <w:t>我公司提出和项目单位一起组建适于本项工程系统平台实施和管理的组织和领导机构。</w:t>
      </w:r>
    </w:p>
    <w:p>
      <w:pPr>
        <w:ind w:firstLine="480"/>
      </w:pPr>
      <w:r>
        <w:rPr>
          <w:rFonts w:hint="eastAsia"/>
          <w:lang w:eastAsia="zh-CN"/>
        </w:rPr>
        <w:t>（</w:t>
      </w:r>
      <w:r>
        <w:rPr>
          <w:rFonts w:hint="eastAsia"/>
          <w:lang w:val="en-US" w:eastAsia="zh-CN"/>
        </w:rPr>
        <w:t>一</w:t>
      </w:r>
      <w:r>
        <w:rPr>
          <w:rFonts w:hint="eastAsia"/>
          <w:lang w:eastAsia="zh-CN"/>
        </w:rPr>
        <w:t>）</w:t>
      </w:r>
      <w:r>
        <w:rPr>
          <w:rFonts w:hint="eastAsia"/>
        </w:rPr>
        <w:t>本项目组织机构如下图：</w:t>
      </w:r>
    </w:p>
    <w:p>
      <w:pPr>
        <w:pStyle w:val="52"/>
      </w:pPr>
      <w:r>
        <w:drawing>
          <wp:inline distT="0" distB="0" distL="0" distR="0">
            <wp:extent cx="5278120" cy="2707005"/>
            <wp:effectExtent l="38100" t="0" r="17780" b="0"/>
            <wp:docPr id="43026" name="图示 430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pPr>
        <w:ind w:firstLine="480"/>
      </w:pPr>
      <w:r>
        <w:rPr>
          <w:rFonts w:hint="eastAsia"/>
          <w:lang w:val="en-US" w:eastAsia="zh-CN"/>
        </w:rPr>
        <w:t>1、</w:t>
      </w:r>
      <w:r>
        <w:rPr>
          <w:rFonts w:hint="eastAsia"/>
        </w:rPr>
        <w:t>我公司将根据本次有机肥采购计划各供货点的运送量，特制定详细的供货进度计划及运输车辆、跟车人员的相关安排，确保本次供货能够准确快速的完成。</w:t>
      </w:r>
    </w:p>
    <w:p>
      <w:pPr>
        <w:ind w:firstLine="480"/>
      </w:pPr>
      <w:r>
        <w:rPr>
          <w:rFonts w:hint="eastAsia"/>
          <w:lang w:val="en-US" w:eastAsia="zh-CN"/>
        </w:rPr>
        <w:t>2、</w:t>
      </w:r>
      <w:r>
        <w:rPr>
          <w:rFonts w:hint="eastAsia"/>
        </w:rPr>
        <w:t>我公司目前与多家物流公司均建立有良好的合作关系，可全天候调运车辆，可充分保证客户的需要。一般情况下24小时内可将货物送到客户指定的地点。</w:t>
      </w:r>
    </w:p>
    <w:p>
      <w:pPr>
        <w:ind w:firstLine="480"/>
      </w:pPr>
      <w:r>
        <w:rPr>
          <w:rFonts w:hint="eastAsia"/>
          <w:lang w:eastAsia="zh-CN"/>
        </w:rPr>
        <w:t>（</w:t>
      </w:r>
      <w:r>
        <w:rPr>
          <w:rFonts w:hint="eastAsia"/>
          <w:lang w:val="en-US" w:eastAsia="zh-CN"/>
        </w:rPr>
        <w:t>二</w:t>
      </w:r>
      <w:r>
        <w:rPr>
          <w:rFonts w:hint="eastAsia"/>
          <w:lang w:eastAsia="zh-CN"/>
        </w:rPr>
        <w:t>）</w:t>
      </w:r>
      <w:r>
        <w:rPr>
          <w:rFonts w:hint="eastAsia"/>
        </w:rPr>
        <w:t>完善的配送交接流程</w:t>
      </w:r>
    </w:p>
    <w:p>
      <w:pPr>
        <w:ind w:firstLine="480"/>
      </w:pPr>
      <w:r>
        <w:rPr>
          <w:rFonts w:hint="eastAsia"/>
        </w:rPr>
        <w:t>由技术支持小组、实施小组和项目单位技术人员共同对实施方案的技术细节进行分析、探讨和引证，并确认供货计划方案。</w:t>
      </w:r>
    </w:p>
    <w:p>
      <w:pPr>
        <w:ind w:firstLine="480"/>
      </w:pPr>
      <w:r>
        <w:rPr>
          <w:rFonts w:hint="eastAsia"/>
        </w:rPr>
        <w:t>完成实施方案的设计和编写工作后，我公司将对各实施小组等人员进行内部培训，务求参加项目的有关人员都能了解、熟悉详细的路线、方案设计的详细内容、实施的具体任务，以保证货物如期交付。我公司将根据本次有机肥采购计划各供货点的运送量，来制定详细的供货进度计划及运输车辆、跟车人员的相关安排，确保本次供货能够准确快速的完成。技术支持小组同时制订一份具体的《项目实施进度计划》，计划应包含各项内容及要求、装卸责任人、进度控制等等。</w:t>
      </w:r>
    </w:p>
    <w:p>
      <w:pPr>
        <w:rPr>
          <w:rFonts w:hint="eastAsia"/>
          <w:lang w:val="en-US" w:eastAsia="zh-CN"/>
        </w:rPr>
      </w:pPr>
      <w:bookmarkStart w:id="452" w:name="_Toc116400100"/>
      <w:bookmarkStart w:id="453" w:name="_Toc117181949"/>
      <w:bookmarkStart w:id="454" w:name="_Toc118293262"/>
      <w:r>
        <w:rPr>
          <w:rFonts w:hint="eastAsia"/>
          <w:lang w:val="en-US" w:eastAsia="zh-CN"/>
        </w:rPr>
        <w:br w:type="page"/>
      </w:r>
    </w:p>
    <w:p>
      <w:pPr>
        <w:pStyle w:val="5"/>
        <w:bidi w:val="0"/>
      </w:pPr>
      <w:bookmarkStart w:id="455" w:name="_Toc17933"/>
      <w:r>
        <w:rPr>
          <w:rFonts w:hint="eastAsia"/>
          <w:lang w:val="en-US" w:eastAsia="zh-CN"/>
        </w:rPr>
        <w:t>五、</w:t>
      </w:r>
      <w:r>
        <w:rPr>
          <w:rFonts w:hint="eastAsia"/>
        </w:rPr>
        <w:t>运输安全管理制度</w:t>
      </w:r>
      <w:bookmarkEnd w:id="452"/>
      <w:bookmarkEnd w:id="453"/>
      <w:bookmarkEnd w:id="454"/>
      <w:bookmarkEnd w:id="455"/>
    </w:p>
    <w:p>
      <w:pPr>
        <w:pStyle w:val="6"/>
        <w:bidi w:val="0"/>
      </w:pPr>
      <w:bookmarkStart w:id="456" w:name="_Toc82784984"/>
      <w:bookmarkStart w:id="457" w:name="_Toc118293263"/>
      <w:bookmarkStart w:id="458" w:name="_Toc16280"/>
      <w:bookmarkStart w:id="459" w:name="_Toc117181950"/>
      <w:bookmarkStart w:id="460" w:name="_Toc80521579"/>
      <w:bookmarkStart w:id="461" w:name="_Toc82588803"/>
      <w:bookmarkStart w:id="462" w:name="_Toc116400101"/>
      <w:r>
        <w:rPr>
          <w:rFonts w:hint="eastAsia"/>
          <w:lang w:val="en-US" w:eastAsia="zh-CN"/>
        </w:rPr>
        <w:t>（一）</w:t>
      </w:r>
      <w:r>
        <w:rPr>
          <w:rFonts w:hint="eastAsia"/>
        </w:rPr>
        <w:t>安全生产和岗位责任制度</w:t>
      </w:r>
      <w:bookmarkEnd w:id="456"/>
      <w:bookmarkEnd w:id="457"/>
      <w:bookmarkEnd w:id="458"/>
      <w:bookmarkEnd w:id="459"/>
      <w:bookmarkEnd w:id="460"/>
      <w:bookmarkEnd w:id="461"/>
      <w:bookmarkEnd w:id="462"/>
    </w:p>
    <w:p>
      <w:pPr>
        <w:ind w:firstLine="480"/>
      </w:pPr>
      <w:r>
        <w:rPr>
          <w:rFonts w:hint="eastAsia"/>
          <w:lang w:eastAsia="zh-CN"/>
        </w:rPr>
        <w:t>（</w:t>
      </w:r>
      <w:r>
        <w:rPr>
          <w:rFonts w:hint="eastAsia"/>
          <w:lang w:val="en-US" w:eastAsia="zh-CN"/>
        </w:rPr>
        <w:t>一</w:t>
      </w:r>
      <w:r>
        <w:rPr>
          <w:rFonts w:hint="eastAsia"/>
          <w:lang w:eastAsia="zh-CN"/>
        </w:rPr>
        <w:t>）</w:t>
      </w:r>
      <w:r>
        <w:rPr>
          <w:rFonts w:hint="eastAsia"/>
        </w:rPr>
        <w:t>认真贯彻执行“安全第一、预防为主”的方针，遵守国家法律法规和安全生产操作规程，守法经营，落实各级交通主管部门的安全生产管理规定，组织学习安全生产知识，最大限度的控制和减少道路交通事故的发生。</w:t>
      </w:r>
    </w:p>
    <w:p>
      <w:pPr>
        <w:ind w:firstLine="480"/>
      </w:pPr>
      <w:r>
        <w:rPr>
          <w:rFonts w:hint="eastAsia"/>
          <w:lang w:eastAsia="zh-CN"/>
        </w:rPr>
        <w:t>（</w:t>
      </w:r>
      <w:r>
        <w:rPr>
          <w:rFonts w:hint="eastAsia"/>
          <w:lang w:val="en-US" w:eastAsia="zh-CN"/>
        </w:rPr>
        <w:t>二</w:t>
      </w:r>
      <w:r>
        <w:rPr>
          <w:rFonts w:hint="eastAsia"/>
          <w:lang w:eastAsia="zh-CN"/>
        </w:rPr>
        <w:t>）</w:t>
      </w:r>
      <w:r>
        <w:rPr>
          <w:rFonts w:hint="eastAsia"/>
        </w:rPr>
        <w:t>道路运输经营者负责许可范围内的安全生产工作，是安全生产第一责任人，对安全生产工作负总责。</w:t>
      </w:r>
    </w:p>
    <w:p>
      <w:pPr>
        <w:ind w:firstLine="480"/>
      </w:pPr>
      <w:r>
        <w:rPr>
          <w:rFonts w:hint="eastAsia"/>
          <w:lang w:eastAsia="zh-CN"/>
        </w:rPr>
        <w:t>（</w:t>
      </w:r>
      <w:r>
        <w:rPr>
          <w:rFonts w:hint="eastAsia"/>
          <w:lang w:val="en-US" w:eastAsia="zh-CN"/>
        </w:rPr>
        <w:t>三</w:t>
      </w:r>
      <w:r>
        <w:rPr>
          <w:rFonts w:hint="eastAsia"/>
          <w:lang w:eastAsia="zh-CN"/>
        </w:rPr>
        <w:t>）</w:t>
      </w:r>
      <w:r>
        <w:rPr>
          <w:rFonts w:hint="eastAsia"/>
        </w:rPr>
        <w:t>聘请符合道路运输经营条件的驾驶人员，并与驾驶员签订安全生产责任书，将责任书内容分解到每个工作环节和工作岗位，职责明确，责任分清，层层落实安全生产责任制。</w:t>
      </w:r>
    </w:p>
    <w:p>
      <w:pPr>
        <w:ind w:firstLine="480"/>
        <w:rPr>
          <w:rFonts w:hint="eastAsia" w:eastAsia="宋体"/>
          <w:lang w:eastAsia="zh-CN"/>
        </w:rPr>
      </w:pPr>
      <w:r>
        <w:rPr>
          <w:rFonts w:hint="eastAsia"/>
          <w:lang w:eastAsia="zh-CN"/>
        </w:rPr>
        <w:t>（</w:t>
      </w:r>
      <w:r>
        <w:rPr>
          <w:rFonts w:hint="eastAsia"/>
          <w:lang w:val="en-US" w:eastAsia="zh-CN"/>
        </w:rPr>
        <w:t>四</w:t>
      </w:r>
      <w:r>
        <w:rPr>
          <w:rFonts w:hint="eastAsia"/>
          <w:lang w:eastAsia="zh-CN"/>
        </w:rPr>
        <w:t>）</w:t>
      </w:r>
      <w:r>
        <w:rPr>
          <w:rFonts w:hint="eastAsia"/>
        </w:rPr>
        <w:t>落实事故处理“四不放过”的原则，即：事故原因不查清不放过；事故责任者没处理不放过；整改措施不落实不放过；教训不吸取不放过。</w:t>
      </w:r>
    </w:p>
    <w:p>
      <w:pPr>
        <w:ind w:firstLine="480"/>
        <w:rPr>
          <w:rFonts w:hint="eastAsia" w:eastAsia="宋体"/>
          <w:lang w:eastAsia="zh-CN"/>
        </w:rPr>
      </w:pPr>
      <w:r>
        <w:rPr>
          <w:rFonts w:hint="eastAsia"/>
          <w:lang w:eastAsia="zh-CN"/>
        </w:rPr>
        <w:t>（</w:t>
      </w:r>
      <w:r>
        <w:rPr>
          <w:rFonts w:hint="eastAsia"/>
          <w:lang w:val="en-US" w:eastAsia="zh-CN"/>
        </w:rPr>
        <w:t>五</w:t>
      </w:r>
      <w:r>
        <w:rPr>
          <w:rFonts w:hint="eastAsia"/>
          <w:lang w:eastAsia="zh-CN"/>
        </w:rPr>
        <w:t>）</w:t>
      </w:r>
      <w:r>
        <w:rPr>
          <w:rFonts w:hint="eastAsia"/>
        </w:rPr>
        <w:t>建立营运车辆维护、检修工作制度，督促车辆按时做好综合性能检测及二级维护，确保车辆技术状况良好。</w:t>
      </w:r>
    </w:p>
    <w:p>
      <w:pPr>
        <w:ind w:firstLine="480"/>
        <w:rPr>
          <w:rFonts w:hint="eastAsia" w:eastAsia="宋体"/>
          <w:lang w:eastAsia="zh-CN"/>
        </w:rPr>
      </w:pPr>
      <w:r>
        <w:rPr>
          <w:rFonts w:hint="eastAsia"/>
          <w:lang w:eastAsia="zh-CN"/>
        </w:rPr>
        <w:t>（</w:t>
      </w:r>
      <w:r>
        <w:rPr>
          <w:rFonts w:hint="eastAsia"/>
          <w:lang w:val="en-US" w:eastAsia="zh-CN"/>
        </w:rPr>
        <w:t>六</w:t>
      </w:r>
      <w:r>
        <w:rPr>
          <w:rFonts w:hint="eastAsia"/>
          <w:lang w:eastAsia="zh-CN"/>
        </w:rPr>
        <w:t>）</w:t>
      </w:r>
      <w:r>
        <w:rPr>
          <w:rFonts w:hint="eastAsia"/>
        </w:rPr>
        <w:t>队长职责：负责公司全面工作的安排，抓好服务、团结、安全工作，定期召开各种会议解决处理工作中的各类问题；控制、督促统计人员对公司经费的使用及经费回收工作，掌握了解运输市场行情，积极开展经营创收活动，不断提高公司工作的两个效益。</w:t>
      </w:r>
    </w:p>
    <w:p>
      <w:pPr>
        <w:ind w:firstLine="480"/>
        <w:rPr>
          <w:rFonts w:hint="eastAsia" w:eastAsia="宋体"/>
          <w:lang w:eastAsia="zh-CN"/>
        </w:rPr>
      </w:pPr>
      <w:r>
        <w:rPr>
          <w:rFonts w:hint="eastAsia"/>
          <w:lang w:eastAsia="zh-CN"/>
        </w:rPr>
        <w:t>（</w:t>
      </w:r>
      <w:r>
        <w:rPr>
          <w:rFonts w:hint="eastAsia"/>
          <w:lang w:val="en-US" w:eastAsia="zh-CN"/>
        </w:rPr>
        <w:t>七</w:t>
      </w:r>
      <w:r>
        <w:rPr>
          <w:rFonts w:hint="eastAsia"/>
          <w:lang w:eastAsia="zh-CN"/>
        </w:rPr>
        <w:t>）</w:t>
      </w:r>
      <w:r>
        <w:rPr>
          <w:rFonts w:hint="eastAsia"/>
        </w:rPr>
        <w:t>副队长职责：积极协助队长抓好公司的服务、团结、安全工作，抓好公司重点工作的落实：对公司工作向队长提出具体处理意见和建议，参与公司各项重要工作的决策。</w:t>
      </w:r>
    </w:p>
    <w:p>
      <w:pPr>
        <w:ind w:firstLine="480"/>
        <w:rPr>
          <w:rFonts w:hint="eastAsia" w:eastAsia="宋体"/>
          <w:lang w:eastAsia="zh-CN"/>
        </w:rPr>
      </w:pPr>
      <w:r>
        <w:rPr>
          <w:rFonts w:hint="eastAsia"/>
          <w:lang w:eastAsia="zh-CN"/>
        </w:rPr>
        <w:t>（</w:t>
      </w:r>
      <w:r>
        <w:rPr>
          <w:rFonts w:hint="eastAsia"/>
          <w:lang w:val="en-US" w:eastAsia="zh-CN"/>
        </w:rPr>
        <w:t>八</w:t>
      </w:r>
      <w:r>
        <w:rPr>
          <w:rFonts w:hint="eastAsia"/>
          <w:lang w:eastAsia="zh-CN"/>
        </w:rPr>
        <w:t>）</w:t>
      </w:r>
      <w:r>
        <w:rPr>
          <w:rFonts w:hint="eastAsia"/>
        </w:rPr>
        <w:t>驾驶员职责：服从公司管理，听从工作安排，按时完成任务，不得顶撞领导；遵守国家法令，遵守交通规则，不开违章车，不准酒后开车，讲究职业道德。</w:t>
      </w:r>
    </w:p>
    <w:p>
      <w:pPr>
        <w:pStyle w:val="6"/>
        <w:bidi w:val="0"/>
      </w:pPr>
      <w:bookmarkStart w:id="463" w:name="_Toc82588804"/>
      <w:bookmarkStart w:id="464" w:name="_Toc116400102"/>
      <w:bookmarkStart w:id="465" w:name="_Toc29632"/>
      <w:bookmarkStart w:id="466" w:name="_Toc118293264"/>
      <w:bookmarkStart w:id="467" w:name="_Toc82784985"/>
      <w:bookmarkStart w:id="468" w:name="_Toc117181951"/>
      <w:r>
        <w:rPr>
          <w:rFonts w:hint="eastAsia"/>
          <w:lang w:val="en-US" w:eastAsia="zh-CN"/>
        </w:rPr>
        <w:t>（二）</w:t>
      </w:r>
      <w:r>
        <w:rPr>
          <w:rFonts w:hint="eastAsia"/>
        </w:rPr>
        <w:t>安全生产操作规程</w:t>
      </w:r>
      <w:bookmarkEnd w:id="463"/>
      <w:bookmarkEnd w:id="464"/>
      <w:bookmarkEnd w:id="465"/>
      <w:bookmarkEnd w:id="466"/>
      <w:bookmarkEnd w:id="467"/>
      <w:bookmarkEnd w:id="468"/>
    </w:p>
    <w:p>
      <w:pPr>
        <w:ind w:firstLine="480"/>
      </w:pPr>
      <w:r>
        <w:rPr>
          <w:rFonts w:hint="eastAsia"/>
        </w:rPr>
        <w:t>（</w:t>
      </w:r>
      <w:r>
        <w:rPr>
          <w:rFonts w:hint="eastAsia"/>
          <w:lang w:val="en-US" w:eastAsia="zh-CN"/>
        </w:rPr>
        <w:t>一</w:t>
      </w:r>
      <w:r>
        <w:rPr>
          <w:rFonts w:hint="eastAsia"/>
        </w:rPr>
        <w:t>）严格遵守安全生产法律法规及工作规范，严肃安全生产操作规程，落实各项安全生产工作制度，组织开展安全生产活动和安全知识学习，提高全员安全生产意识。</w:t>
      </w:r>
    </w:p>
    <w:p>
      <w:pPr>
        <w:ind w:firstLine="480"/>
        <w:rPr>
          <w:rFonts w:hint="eastAsia" w:eastAsia="宋体"/>
          <w:lang w:eastAsia="zh-CN"/>
        </w:rPr>
      </w:pPr>
      <w:r>
        <w:rPr>
          <w:rFonts w:hint="eastAsia"/>
        </w:rPr>
        <w:t>（</w:t>
      </w:r>
      <w:r>
        <w:rPr>
          <w:rFonts w:hint="eastAsia"/>
          <w:lang w:val="en-US" w:eastAsia="zh-CN"/>
        </w:rPr>
        <w:t>二</w:t>
      </w:r>
      <w:r>
        <w:rPr>
          <w:rFonts w:hint="eastAsia"/>
        </w:rPr>
        <w:t>）对道路运输驾驶人员要求做到“八不”。即：“不超载超限、不超速行车、不强行超车、不开带病车、不开情绪车、不开急躁车、不开冒险车、不酒后开车”。保证精力充沛，谨慎驾驶，严格遵守道路交通规则和交通运输法规。</w:t>
      </w:r>
    </w:p>
    <w:p>
      <w:pPr>
        <w:ind w:firstLine="480"/>
        <w:rPr>
          <w:rFonts w:hint="eastAsia" w:eastAsia="宋体"/>
          <w:lang w:eastAsia="zh-CN"/>
        </w:rPr>
      </w:pPr>
      <w:r>
        <w:rPr>
          <w:rFonts w:hint="eastAsia"/>
        </w:rPr>
        <w:t>（</w:t>
      </w:r>
      <w:r>
        <w:rPr>
          <w:rFonts w:hint="eastAsia"/>
          <w:lang w:val="en-US" w:eastAsia="zh-CN"/>
        </w:rPr>
        <w:t>三</w:t>
      </w:r>
      <w:r>
        <w:rPr>
          <w:rFonts w:hint="eastAsia"/>
        </w:rPr>
        <w:t>）做好危险路段记录并积极采取应对措施，特别是山区道路行车安全，要做到“一慢、二看、三通过”。</w:t>
      </w:r>
    </w:p>
    <w:p>
      <w:pPr>
        <w:ind w:firstLine="480"/>
        <w:rPr>
          <w:rFonts w:hint="eastAsia" w:eastAsia="宋体"/>
          <w:lang w:eastAsia="zh-CN"/>
        </w:rPr>
      </w:pPr>
      <w:r>
        <w:rPr>
          <w:rFonts w:hint="eastAsia"/>
        </w:rPr>
        <w:t>（</w:t>
      </w:r>
      <w:r>
        <w:rPr>
          <w:rFonts w:hint="eastAsia"/>
          <w:lang w:val="en-US" w:eastAsia="zh-CN"/>
        </w:rPr>
        <w:t>四</w:t>
      </w:r>
      <w:r>
        <w:rPr>
          <w:rFonts w:hint="eastAsia"/>
        </w:rPr>
        <w:t>）不运输法律、行政法规禁止运输的货物，法律、行政法规规定必须办理有关手续后方可运输的货物，应当按规定查验有关手续，符合要求的方可承运。</w:t>
      </w:r>
    </w:p>
    <w:p>
      <w:pPr>
        <w:ind w:firstLine="480"/>
        <w:rPr>
          <w:rFonts w:hint="eastAsia" w:eastAsia="宋体"/>
          <w:lang w:eastAsia="zh-CN"/>
        </w:rPr>
      </w:pPr>
      <w:r>
        <w:rPr>
          <w:rFonts w:hint="eastAsia"/>
        </w:rPr>
        <w:t>（</w:t>
      </w:r>
      <w:r>
        <w:rPr>
          <w:rFonts w:hint="eastAsia"/>
          <w:lang w:val="en-US" w:eastAsia="zh-CN"/>
        </w:rPr>
        <w:t>五</w:t>
      </w:r>
      <w:r>
        <w:rPr>
          <w:rFonts w:hint="eastAsia"/>
        </w:rPr>
        <w:t>）保持车辆良好技术状况，不擅自改装营运车辆。</w:t>
      </w:r>
    </w:p>
    <w:p>
      <w:pPr>
        <w:ind w:firstLine="480"/>
        <w:rPr>
          <w:rFonts w:hint="eastAsia" w:eastAsia="宋体"/>
          <w:lang w:eastAsia="zh-CN"/>
        </w:rPr>
      </w:pPr>
      <w:r>
        <w:rPr>
          <w:rFonts w:hint="eastAsia"/>
        </w:rPr>
        <w:t>（</w:t>
      </w:r>
      <w:r>
        <w:rPr>
          <w:rFonts w:hint="eastAsia"/>
          <w:lang w:val="en-US" w:eastAsia="zh-CN"/>
        </w:rPr>
        <w:t>六</w:t>
      </w:r>
      <w:r>
        <w:rPr>
          <w:rFonts w:hint="eastAsia"/>
        </w:rPr>
        <w:t>）做到反三违：不违反劳动纪律，不违章指挥，不违反操作规程。</w:t>
      </w:r>
    </w:p>
    <w:p>
      <w:pPr>
        <w:ind w:firstLine="480"/>
        <w:rPr>
          <w:rFonts w:hint="eastAsia" w:eastAsia="宋体"/>
          <w:lang w:eastAsia="zh-CN"/>
        </w:rPr>
      </w:pPr>
      <w:r>
        <w:rPr>
          <w:rFonts w:hint="eastAsia"/>
        </w:rPr>
        <w:t>（</w:t>
      </w:r>
      <w:r>
        <w:rPr>
          <w:rFonts w:hint="eastAsia"/>
          <w:lang w:val="en-US" w:eastAsia="zh-CN"/>
        </w:rPr>
        <w:t>七</w:t>
      </w:r>
      <w:r>
        <w:rPr>
          <w:rFonts w:hint="eastAsia"/>
        </w:rPr>
        <w:t>）发生事故时，应立即停车、保护现场、及时报警、抢救伤员和货物财产，协助事故调查。</w:t>
      </w:r>
    </w:p>
    <w:p>
      <w:pPr>
        <w:ind w:firstLine="480"/>
        <w:rPr>
          <w:rFonts w:hint="eastAsia" w:eastAsia="宋体"/>
          <w:lang w:eastAsia="zh-CN"/>
        </w:rPr>
      </w:pPr>
      <w:r>
        <w:rPr>
          <w:rFonts w:hint="eastAsia"/>
        </w:rPr>
        <w:t>（</w:t>
      </w:r>
      <w:r>
        <w:rPr>
          <w:rFonts w:hint="eastAsia"/>
          <w:lang w:val="en-US" w:eastAsia="zh-CN"/>
        </w:rPr>
        <w:t>八</w:t>
      </w:r>
      <w:r>
        <w:rPr>
          <w:rFonts w:hint="eastAsia"/>
        </w:rPr>
        <w:t>）采取必要措施，防止货物脱落、扬撒等。</w:t>
      </w:r>
    </w:p>
    <w:p>
      <w:pPr>
        <w:ind w:firstLine="480"/>
      </w:pPr>
      <w:r>
        <w:rPr>
          <w:rFonts w:hint="eastAsia"/>
        </w:rPr>
        <w:t>（</w:t>
      </w:r>
      <w:r>
        <w:rPr>
          <w:rFonts w:hint="eastAsia"/>
          <w:lang w:val="en-US" w:eastAsia="zh-CN"/>
        </w:rPr>
        <w:t>九</w:t>
      </w:r>
      <w:r>
        <w:rPr>
          <w:rFonts w:hint="eastAsia"/>
        </w:rPr>
        <w:t>）不违章作业，驾驶人员连续驾驶时间不超过4小时。</w:t>
      </w:r>
    </w:p>
    <w:p>
      <w:pPr>
        <w:spacing w:before="0" w:after="0" w:line="240" w:lineRule="auto"/>
        <w:ind w:firstLine="0" w:firstLineChars="0"/>
        <w:jc w:val="left"/>
      </w:pPr>
      <w:r>
        <w:br w:type="page"/>
      </w:r>
    </w:p>
    <w:p>
      <w:pPr>
        <w:pStyle w:val="6"/>
        <w:bidi w:val="0"/>
      </w:pPr>
      <w:bookmarkStart w:id="469" w:name="_Toc82588805"/>
      <w:bookmarkStart w:id="470" w:name="_Toc117181952"/>
      <w:bookmarkStart w:id="471" w:name="_Toc116400103"/>
      <w:bookmarkStart w:id="472" w:name="_Toc15391"/>
      <w:bookmarkStart w:id="473" w:name="_Toc118293265"/>
      <w:bookmarkStart w:id="474" w:name="_Toc82784986"/>
      <w:r>
        <w:rPr>
          <w:rFonts w:hint="eastAsia"/>
          <w:lang w:val="en-US" w:eastAsia="zh-CN"/>
        </w:rPr>
        <w:t>（三）</w:t>
      </w:r>
      <w:r>
        <w:rPr>
          <w:rFonts w:hint="eastAsia"/>
        </w:rPr>
        <w:t>安全生产监督检查制度</w:t>
      </w:r>
      <w:bookmarkEnd w:id="469"/>
      <w:bookmarkEnd w:id="470"/>
      <w:bookmarkEnd w:id="471"/>
      <w:bookmarkEnd w:id="472"/>
      <w:bookmarkEnd w:id="473"/>
      <w:bookmarkEnd w:id="474"/>
    </w:p>
    <w:p>
      <w:pPr>
        <w:ind w:firstLine="480"/>
        <w:rPr>
          <w:rFonts w:hint="eastAsia" w:eastAsia="宋体"/>
          <w:lang w:eastAsia="zh-CN"/>
        </w:rPr>
      </w:pPr>
      <w:r>
        <w:rPr>
          <w:rFonts w:hint="eastAsia"/>
        </w:rPr>
        <w:t>（</w:t>
      </w:r>
      <w:r>
        <w:rPr>
          <w:rFonts w:hint="eastAsia"/>
          <w:lang w:val="en-US" w:eastAsia="zh-CN"/>
        </w:rPr>
        <w:t>一</w:t>
      </w:r>
      <w:r>
        <w:rPr>
          <w:rFonts w:hint="eastAsia"/>
        </w:rPr>
        <w:t>）每月至少进行一次全面安全检查，重点检查安全生产责任制、规章制度的建立完善、安全隐患整改、应急预案、有关法律法规及会议精神的学习贯彻落实情况，并做好记录。</w:t>
      </w:r>
    </w:p>
    <w:p>
      <w:pPr>
        <w:ind w:firstLine="480"/>
        <w:rPr>
          <w:rFonts w:hint="eastAsia" w:eastAsia="宋体"/>
          <w:lang w:eastAsia="zh-CN"/>
        </w:rPr>
      </w:pPr>
      <w:r>
        <w:rPr>
          <w:rFonts w:hint="eastAsia"/>
        </w:rPr>
        <w:t>（</w:t>
      </w:r>
      <w:r>
        <w:rPr>
          <w:rFonts w:hint="eastAsia"/>
          <w:lang w:val="en-US" w:eastAsia="zh-CN"/>
        </w:rPr>
        <w:t>二</w:t>
      </w:r>
      <w:r>
        <w:rPr>
          <w:rFonts w:hint="eastAsia"/>
        </w:rPr>
        <w:t>）做好出车前、停车后的准备、检查工作，确保行车安全，发现隐患要及时修复后方可出车。</w:t>
      </w:r>
    </w:p>
    <w:p>
      <w:pPr>
        <w:ind w:firstLine="480"/>
        <w:rPr>
          <w:rFonts w:hint="eastAsia" w:eastAsia="宋体"/>
          <w:lang w:eastAsia="zh-CN"/>
        </w:rPr>
      </w:pPr>
      <w:r>
        <w:rPr>
          <w:rFonts w:hint="eastAsia"/>
        </w:rPr>
        <w:t>（</w:t>
      </w:r>
      <w:r>
        <w:rPr>
          <w:rFonts w:hint="eastAsia"/>
          <w:lang w:val="en-US" w:eastAsia="zh-CN"/>
        </w:rPr>
        <w:t>三</w:t>
      </w:r>
      <w:r>
        <w:rPr>
          <w:rFonts w:hint="eastAsia"/>
        </w:rPr>
        <w:t>）装货时严查超载和擅自装载危险品。</w:t>
      </w:r>
    </w:p>
    <w:p>
      <w:pPr>
        <w:ind w:firstLine="480"/>
        <w:rPr>
          <w:rFonts w:hint="eastAsia" w:eastAsia="宋体"/>
          <w:lang w:eastAsia="zh-CN"/>
        </w:rPr>
      </w:pPr>
      <w:r>
        <w:rPr>
          <w:rFonts w:hint="eastAsia"/>
        </w:rPr>
        <w:t>（</w:t>
      </w:r>
      <w:r>
        <w:rPr>
          <w:rFonts w:hint="eastAsia"/>
          <w:lang w:val="en-US" w:eastAsia="zh-CN"/>
        </w:rPr>
        <w:t>四</w:t>
      </w:r>
      <w:r>
        <w:rPr>
          <w:rFonts w:hint="eastAsia"/>
        </w:rPr>
        <w:t>）不定期检查车辆的安全装置、灯光信号、证件。</w:t>
      </w:r>
    </w:p>
    <w:p>
      <w:pPr>
        <w:ind w:firstLine="480"/>
        <w:rPr>
          <w:rFonts w:hint="eastAsia" w:eastAsia="宋体"/>
          <w:lang w:eastAsia="zh-CN"/>
        </w:rPr>
      </w:pPr>
      <w:r>
        <w:rPr>
          <w:rFonts w:hint="eastAsia"/>
        </w:rPr>
        <w:t>（</w:t>
      </w:r>
      <w:r>
        <w:rPr>
          <w:rFonts w:hint="eastAsia"/>
          <w:lang w:val="en-US" w:eastAsia="zh-CN"/>
        </w:rPr>
        <w:t>五</w:t>
      </w:r>
      <w:r>
        <w:rPr>
          <w:rFonts w:hint="eastAsia"/>
        </w:rPr>
        <w:t>）检查驾驶员是否带病或疲劳开车，是否违反安全生产操作规程。</w:t>
      </w:r>
    </w:p>
    <w:p>
      <w:pPr>
        <w:ind w:firstLine="480"/>
        <w:rPr>
          <w:rFonts w:hint="eastAsia" w:eastAsia="宋体"/>
          <w:lang w:eastAsia="zh-CN"/>
        </w:rPr>
      </w:pPr>
      <w:r>
        <w:rPr>
          <w:rFonts w:hint="eastAsia"/>
        </w:rPr>
        <w:t>（</w:t>
      </w:r>
      <w:r>
        <w:rPr>
          <w:rFonts w:hint="eastAsia"/>
          <w:lang w:val="en-US" w:eastAsia="zh-CN"/>
        </w:rPr>
        <w:t>六</w:t>
      </w:r>
      <w:r>
        <w:rPr>
          <w:rFonts w:hint="eastAsia"/>
        </w:rPr>
        <w:t>）检查消防设施是否安全有效。</w:t>
      </w:r>
    </w:p>
    <w:p>
      <w:pPr>
        <w:ind w:firstLine="480"/>
      </w:pPr>
      <w:r>
        <w:rPr>
          <w:rFonts w:hint="eastAsia"/>
        </w:rPr>
        <w:t>（</w:t>
      </w:r>
      <w:r>
        <w:rPr>
          <w:rFonts w:hint="eastAsia"/>
          <w:lang w:val="en-US" w:eastAsia="zh-CN"/>
        </w:rPr>
        <w:t>七</w:t>
      </w:r>
      <w:r>
        <w:rPr>
          <w:rFonts w:hint="eastAsia"/>
        </w:rPr>
        <w:t>）建立安全生产奖惩制度，依制度进行奖惩。</w:t>
      </w:r>
    </w:p>
    <w:p>
      <w:pPr>
        <w:ind w:firstLine="480"/>
        <w:rPr>
          <w:rFonts w:hint="eastAsia" w:eastAsia="宋体"/>
          <w:lang w:eastAsia="zh-CN"/>
        </w:rPr>
      </w:pPr>
      <w:r>
        <w:rPr>
          <w:rFonts w:hint="eastAsia"/>
        </w:rPr>
        <w:t>消除安全生产事故隐患制度为落实安全生产责任制，加强道路运输安全生产监督管理，遏制交通事故发生，须做到：</w:t>
      </w:r>
    </w:p>
    <w:p>
      <w:pPr>
        <w:ind w:firstLine="480"/>
        <w:rPr>
          <w:rFonts w:hint="eastAsia" w:eastAsia="宋体"/>
          <w:lang w:eastAsia="zh-CN"/>
        </w:rPr>
      </w:pPr>
      <w:r>
        <w:rPr>
          <w:rFonts w:hint="eastAsia"/>
          <w:lang w:val="en-US" w:eastAsia="zh-CN"/>
        </w:rPr>
        <w:t>1、</w:t>
      </w:r>
      <w:r>
        <w:rPr>
          <w:rFonts w:hint="eastAsia"/>
        </w:rPr>
        <w:t>对交通主管部门检查发现的安全生产隐患整改事项，按时逐项予以整改、落实。</w:t>
      </w:r>
    </w:p>
    <w:p>
      <w:pPr>
        <w:ind w:firstLine="480"/>
        <w:rPr>
          <w:rFonts w:hint="eastAsia" w:eastAsia="宋体"/>
          <w:lang w:eastAsia="zh-CN"/>
        </w:rPr>
      </w:pPr>
      <w:r>
        <w:rPr>
          <w:rFonts w:hint="eastAsia"/>
          <w:lang w:val="en-US" w:eastAsia="zh-CN"/>
        </w:rPr>
        <w:t>2、</w:t>
      </w:r>
      <w:r>
        <w:rPr>
          <w:rFonts w:hint="eastAsia"/>
        </w:rPr>
        <w:t>每月至少开展一次全面安全检查，发现存在安全隐患立即通知整改，并立即抓好落实，及时消除。</w:t>
      </w:r>
    </w:p>
    <w:p>
      <w:pPr>
        <w:ind w:firstLine="480"/>
        <w:rPr>
          <w:rFonts w:hint="eastAsia" w:eastAsia="宋体"/>
          <w:lang w:eastAsia="zh-CN"/>
        </w:rPr>
      </w:pPr>
      <w:r>
        <w:rPr>
          <w:rFonts w:hint="eastAsia"/>
          <w:lang w:val="en-US" w:eastAsia="zh-CN"/>
        </w:rPr>
        <w:t>3、</w:t>
      </w:r>
      <w:r>
        <w:rPr>
          <w:rFonts w:hint="eastAsia"/>
        </w:rPr>
        <w:t>驾驶员要定期做健康体检及心理的职业适应性检查。</w:t>
      </w:r>
    </w:p>
    <w:p>
      <w:pPr>
        <w:ind w:firstLine="480"/>
      </w:pPr>
      <w:r>
        <w:rPr>
          <w:rFonts w:hint="eastAsia"/>
          <w:lang w:val="en-US" w:eastAsia="zh-CN"/>
        </w:rPr>
        <w:t>4、</w:t>
      </w:r>
      <w:r>
        <w:rPr>
          <w:rFonts w:hint="eastAsia"/>
        </w:rPr>
        <w:t>每趟次出车前，要对车辆的安全性能进行全方位检查，发现问题及时排除，不消除隐患不得出车。</w:t>
      </w:r>
    </w:p>
    <w:p>
      <w:pPr>
        <w:ind w:firstLine="480"/>
        <w:rPr>
          <w:rFonts w:hint="eastAsia" w:eastAsia="宋体"/>
          <w:lang w:eastAsia="zh-CN"/>
        </w:rPr>
      </w:pPr>
      <w:r>
        <w:rPr>
          <w:rFonts w:hint="eastAsia"/>
          <w:lang w:val="en-US" w:eastAsia="zh-CN"/>
        </w:rPr>
        <w:t>5、</w:t>
      </w:r>
      <w:r>
        <w:rPr>
          <w:rFonts w:hint="eastAsia"/>
        </w:rPr>
        <w:t>装载货物时，须检查超载及危险品等情况，确认无误后方可出车。</w:t>
      </w:r>
    </w:p>
    <w:p>
      <w:pPr>
        <w:ind w:firstLine="480"/>
        <w:rPr>
          <w:rFonts w:hint="eastAsia" w:eastAsia="宋体"/>
          <w:lang w:eastAsia="zh-CN"/>
        </w:rPr>
      </w:pPr>
      <w:r>
        <w:rPr>
          <w:rFonts w:hint="eastAsia"/>
          <w:lang w:val="en-US" w:eastAsia="zh-CN"/>
        </w:rPr>
        <w:t>6、</w:t>
      </w:r>
      <w:r>
        <w:rPr>
          <w:rFonts w:hint="eastAsia"/>
        </w:rPr>
        <w:t>要不定时检查驾驶员及车辆是否符合安全管理规定。</w:t>
      </w:r>
    </w:p>
    <w:p>
      <w:pPr>
        <w:ind w:firstLine="480"/>
        <w:rPr>
          <w:rFonts w:hint="eastAsia" w:eastAsia="宋体"/>
          <w:lang w:eastAsia="zh-CN"/>
        </w:rPr>
      </w:pPr>
      <w:r>
        <w:rPr>
          <w:rFonts w:hint="eastAsia"/>
          <w:lang w:val="en-US" w:eastAsia="zh-CN"/>
        </w:rPr>
        <w:t>7、</w:t>
      </w:r>
      <w:r>
        <w:rPr>
          <w:rFonts w:hint="eastAsia"/>
        </w:rPr>
        <w:t>车辆经检测、二级维护，查出的隐患要及时整改，整改不到位不得出车。</w:t>
      </w:r>
    </w:p>
    <w:p>
      <w:pPr>
        <w:ind w:firstLine="480"/>
        <w:rPr>
          <w:rFonts w:hint="eastAsia" w:eastAsia="宋体"/>
          <w:lang w:eastAsia="zh-CN"/>
        </w:rPr>
      </w:pPr>
      <w:r>
        <w:rPr>
          <w:rFonts w:hint="eastAsia"/>
          <w:lang w:val="en-US" w:eastAsia="zh-CN"/>
        </w:rPr>
        <w:t>8、</w:t>
      </w:r>
      <w:r>
        <w:rPr>
          <w:rFonts w:hint="eastAsia"/>
        </w:rPr>
        <w:t>定期对车辆和办公场所的消防器材、电路、车辆机件等进行自查自纠。</w:t>
      </w:r>
    </w:p>
    <w:p>
      <w:pPr>
        <w:ind w:firstLine="480"/>
        <w:rPr>
          <w:rFonts w:hint="eastAsia" w:eastAsia="宋体"/>
          <w:lang w:eastAsia="zh-CN"/>
        </w:rPr>
      </w:pPr>
      <w:r>
        <w:rPr>
          <w:rFonts w:hint="eastAsia"/>
          <w:lang w:val="en-US" w:eastAsia="zh-CN"/>
        </w:rPr>
        <w:t>9、</w:t>
      </w:r>
      <w:r>
        <w:rPr>
          <w:rFonts w:hint="eastAsia"/>
        </w:rPr>
        <w:t>对安全隐患不及时整改的责任者给予从严追究。</w:t>
      </w:r>
    </w:p>
    <w:p>
      <w:pPr>
        <w:ind w:firstLine="480"/>
      </w:pPr>
      <w:r>
        <w:rPr>
          <w:rFonts w:hint="eastAsia"/>
          <w:lang w:val="en-US" w:eastAsia="zh-CN"/>
        </w:rPr>
        <w:t>10、</w:t>
      </w:r>
      <w:r>
        <w:rPr>
          <w:rFonts w:hint="eastAsia"/>
        </w:rPr>
        <w:t>建立健全安全生产事故隐患档案，吸取经验教训举一反三，组织研究和探讨新技术应用。</w:t>
      </w:r>
    </w:p>
    <w:p>
      <w:pPr>
        <w:ind w:firstLine="480"/>
      </w:pPr>
      <w:r>
        <w:rPr>
          <w:rFonts w:hint="eastAsia"/>
        </w:rPr>
        <w:t>我们在产品的运输方面，我单位有专门的这辆团队，在交货方面，公司将依据合同和使用单位指定的时间，根据实际情况选择公路、铁路、航空等运输方式，将设备安全、快捷、无损地运送到采购方指定的安装地点，交付给指定的人员验收。</w:t>
      </w:r>
    </w:p>
    <w:p>
      <w:pPr>
        <w:pStyle w:val="6"/>
        <w:bidi w:val="0"/>
      </w:pPr>
      <w:bookmarkStart w:id="475" w:name="_Toc80521580"/>
      <w:bookmarkStart w:id="476" w:name="_Toc82784987"/>
      <w:bookmarkStart w:id="477" w:name="_Toc118293266"/>
      <w:bookmarkStart w:id="478" w:name="_Toc82588806"/>
      <w:bookmarkStart w:id="479" w:name="_Toc7914"/>
      <w:bookmarkStart w:id="480" w:name="_Toc116400104"/>
      <w:bookmarkStart w:id="481" w:name="_Toc117181953"/>
      <w:r>
        <w:rPr>
          <w:rFonts w:hint="eastAsia"/>
          <w:lang w:val="en-US" w:eastAsia="zh-CN"/>
        </w:rPr>
        <w:t>（四）</w:t>
      </w:r>
      <w:r>
        <w:rPr>
          <w:rFonts w:hint="eastAsia"/>
        </w:rPr>
        <w:t>企业负责人岗位责任制度</w:t>
      </w:r>
      <w:bookmarkEnd w:id="475"/>
      <w:bookmarkEnd w:id="476"/>
      <w:bookmarkEnd w:id="477"/>
      <w:bookmarkEnd w:id="478"/>
      <w:bookmarkEnd w:id="479"/>
      <w:bookmarkEnd w:id="480"/>
      <w:bookmarkEnd w:id="481"/>
    </w:p>
    <w:p>
      <w:pPr>
        <w:ind w:firstLine="480"/>
        <w:rPr>
          <w:rFonts w:hint="eastAsia" w:eastAsia="宋体"/>
          <w:lang w:eastAsia="zh-CN"/>
        </w:rPr>
      </w:pPr>
      <w:r>
        <w:rPr>
          <w:rFonts w:hint="eastAsia"/>
          <w:lang w:eastAsia="zh-CN"/>
        </w:rPr>
        <w:t>（</w:t>
      </w:r>
      <w:r>
        <w:rPr>
          <w:rFonts w:hint="eastAsia"/>
          <w:lang w:val="en-US" w:eastAsia="zh-CN"/>
        </w:rPr>
        <w:t>一</w:t>
      </w:r>
      <w:r>
        <w:rPr>
          <w:rFonts w:hint="eastAsia"/>
          <w:lang w:eastAsia="zh-CN"/>
        </w:rPr>
        <w:t>）</w:t>
      </w:r>
      <w:r>
        <w:rPr>
          <w:rFonts w:hint="eastAsia"/>
        </w:rPr>
        <w:t>认真学习贯彻国家关于安全生产的方针、政策和法规，积极参加有关部门组织的安全法规和安全知识培训，带头遵纪守法，模范执行各项安全生产规章制度，自觉接受行业管理，国家监察和监督。</w:t>
      </w:r>
    </w:p>
    <w:p>
      <w:pPr>
        <w:ind w:firstLine="480"/>
        <w:rPr>
          <w:rFonts w:hint="eastAsia" w:eastAsia="宋体"/>
          <w:lang w:eastAsia="zh-CN"/>
        </w:rPr>
      </w:pPr>
      <w:r>
        <w:rPr>
          <w:rFonts w:hint="eastAsia"/>
          <w:lang w:eastAsia="zh-CN"/>
        </w:rPr>
        <w:t>（</w:t>
      </w:r>
      <w:r>
        <w:rPr>
          <w:rFonts w:hint="eastAsia"/>
          <w:lang w:val="en-US" w:eastAsia="zh-CN"/>
        </w:rPr>
        <w:t>二</w:t>
      </w:r>
      <w:r>
        <w:rPr>
          <w:rFonts w:hint="eastAsia"/>
          <w:lang w:eastAsia="zh-CN"/>
        </w:rPr>
        <w:t>）</w:t>
      </w:r>
      <w:r>
        <w:rPr>
          <w:rFonts w:hint="eastAsia"/>
        </w:rPr>
        <w:t>当好安全生产总指挥的角色，组建以法定代表人为组长、分管安全领导为副组长的安全管理领导小组，主持制定各分管领导的工作职责，明确安全管理责任、权利和义务，及时听取分管领导的汇报，定期考核，并提出下一步工作目标。</w:t>
      </w:r>
    </w:p>
    <w:p>
      <w:pPr>
        <w:ind w:firstLine="480"/>
        <w:rPr>
          <w:rFonts w:hint="eastAsia" w:eastAsia="宋体"/>
          <w:lang w:eastAsia="zh-CN"/>
        </w:rPr>
      </w:pPr>
      <w:r>
        <w:rPr>
          <w:rFonts w:hint="eastAsia"/>
          <w:lang w:eastAsia="zh-CN"/>
        </w:rPr>
        <w:t>（</w:t>
      </w:r>
      <w:r>
        <w:rPr>
          <w:rFonts w:hint="eastAsia"/>
          <w:lang w:val="en-US" w:eastAsia="zh-CN"/>
        </w:rPr>
        <w:t>三</w:t>
      </w:r>
      <w:r>
        <w:rPr>
          <w:rFonts w:hint="eastAsia"/>
          <w:lang w:eastAsia="zh-CN"/>
        </w:rPr>
        <w:t>）</w:t>
      </w:r>
      <w:r>
        <w:rPr>
          <w:rFonts w:hint="eastAsia"/>
        </w:rPr>
        <w:t>建立健全与生产经营活动相适应的安全管理机构，选拔业务素质高、思想作风好、责任性强的人员担任企业安全管理工作，并保持相对的稳定，保证安全管理所需的装备、场地和经费落实到位。</w:t>
      </w:r>
    </w:p>
    <w:p>
      <w:pPr>
        <w:ind w:firstLine="480"/>
        <w:rPr>
          <w:rFonts w:hint="eastAsia" w:eastAsia="宋体"/>
          <w:lang w:eastAsia="zh-CN"/>
        </w:rPr>
      </w:pPr>
      <w:r>
        <w:rPr>
          <w:rFonts w:hint="eastAsia"/>
          <w:lang w:eastAsia="zh-CN"/>
        </w:rPr>
        <w:t>（</w:t>
      </w:r>
      <w:r>
        <w:rPr>
          <w:rFonts w:hint="eastAsia"/>
          <w:lang w:val="en-US" w:eastAsia="zh-CN"/>
        </w:rPr>
        <w:t>四</w:t>
      </w:r>
      <w:r>
        <w:rPr>
          <w:rFonts w:hint="eastAsia"/>
          <w:lang w:eastAsia="zh-CN"/>
        </w:rPr>
        <w:t>）</w:t>
      </w:r>
      <w:r>
        <w:rPr>
          <w:rFonts w:hint="eastAsia"/>
        </w:rPr>
        <w:t>认真审定安全生产责任制、车辆安全技术管理、驾驶员管理、安全教育培训、安全生产检查、事故管理、机具设备安全管理、安全生产奖惩等一整套安全生产规章制度，认真审定事故救援应急预案。</w:t>
      </w:r>
    </w:p>
    <w:p>
      <w:pPr>
        <w:ind w:firstLine="480"/>
        <w:rPr>
          <w:rFonts w:hint="eastAsia" w:eastAsia="宋体"/>
          <w:lang w:eastAsia="zh-CN"/>
        </w:rPr>
      </w:pPr>
      <w:r>
        <w:rPr>
          <w:rFonts w:hint="eastAsia"/>
          <w:lang w:eastAsia="zh-CN"/>
        </w:rPr>
        <w:t>（</w:t>
      </w:r>
      <w:r>
        <w:rPr>
          <w:rFonts w:hint="eastAsia"/>
          <w:lang w:val="en-US" w:eastAsia="zh-CN"/>
        </w:rPr>
        <w:t>五</w:t>
      </w:r>
      <w:r>
        <w:rPr>
          <w:rFonts w:hint="eastAsia"/>
          <w:lang w:eastAsia="zh-CN"/>
        </w:rPr>
        <w:t>）</w:t>
      </w:r>
      <w:r>
        <w:rPr>
          <w:rFonts w:hint="eastAsia"/>
        </w:rPr>
        <w:t>参与和主持召开安全生产工作会议，提出安全生产目标和总体规划，研究解决安全生产上的重大问题，定期检查贯彻安全生产责任制和有关重大措施的落实情况。</w:t>
      </w:r>
    </w:p>
    <w:p>
      <w:pPr>
        <w:ind w:firstLine="480"/>
        <w:rPr>
          <w:rFonts w:hint="eastAsia" w:eastAsia="宋体"/>
          <w:lang w:eastAsia="zh-CN"/>
        </w:rPr>
      </w:pPr>
      <w:r>
        <w:rPr>
          <w:rFonts w:hint="eastAsia"/>
          <w:lang w:eastAsia="zh-CN"/>
        </w:rPr>
        <w:t>（</w:t>
      </w:r>
      <w:r>
        <w:rPr>
          <w:rFonts w:hint="eastAsia"/>
          <w:lang w:val="en-US" w:eastAsia="zh-CN"/>
        </w:rPr>
        <w:t>六</w:t>
      </w:r>
      <w:r>
        <w:rPr>
          <w:rFonts w:hint="eastAsia"/>
          <w:lang w:eastAsia="zh-CN"/>
        </w:rPr>
        <w:t>）</w:t>
      </w:r>
      <w:r>
        <w:rPr>
          <w:rFonts w:hint="eastAsia"/>
        </w:rPr>
        <w:t>督促职能部门和基层单位加强对从业人员的安全教育和职业道德教育，抓好干部职工的安全培训，努力提高全员安全意识。</w:t>
      </w:r>
    </w:p>
    <w:p>
      <w:pPr>
        <w:ind w:firstLine="480"/>
      </w:pPr>
      <w:r>
        <w:rPr>
          <w:rFonts w:hint="eastAsia"/>
          <w:lang w:eastAsia="zh-CN"/>
        </w:rPr>
        <w:t>（</w:t>
      </w:r>
      <w:r>
        <w:rPr>
          <w:rFonts w:hint="eastAsia"/>
          <w:lang w:val="en-US" w:eastAsia="zh-CN"/>
        </w:rPr>
        <w:t>七</w:t>
      </w:r>
      <w:r>
        <w:rPr>
          <w:rFonts w:hint="eastAsia"/>
          <w:lang w:eastAsia="zh-CN"/>
        </w:rPr>
        <w:t>）</w:t>
      </w:r>
      <w:r>
        <w:rPr>
          <w:rFonts w:hint="eastAsia"/>
        </w:rPr>
        <w:t>加强事故管理，对各类事故严格按“四不放过”的原则处理；发生事故按规定时间及程序报告有关部门，并对报告的及时性、准确性负责；对事故责任者要严肃处理，决不姑息迁就；接到运管部门发出的《安全事故隐患督查通知书》后，必须在限期内妥善解决。</w:t>
      </w:r>
    </w:p>
    <w:p>
      <w:pPr>
        <w:pStyle w:val="6"/>
        <w:bidi w:val="0"/>
      </w:pPr>
      <w:bookmarkStart w:id="482" w:name="_Toc80521581"/>
      <w:bookmarkStart w:id="483" w:name="_Toc117181954"/>
      <w:bookmarkStart w:id="484" w:name="_Toc118293267"/>
      <w:bookmarkStart w:id="485" w:name="_Toc17280"/>
      <w:bookmarkStart w:id="486" w:name="_Toc116400105"/>
      <w:bookmarkStart w:id="487" w:name="_Toc82588807"/>
      <w:bookmarkStart w:id="488" w:name="_Toc82784988"/>
      <w:r>
        <w:rPr>
          <w:rFonts w:hint="eastAsia"/>
          <w:lang w:val="en-US" w:eastAsia="zh-CN"/>
        </w:rPr>
        <w:t>（五）</w:t>
      </w:r>
      <w:r>
        <w:rPr>
          <w:rFonts w:hint="eastAsia"/>
        </w:rPr>
        <w:t>驾驶员岗位责任制度</w:t>
      </w:r>
      <w:bookmarkEnd w:id="482"/>
      <w:bookmarkEnd w:id="483"/>
      <w:bookmarkEnd w:id="484"/>
      <w:bookmarkEnd w:id="485"/>
      <w:bookmarkEnd w:id="486"/>
      <w:bookmarkEnd w:id="487"/>
      <w:bookmarkEnd w:id="488"/>
    </w:p>
    <w:p>
      <w:pPr>
        <w:ind w:firstLine="480"/>
      </w:pPr>
      <w:r>
        <w:rPr>
          <w:rFonts w:hint="eastAsia"/>
          <w:lang w:eastAsia="zh-CN"/>
        </w:rPr>
        <w:t>（</w:t>
      </w:r>
      <w:r>
        <w:rPr>
          <w:rFonts w:hint="eastAsia"/>
          <w:lang w:val="en-US" w:eastAsia="zh-CN"/>
        </w:rPr>
        <w:t>一</w:t>
      </w:r>
      <w:r>
        <w:rPr>
          <w:rFonts w:hint="eastAsia"/>
          <w:lang w:eastAsia="zh-CN"/>
        </w:rPr>
        <w:t>）</w:t>
      </w:r>
      <w:r>
        <w:rPr>
          <w:rFonts w:hint="eastAsia"/>
        </w:rPr>
        <w:t>严格遵守岗位职责，标准作业规程、员工守则和安全驾驶规章制度，遵守《中华人民共和国道路交通管理条例》。</w:t>
      </w:r>
    </w:p>
    <w:p>
      <w:pPr>
        <w:ind w:firstLine="480"/>
      </w:pPr>
      <w:r>
        <w:rPr>
          <w:rFonts w:hint="eastAsia"/>
          <w:lang w:eastAsia="zh-CN"/>
        </w:rPr>
        <w:t>（</w:t>
      </w:r>
      <w:r>
        <w:rPr>
          <w:rFonts w:hint="eastAsia"/>
          <w:lang w:val="en-US" w:eastAsia="zh-CN"/>
        </w:rPr>
        <w:t>二</w:t>
      </w:r>
      <w:r>
        <w:rPr>
          <w:rFonts w:hint="eastAsia"/>
          <w:lang w:eastAsia="zh-CN"/>
        </w:rPr>
        <w:t>）</w:t>
      </w:r>
      <w:r>
        <w:rPr>
          <w:rFonts w:hint="eastAsia"/>
        </w:rPr>
        <w:t>熟悉掌握车辆的工作原理、技术性能和实际操作，明了交通服务路线。</w:t>
      </w:r>
    </w:p>
    <w:p>
      <w:pPr>
        <w:ind w:firstLine="480"/>
      </w:pPr>
      <w:r>
        <w:rPr>
          <w:rFonts w:hint="eastAsia"/>
          <w:lang w:eastAsia="zh-CN"/>
        </w:rPr>
        <w:t>（</w:t>
      </w:r>
      <w:r>
        <w:rPr>
          <w:rFonts w:hint="eastAsia"/>
          <w:lang w:val="en-US" w:eastAsia="zh-CN"/>
        </w:rPr>
        <w:t>三</w:t>
      </w:r>
      <w:r>
        <w:rPr>
          <w:rFonts w:hint="eastAsia"/>
          <w:lang w:eastAsia="zh-CN"/>
        </w:rPr>
        <w:t>）</w:t>
      </w:r>
      <w:r>
        <w:rPr>
          <w:rFonts w:hint="eastAsia"/>
        </w:rPr>
        <w:t>按照工作时间表的安排，安全完成行车任务，并将工作情况认真记录在工作日志上。</w:t>
      </w:r>
    </w:p>
    <w:p>
      <w:pPr>
        <w:ind w:firstLine="480"/>
      </w:pPr>
      <w:r>
        <w:rPr>
          <w:rFonts w:hint="eastAsia"/>
          <w:lang w:eastAsia="zh-CN"/>
        </w:rPr>
        <w:t>（</w:t>
      </w:r>
      <w:r>
        <w:rPr>
          <w:rFonts w:hint="eastAsia"/>
          <w:lang w:val="en-US" w:eastAsia="zh-CN"/>
        </w:rPr>
        <w:t>四</w:t>
      </w:r>
      <w:r>
        <w:rPr>
          <w:rFonts w:hint="eastAsia"/>
          <w:lang w:eastAsia="zh-CN"/>
        </w:rPr>
        <w:t>）</w:t>
      </w:r>
      <w:r>
        <w:rPr>
          <w:rFonts w:hint="eastAsia"/>
        </w:rPr>
        <w:t>做好车辆维修保养工作，每天出车前要检查机油、油、水表和轮胎等状况，发现车辆出现故障立即报告主管。</w:t>
      </w:r>
    </w:p>
    <w:p>
      <w:pPr>
        <w:ind w:firstLine="480"/>
      </w:pPr>
      <w:r>
        <w:rPr>
          <w:rFonts w:hint="eastAsia"/>
          <w:lang w:eastAsia="zh-CN"/>
        </w:rPr>
        <w:t>（</w:t>
      </w:r>
      <w:r>
        <w:rPr>
          <w:rFonts w:hint="eastAsia"/>
          <w:lang w:val="en-US" w:eastAsia="zh-CN"/>
        </w:rPr>
        <w:t>五</w:t>
      </w:r>
      <w:r>
        <w:rPr>
          <w:rFonts w:hint="eastAsia"/>
          <w:lang w:eastAsia="zh-CN"/>
        </w:rPr>
        <w:t>）</w:t>
      </w:r>
      <w:r>
        <w:rPr>
          <w:rFonts w:hint="eastAsia"/>
        </w:rPr>
        <w:t>刻苦学习专业技能，培养良好的职业道德意识；掌握服务技巧，着工装，树立良好的服务形象。</w:t>
      </w:r>
    </w:p>
    <w:p>
      <w:pPr>
        <w:ind w:firstLine="480"/>
      </w:pPr>
      <w:r>
        <w:rPr>
          <w:rFonts w:hint="eastAsia"/>
          <w:lang w:eastAsia="zh-CN"/>
        </w:rPr>
        <w:t>（</w:t>
      </w:r>
      <w:r>
        <w:rPr>
          <w:rFonts w:hint="eastAsia"/>
          <w:lang w:val="en-US" w:eastAsia="zh-CN"/>
        </w:rPr>
        <w:t>六</w:t>
      </w:r>
      <w:r>
        <w:rPr>
          <w:rFonts w:hint="eastAsia"/>
          <w:lang w:eastAsia="zh-CN"/>
        </w:rPr>
        <w:t>）</w:t>
      </w:r>
      <w:r>
        <w:rPr>
          <w:rFonts w:hint="eastAsia"/>
        </w:rPr>
        <w:t>要礼貌用语，热情待客。</w:t>
      </w:r>
    </w:p>
    <w:p>
      <w:pPr>
        <w:ind w:firstLine="480"/>
      </w:pPr>
      <w:r>
        <w:rPr>
          <w:rFonts w:hint="eastAsia"/>
          <w:lang w:eastAsia="zh-CN"/>
        </w:rPr>
        <w:t>（</w:t>
      </w:r>
      <w:r>
        <w:rPr>
          <w:rFonts w:hint="eastAsia"/>
          <w:lang w:val="en-US" w:eastAsia="zh-CN"/>
        </w:rPr>
        <w:t>七</w:t>
      </w:r>
      <w:r>
        <w:rPr>
          <w:rFonts w:hint="eastAsia"/>
          <w:lang w:eastAsia="zh-CN"/>
        </w:rPr>
        <w:t>）</w:t>
      </w:r>
      <w:r>
        <w:rPr>
          <w:rFonts w:hint="eastAsia"/>
        </w:rPr>
        <w:t>保管好本人行驶证、营运证。出车要带好本人的驾照。</w:t>
      </w:r>
    </w:p>
    <w:p>
      <w:pPr>
        <w:ind w:firstLine="480"/>
      </w:pPr>
      <w:r>
        <w:rPr>
          <w:rFonts w:hint="eastAsia"/>
          <w:lang w:eastAsia="zh-CN"/>
        </w:rPr>
        <w:t>（</w:t>
      </w:r>
      <w:r>
        <w:rPr>
          <w:rFonts w:hint="eastAsia"/>
          <w:lang w:val="en-US" w:eastAsia="zh-CN"/>
        </w:rPr>
        <w:t>八</w:t>
      </w:r>
      <w:r>
        <w:rPr>
          <w:rFonts w:hint="eastAsia"/>
          <w:lang w:eastAsia="zh-CN"/>
        </w:rPr>
        <w:t>）</w:t>
      </w:r>
      <w:r>
        <w:rPr>
          <w:rFonts w:hint="eastAsia"/>
        </w:rPr>
        <w:t>驾驶车辆要保持中速行驶，做到礼让三先，时刻牢记“十次肇事九次快”、“宁停三分，不抢一秒”，确保行车安全。</w:t>
      </w:r>
    </w:p>
    <w:p>
      <w:pPr>
        <w:ind w:firstLine="480"/>
      </w:pPr>
      <w:r>
        <w:rPr>
          <w:rFonts w:hint="eastAsia"/>
          <w:lang w:eastAsia="zh-CN"/>
        </w:rPr>
        <w:t>（</w:t>
      </w:r>
      <w:r>
        <w:rPr>
          <w:rFonts w:hint="eastAsia"/>
          <w:lang w:val="en-US" w:eastAsia="zh-CN"/>
        </w:rPr>
        <w:t>九</w:t>
      </w:r>
      <w:r>
        <w:rPr>
          <w:rFonts w:hint="eastAsia"/>
          <w:lang w:eastAsia="zh-CN"/>
        </w:rPr>
        <w:t>）</w:t>
      </w:r>
      <w:r>
        <w:rPr>
          <w:rFonts w:hint="eastAsia"/>
        </w:rPr>
        <w:t>严禁无证人员驾驶各种车辆。驾驶员不得将车辆交给无证人员驾驶。</w:t>
      </w:r>
    </w:p>
    <w:p>
      <w:pPr>
        <w:ind w:firstLine="480"/>
      </w:pPr>
      <w:r>
        <w:rPr>
          <w:rFonts w:hint="eastAsia"/>
          <w:lang w:eastAsia="zh-CN"/>
        </w:rPr>
        <w:t>（</w:t>
      </w:r>
      <w:r>
        <w:rPr>
          <w:rFonts w:hint="eastAsia"/>
          <w:lang w:val="en-US" w:eastAsia="zh-CN"/>
        </w:rPr>
        <w:t>十</w:t>
      </w:r>
      <w:r>
        <w:rPr>
          <w:rFonts w:hint="eastAsia"/>
          <w:lang w:eastAsia="zh-CN"/>
        </w:rPr>
        <w:t>）</w:t>
      </w:r>
      <w:r>
        <w:rPr>
          <w:rFonts w:hint="eastAsia"/>
        </w:rPr>
        <w:t>驾驶员身体不适、不能保证安全行车时，不得担任驾驶工作。</w:t>
      </w:r>
    </w:p>
    <w:p>
      <w:pPr>
        <w:ind w:firstLine="480"/>
      </w:pPr>
      <w:r>
        <w:rPr>
          <w:rFonts w:hint="eastAsia"/>
          <w:lang w:eastAsia="zh-CN"/>
        </w:rPr>
        <w:t>（</w:t>
      </w:r>
      <w:r>
        <w:rPr>
          <w:rFonts w:hint="eastAsia"/>
          <w:lang w:val="en-US" w:eastAsia="zh-CN"/>
        </w:rPr>
        <w:t>十一</w:t>
      </w:r>
      <w:r>
        <w:rPr>
          <w:rFonts w:hint="eastAsia"/>
          <w:lang w:eastAsia="zh-CN"/>
        </w:rPr>
        <w:t>）</w:t>
      </w:r>
      <w:r>
        <w:rPr>
          <w:rFonts w:hint="eastAsia"/>
        </w:rPr>
        <w:t>司机出车前后要登记，签写《车辆使用登记表》接单确认。</w:t>
      </w:r>
    </w:p>
    <w:p>
      <w:pPr>
        <w:ind w:firstLine="480"/>
      </w:pPr>
      <w:r>
        <w:rPr>
          <w:rFonts w:hint="eastAsia"/>
          <w:lang w:eastAsia="zh-CN"/>
        </w:rPr>
        <w:t>（</w:t>
      </w:r>
      <w:r>
        <w:rPr>
          <w:rFonts w:hint="eastAsia"/>
          <w:lang w:val="en-US" w:eastAsia="zh-CN"/>
        </w:rPr>
        <w:t>十二</w:t>
      </w:r>
      <w:r>
        <w:rPr>
          <w:rFonts w:hint="eastAsia"/>
          <w:lang w:eastAsia="zh-CN"/>
        </w:rPr>
        <w:t>）</w:t>
      </w:r>
      <w:r>
        <w:rPr>
          <w:rFonts w:hint="eastAsia"/>
        </w:rPr>
        <w:t>服从安排坚决执行，严禁借故拖延，拒绝出车。</w:t>
      </w:r>
    </w:p>
    <w:p>
      <w:pPr>
        <w:ind w:firstLine="480"/>
      </w:pPr>
      <w:r>
        <w:rPr>
          <w:rFonts w:hint="eastAsia"/>
          <w:lang w:eastAsia="zh-CN"/>
        </w:rPr>
        <w:t>（</w:t>
      </w:r>
      <w:r>
        <w:rPr>
          <w:rFonts w:hint="eastAsia"/>
          <w:lang w:val="en-US" w:eastAsia="zh-CN"/>
        </w:rPr>
        <w:t>十三</w:t>
      </w:r>
      <w:r>
        <w:rPr>
          <w:rFonts w:hint="eastAsia"/>
          <w:lang w:eastAsia="zh-CN"/>
        </w:rPr>
        <w:t>）</w:t>
      </w:r>
      <w:r>
        <w:rPr>
          <w:rFonts w:hint="eastAsia"/>
        </w:rPr>
        <w:t>公司会通过车上GPS定位实时车辆动态。</w:t>
      </w:r>
    </w:p>
    <w:p>
      <w:pPr>
        <w:ind w:firstLine="480"/>
      </w:pPr>
      <w:r>
        <w:rPr>
          <w:rFonts w:hint="eastAsia"/>
          <w:lang w:eastAsia="zh-CN"/>
        </w:rPr>
        <w:t>（</w:t>
      </w:r>
      <w:r>
        <w:rPr>
          <w:rFonts w:hint="eastAsia"/>
          <w:lang w:val="en-US" w:eastAsia="zh-CN"/>
        </w:rPr>
        <w:t>十四</w:t>
      </w:r>
      <w:r>
        <w:rPr>
          <w:rFonts w:hint="eastAsia"/>
          <w:lang w:eastAsia="zh-CN"/>
        </w:rPr>
        <w:t>）</w:t>
      </w:r>
      <w:r>
        <w:rPr>
          <w:rFonts w:hint="eastAsia"/>
        </w:rPr>
        <w:t>每日出车前对车辆外观清洁，车辆功能检测，里程上传在队长监督下完成，发现问题及时上报。</w:t>
      </w:r>
    </w:p>
    <w:p>
      <w:pPr>
        <w:ind w:firstLine="480"/>
      </w:pPr>
      <w:r>
        <w:rPr>
          <w:rFonts w:hint="eastAsia"/>
          <w:lang w:eastAsia="zh-CN"/>
        </w:rPr>
        <w:t>（</w:t>
      </w:r>
      <w:r>
        <w:rPr>
          <w:rFonts w:hint="eastAsia"/>
          <w:lang w:val="en-US" w:eastAsia="zh-CN"/>
        </w:rPr>
        <w:t>十五</w:t>
      </w:r>
      <w:r>
        <w:rPr>
          <w:rFonts w:hint="eastAsia"/>
          <w:lang w:eastAsia="zh-CN"/>
        </w:rPr>
        <w:t>）</w:t>
      </w:r>
      <w:r>
        <w:rPr>
          <w:rFonts w:hint="eastAsia"/>
        </w:rPr>
        <w:t>车辆使用完毕，必须停在指定位置，刹手刹关好门窗，得阻塞通道钥匙上交。</w:t>
      </w:r>
    </w:p>
    <w:p>
      <w:pPr>
        <w:ind w:firstLine="480"/>
      </w:pPr>
      <w:r>
        <w:rPr>
          <w:rFonts w:hint="eastAsia"/>
          <w:lang w:eastAsia="zh-CN"/>
        </w:rPr>
        <w:t>（</w:t>
      </w:r>
      <w:r>
        <w:rPr>
          <w:rFonts w:hint="eastAsia"/>
          <w:lang w:val="en-US" w:eastAsia="zh-CN"/>
        </w:rPr>
        <w:t>十六</w:t>
      </w:r>
      <w:r>
        <w:rPr>
          <w:rFonts w:hint="eastAsia"/>
          <w:lang w:eastAsia="zh-CN"/>
        </w:rPr>
        <w:t>）</w:t>
      </w:r>
      <w:r>
        <w:rPr>
          <w:rFonts w:hint="eastAsia"/>
        </w:rPr>
        <w:t>易燃易爆物品，违禁品违法物品，管制刀具，毒品等严重危害公共安全，危害人民利益的违法犯罪活动坚决予以抵制，上报，避免给不法行为搭建桥梁。</w:t>
      </w:r>
    </w:p>
    <w:p>
      <w:pPr>
        <w:pStyle w:val="6"/>
        <w:bidi w:val="0"/>
      </w:pPr>
      <w:bookmarkStart w:id="489" w:name="_Toc82784989"/>
      <w:bookmarkStart w:id="490" w:name="_Toc118293268"/>
      <w:bookmarkStart w:id="491" w:name="_Toc11466"/>
      <w:bookmarkStart w:id="492" w:name="_Toc116400106"/>
      <w:bookmarkStart w:id="493" w:name="_Toc117181955"/>
      <w:r>
        <w:rPr>
          <w:rFonts w:hint="eastAsia"/>
          <w:lang w:val="en-US" w:eastAsia="zh-CN"/>
        </w:rPr>
        <w:t>（六）</w:t>
      </w:r>
      <w:r>
        <w:rPr>
          <w:rFonts w:hint="eastAsia"/>
        </w:rPr>
        <w:t>车辆GSP管理制度</w:t>
      </w:r>
      <w:bookmarkEnd w:id="489"/>
      <w:bookmarkEnd w:id="490"/>
      <w:bookmarkEnd w:id="491"/>
      <w:bookmarkEnd w:id="492"/>
      <w:bookmarkEnd w:id="493"/>
    </w:p>
    <w:p>
      <w:pPr>
        <w:keepNext w:val="0"/>
        <w:keepLines w:val="0"/>
        <w:pageBreakBefore w:val="0"/>
        <w:widowControl w:val="0"/>
        <w:kinsoku/>
        <w:wordWrap/>
        <w:overflowPunct/>
        <w:topLinePunct w:val="0"/>
        <w:autoSpaceDE/>
        <w:autoSpaceDN/>
        <w:bidi w:val="0"/>
        <w:adjustRightInd/>
        <w:snapToGrid w:val="0"/>
        <w:ind w:firstLine="562" w:firstLineChars="200"/>
        <w:textAlignment w:val="auto"/>
        <w:rPr>
          <w:b/>
          <w:bCs/>
        </w:rPr>
      </w:pPr>
      <w:r>
        <w:rPr>
          <w:rFonts w:hint="eastAsia"/>
          <w:b/>
          <w:bCs/>
          <w:lang w:eastAsia="zh-CN"/>
        </w:rPr>
        <w:t>（</w:t>
      </w:r>
      <w:r>
        <w:rPr>
          <w:rFonts w:hint="eastAsia"/>
          <w:b/>
          <w:bCs/>
          <w:lang w:val="en-US" w:eastAsia="zh-CN"/>
        </w:rPr>
        <w:t>一</w:t>
      </w:r>
      <w:r>
        <w:rPr>
          <w:rFonts w:hint="eastAsia"/>
          <w:b/>
          <w:bCs/>
          <w:lang w:eastAsia="zh-CN"/>
        </w:rPr>
        <w:t>）</w:t>
      </w:r>
      <w:r>
        <w:rPr>
          <w:rFonts w:hint="eastAsia"/>
          <w:b/>
          <w:bCs/>
        </w:rPr>
        <w:t>GPS使用管理</w:t>
      </w:r>
    </w:p>
    <w:p>
      <w:pPr>
        <w:keepNext w:val="0"/>
        <w:keepLines w:val="0"/>
        <w:pageBreakBefore w:val="0"/>
        <w:widowControl w:val="0"/>
        <w:kinsoku/>
        <w:wordWrap/>
        <w:overflowPunct/>
        <w:topLinePunct w:val="0"/>
        <w:autoSpaceDE/>
        <w:autoSpaceDN/>
        <w:bidi w:val="0"/>
        <w:adjustRightInd/>
        <w:snapToGrid w:val="0"/>
        <w:ind w:firstLine="560" w:firstLineChars="200"/>
        <w:textAlignment w:val="auto"/>
        <w:rPr>
          <w:rFonts w:hint="eastAsia" w:eastAsia="宋体"/>
          <w:lang w:eastAsia="zh-CN"/>
        </w:rPr>
      </w:pPr>
      <w:r>
        <w:t>1</w:t>
      </w:r>
      <w:r>
        <w:rPr>
          <w:rFonts w:hint="eastAsia"/>
          <w:lang w:eastAsia="zh-CN"/>
        </w:rPr>
        <w:t>、</w:t>
      </w:r>
      <w:r>
        <w:t>GPS</w:t>
      </w:r>
      <w:r>
        <w:rPr>
          <w:rFonts w:hint="eastAsia"/>
        </w:rPr>
        <w:t>使用终端须按规定使用和接受管理，除专职人员外任何人不得擅自安装、改装和拆卸。</w:t>
      </w:r>
    </w:p>
    <w:p>
      <w:pPr>
        <w:keepNext w:val="0"/>
        <w:keepLines w:val="0"/>
        <w:pageBreakBefore w:val="0"/>
        <w:widowControl w:val="0"/>
        <w:kinsoku/>
        <w:wordWrap/>
        <w:overflowPunct/>
        <w:topLinePunct w:val="0"/>
        <w:autoSpaceDE/>
        <w:autoSpaceDN/>
        <w:bidi w:val="0"/>
        <w:adjustRightInd/>
        <w:snapToGrid w:val="0"/>
        <w:ind w:firstLine="560" w:firstLineChars="200"/>
        <w:textAlignment w:val="auto"/>
        <w:rPr>
          <w:rFonts w:hint="eastAsia" w:eastAsia="宋体"/>
          <w:lang w:eastAsia="zh-CN"/>
        </w:rPr>
      </w:pPr>
      <w:r>
        <w:t>2</w:t>
      </w:r>
      <w:r>
        <w:rPr>
          <w:rFonts w:hint="eastAsia"/>
          <w:lang w:eastAsia="zh-CN"/>
        </w:rPr>
        <w:t>、</w:t>
      </w:r>
      <w:r>
        <w:rPr>
          <w:rFonts w:hint="eastAsia"/>
        </w:rPr>
        <w:t>车载</w:t>
      </w:r>
      <w:r>
        <w:t>GPS</w:t>
      </w:r>
      <w:r>
        <w:rPr>
          <w:rFonts w:hint="eastAsia"/>
        </w:rPr>
        <w:t>设备损坏或发生故障，导致不能正常使用或遇特殊情况确实需要拆卸时，司机应及时向车队管理人员和调度中心报告，由车队管理人员联系专业的人员进行修理或拆卸安装。</w:t>
      </w:r>
    </w:p>
    <w:p>
      <w:pPr>
        <w:keepNext w:val="0"/>
        <w:keepLines w:val="0"/>
        <w:pageBreakBefore w:val="0"/>
        <w:widowControl w:val="0"/>
        <w:kinsoku/>
        <w:wordWrap/>
        <w:overflowPunct/>
        <w:topLinePunct w:val="0"/>
        <w:autoSpaceDE/>
        <w:autoSpaceDN/>
        <w:bidi w:val="0"/>
        <w:adjustRightInd/>
        <w:snapToGrid w:val="0"/>
        <w:ind w:firstLine="560" w:firstLineChars="200"/>
        <w:textAlignment w:val="auto"/>
      </w:pPr>
      <w:r>
        <w:rPr>
          <w:rFonts w:hint="eastAsia"/>
        </w:rPr>
        <w:t>3</w:t>
      </w:r>
      <w:r>
        <w:rPr>
          <w:rFonts w:hint="eastAsia"/>
          <w:lang w:eastAsia="zh-CN"/>
        </w:rPr>
        <w:t>、</w:t>
      </w:r>
      <w:r>
        <w:rPr>
          <w:rFonts w:hint="eastAsia"/>
        </w:rPr>
        <w:t>驾驶员须保证对车载GPS设备尽到保管义务和爱护责任，应严格做好防火、防水、防油。在日常运营、清洁、维修时，必须保证GPS系统设备不受损坏，保证做到正确使用。不能为逃避监管而切断电源或故意损坏设备，否则，公司将对当事人进行处罚。</w:t>
      </w:r>
    </w:p>
    <w:p>
      <w:pPr>
        <w:keepNext w:val="0"/>
        <w:keepLines w:val="0"/>
        <w:pageBreakBefore w:val="0"/>
        <w:widowControl w:val="0"/>
        <w:kinsoku/>
        <w:wordWrap/>
        <w:overflowPunct/>
        <w:topLinePunct w:val="0"/>
        <w:autoSpaceDE/>
        <w:autoSpaceDN/>
        <w:bidi w:val="0"/>
        <w:adjustRightInd/>
        <w:snapToGrid w:val="0"/>
        <w:ind w:firstLine="560" w:firstLineChars="200"/>
        <w:textAlignment w:val="auto"/>
      </w:pPr>
      <w:r>
        <w:rPr>
          <w:rFonts w:hint="eastAsia"/>
        </w:rPr>
        <w:t>4</w:t>
      </w:r>
      <w:r>
        <w:rPr>
          <w:rFonts w:hint="eastAsia"/>
          <w:lang w:eastAsia="zh-CN"/>
        </w:rPr>
        <w:t>、</w:t>
      </w:r>
      <w:r>
        <w:rPr>
          <w:rFonts w:hint="eastAsia"/>
        </w:rPr>
        <w:t>驾驶员在驾驶车辆运行至完全停驶期间，要开启设备，保证GPS始终处于工作状态。</w:t>
      </w:r>
    </w:p>
    <w:p>
      <w:pPr>
        <w:keepNext w:val="0"/>
        <w:keepLines w:val="0"/>
        <w:pageBreakBefore w:val="0"/>
        <w:widowControl w:val="0"/>
        <w:kinsoku/>
        <w:wordWrap/>
        <w:overflowPunct/>
        <w:topLinePunct w:val="0"/>
        <w:autoSpaceDE/>
        <w:autoSpaceDN/>
        <w:bidi w:val="0"/>
        <w:adjustRightInd/>
        <w:snapToGrid w:val="0"/>
        <w:ind w:firstLine="562" w:firstLineChars="200"/>
        <w:textAlignment w:val="auto"/>
        <w:rPr>
          <w:rFonts w:hint="eastAsia" w:eastAsia="宋体"/>
          <w:b/>
          <w:bCs/>
          <w:lang w:eastAsia="zh-CN"/>
        </w:rPr>
      </w:pPr>
      <w:r>
        <w:rPr>
          <w:rFonts w:hint="eastAsia"/>
          <w:b/>
          <w:bCs/>
          <w:lang w:eastAsia="zh-CN"/>
        </w:rPr>
        <w:t>（</w:t>
      </w:r>
      <w:r>
        <w:rPr>
          <w:rFonts w:hint="eastAsia"/>
          <w:b/>
          <w:bCs/>
          <w:lang w:val="en-US" w:eastAsia="zh-CN"/>
        </w:rPr>
        <w:t>二</w:t>
      </w:r>
      <w:r>
        <w:rPr>
          <w:rFonts w:hint="eastAsia"/>
          <w:b/>
          <w:bCs/>
          <w:lang w:eastAsia="zh-CN"/>
        </w:rPr>
        <w:t>）</w:t>
      </w:r>
      <w:r>
        <w:rPr>
          <w:rFonts w:hint="eastAsia"/>
          <w:b/>
          <w:bCs/>
        </w:rPr>
        <w:t>驾驶员职责</w:t>
      </w:r>
    </w:p>
    <w:p>
      <w:pPr>
        <w:keepNext w:val="0"/>
        <w:keepLines w:val="0"/>
        <w:pageBreakBefore w:val="0"/>
        <w:widowControl w:val="0"/>
        <w:kinsoku/>
        <w:wordWrap/>
        <w:overflowPunct/>
        <w:topLinePunct w:val="0"/>
        <w:autoSpaceDE/>
        <w:autoSpaceDN/>
        <w:bidi w:val="0"/>
        <w:adjustRightInd/>
        <w:snapToGrid w:val="0"/>
        <w:ind w:firstLine="560" w:firstLineChars="200"/>
        <w:textAlignment w:val="auto"/>
      </w:pPr>
      <w:r>
        <w:rPr>
          <w:rFonts w:hint="eastAsia"/>
        </w:rPr>
        <w:t>1</w:t>
      </w:r>
      <w:r>
        <w:rPr>
          <w:rFonts w:hint="eastAsia"/>
          <w:lang w:eastAsia="zh-CN"/>
        </w:rPr>
        <w:t>、</w:t>
      </w:r>
      <w:r>
        <w:rPr>
          <w:rFonts w:hint="eastAsia"/>
        </w:rPr>
        <w:t>当班驾驶员为GPS第一责任人；</w:t>
      </w:r>
    </w:p>
    <w:p>
      <w:pPr>
        <w:keepNext w:val="0"/>
        <w:keepLines w:val="0"/>
        <w:pageBreakBefore w:val="0"/>
        <w:widowControl w:val="0"/>
        <w:kinsoku/>
        <w:wordWrap/>
        <w:overflowPunct/>
        <w:topLinePunct w:val="0"/>
        <w:autoSpaceDE/>
        <w:autoSpaceDN/>
        <w:bidi w:val="0"/>
        <w:adjustRightInd/>
        <w:snapToGrid w:val="0"/>
        <w:ind w:firstLine="560" w:firstLineChars="200"/>
        <w:textAlignment w:val="auto"/>
        <w:rPr>
          <w:rFonts w:hint="eastAsia" w:eastAsia="宋体"/>
          <w:lang w:eastAsia="zh-CN"/>
        </w:rPr>
      </w:pPr>
      <w:r>
        <w:t>2</w:t>
      </w:r>
      <w:r>
        <w:rPr>
          <w:rFonts w:hint="eastAsia"/>
          <w:lang w:eastAsia="zh-CN"/>
        </w:rPr>
        <w:t>、</w:t>
      </w:r>
      <w:r>
        <w:rPr>
          <w:rFonts w:hint="eastAsia"/>
        </w:rPr>
        <w:t>驾驶员应当学会使用与维护</w:t>
      </w:r>
      <w:r>
        <w:t>GPS</w:t>
      </w:r>
      <w:r>
        <w:rPr>
          <w:rFonts w:hint="eastAsia"/>
        </w:rPr>
        <w:t>终端；</w:t>
      </w:r>
    </w:p>
    <w:p>
      <w:pPr>
        <w:keepNext w:val="0"/>
        <w:keepLines w:val="0"/>
        <w:pageBreakBefore w:val="0"/>
        <w:widowControl w:val="0"/>
        <w:kinsoku/>
        <w:wordWrap/>
        <w:overflowPunct/>
        <w:topLinePunct w:val="0"/>
        <w:autoSpaceDE/>
        <w:autoSpaceDN/>
        <w:bidi w:val="0"/>
        <w:adjustRightInd/>
        <w:snapToGrid w:val="0"/>
        <w:ind w:firstLine="560" w:firstLineChars="200"/>
        <w:textAlignment w:val="auto"/>
        <w:rPr>
          <w:rFonts w:hint="eastAsia" w:eastAsia="宋体"/>
          <w:lang w:eastAsia="zh-CN"/>
        </w:rPr>
      </w:pPr>
      <w:r>
        <w:t>3</w:t>
      </w:r>
      <w:r>
        <w:rPr>
          <w:rFonts w:hint="eastAsia"/>
          <w:lang w:eastAsia="zh-CN"/>
        </w:rPr>
        <w:t>、</w:t>
      </w:r>
      <w:r>
        <w:rPr>
          <w:rFonts w:hint="eastAsia"/>
        </w:rPr>
        <w:t>驾驶员要接受公司</w:t>
      </w:r>
      <w:r>
        <w:t>GPS</w:t>
      </w:r>
      <w:r>
        <w:rPr>
          <w:rFonts w:hint="eastAsia"/>
        </w:rPr>
        <w:t>检查，坚决杜绝违章现象；</w:t>
      </w:r>
    </w:p>
    <w:p>
      <w:pPr>
        <w:keepNext w:val="0"/>
        <w:keepLines w:val="0"/>
        <w:pageBreakBefore w:val="0"/>
        <w:widowControl w:val="0"/>
        <w:kinsoku/>
        <w:wordWrap/>
        <w:overflowPunct/>
        <w:topLinePunct w:val="0"/>
        <w:autoSpaceDE/>
        <w:autoSpaceDN/>
        <w:bidi w:val="0"/>
        <w:adjustRightInd/>
        <w:snapToGrid w:val="0"/>
        <w:ind w:firstLine="560" w:firstLineChars="200"/>
        <w:textAlignment w:val="auto"/>
        <w:rPr>
          <w:rFonts w:hint="eastAsia" w:eastAsia="宋体"/>
          <w:lang w:eastAsia="zh-CN"/>
        </w:rPr>
      </w:pPr>
      <w:r>
        <w:t>4</w:t>
      </w:r>
      <w:r>
        <w:rPr>
          <w:rFonts w:hint="eastAsia"/>
          <w:lang w:eastAsia="zh-CN"/>
        </w:rPr>
        <w:t>、</w:t>
      </w:r>
      <w:r>
        <w:rPr>
          <w:rFonts w:hint="eastAsia"/>
        </w:rPr>
        <w:t>驾驶员发现</w:t>
      </w:r>
      <w:r>
        <w:t>GPS</w:t>
      </w:r>
      <w:r>
        <w:rPr>
          <w:rFonts w:hint="eastAsia"/>
        </w:rPr>
        <w:t>设备损害，应及时向公司主管领导汇报。</w:t>
      </w:r>
    </w:p>
    <w:p>
      <w:pPr>
        <w:keepNext w:val="0"/>
        <w:keepLines w:val="0"/>
        <w:pageBreakBefore w:val="0"/>
        <w:widowControl w:val="0"/>
        <w:kinsoku/>
        <w:wordWrap/>
        <w:overflowPunct/>
        <w:topLinePunct w:val="0"/>
        <w:autoSpaceDE/>
        <w:autoSpaceDN/>
        <w:bidi w:val="0"/>
        <w:adjustRightInd/>
        <w:snapToGrid w:val="0"/>
        <w:ind w:firstLine="560" w:firstLineChars="200"/>
        <w:textAlignment w:val="auto"/>
        <w:rPr>
          <w:rFonts w:hint="eastAsia" w:eastAsia="宋体"/>
          <w:lang w:eastAsia="zh-CN"/>
        </w:rPr>
      </w:pPr>
      <w:r>
        <w:t>5</w:t>
      </w:r>
      <w:r>
        <w:rPr>
          <w:rFonts w:hint="eastAsia"/>
          <w:lang w:eastAsia="zh-CN"/>
        </w:rPr>
        <w:t>、</w:t>
      </w:r>
      <w:r>
        <w:rPr>
          <w:rFonts w:hint="eastAsia"/>
        </w:rPr>
        <w:t>违章处罚规定</w:t>
      </w:r>
    </w:p>
    <w:p>
      <w:pPr>
        <w:keepNext w:val="0"/>
        <w:keepLines w:val="0"/>
        <w:pageBreakBefore w:val="0"/>
        <w:widowControl w:val="0"/>
        <w:kinsoku/>
        <w:wordWrap/>
        <w:overflowPunct/>
        <w:topLinePunct w:val="0"/>
        <w:autoSpaceDE/>
        <w:autoSpaceDN/>
        <w:bidi w:val="0"/>
        <w:adjustRightInd/>
        <w:snapToGrid w:val="0"/>
        <w:ind w:firstLine="560" w:firstLineChars="200"/>
        <w:textAlignment w:val="auto"/>
        <w:rPr>
          <w:rFonts w:hint="eastAsia" w:eastAsia="宋体"/>
          <w:lang w:eastAsia="zh-CN"/>
        </w:rPr>
      </w:pPr>
      <w:r>
        <w:rPr>
          <w:rFonts w:hint="eastAsia"/>
        </w:rPr>
        <w:t>（</w:t>
      </w:r>
      <w:r>
        <w:t>1</w:t>
      </w:r>
      <w:r>
        <w:rPr>
          <w:rFonts w:hint="eastAsia"/>
        </w:rPr>
        <w:t>）驾驶员有下列行为的，处以</w:t>
      </w:r>
      <w:r>
        <w:t>100-200</w:t>
      </w:r>
      <w:r>
        <w:rPr>
          <w:rFonts w:hint="eastAsia"/>
        </w:rPr>
        <w:t>元罚款。</w:t>
      </w:r>
    </w:p>
    <w:p>
      <w:pPr>
        <w:keepNext w:val="0"/>
        <w:keepLines w:val="0"/>
        <w:pageBreakBefore w:val="0"/>
        <w:widowControl w:val="0"/>
        <w:kinsoku/>
        <w:wordWrap/>
        <w:overflowPunct/>
        <w:topLinePunct w:val="0"/>
        <w:autoSpaceDE/>
        <w:autoSpaceDN/>
        <w:bidi w:val="0"/>
        <w:adjustRightInd/>
        <w:snapToGrid w:val="0"/>
        <w:ind w:firstLine="560" w:firstLineChars="200"/>
        <w:textAlignment w:val="auto"/>
        <w:rPr>
          <w:rFonts w:hint="eastAsia" w:eastAsia="宋体"/>
          <w:lang w:eastAsia="zh-CN"/>
        </w:rPr>
      </w:pPr>
      <w:r>
        <w:t>a</w:t>
      </w:r>
      <w:r>
        <w:rPr>
          <w:rFonts w:hint="eastAsia"/>
        </w:rPr>
        <w:t>、不按规定时速行车，超速形式的。</w:t>
      </w:r>
    </w:p>
    <w:p>
      <w:pPr>
        <w:keepNext w:val="0"/>
        <w:keepLines w:val="0"/>
        <w:pageBreakBefore w:val="0"/>
        <w:widowControl w:val="0"/>
        <w:kinsoku/>
        <w:wordWrap/>
        <w:overflowPunct/>
        <w:topLinePunct w:val="0"/>
        <w:autoSpaceDE/>
        <w:autoSpaceDN/>
        <w:bidi w:val="0"/>
        <w:adjustRightInd/>
        <w:snapToGrid w:val="0"/>
        <w:ind w:firstLine="560" w:firstLineChars="200"/>
        <w:textAlignment w:val="auto"/>
        <w:rPr>
          <w:rFonts w:hint="eastAsia" w:eastAsia="宋体"/>
          <w:lang w:eastAsia="zh-CN"/>
        </w:rPr>
      </w:pPr>
      <w:r>
        <w:t>b</w:t>
      </w:r>
      <w:r>
        <w:rPr>
          <w:rFonts w:hint="eastAsia"/>
        </w:rPr>
        <w:t>、私自改装、拆装</w:t>
      </w:r>
      <w:r>
        <w:t>GPS</w:t>
      </w:r>
      <w:r>
        <w:rPr>
          <w:rFonts w:hint="eastAsia"/>
        </w:rPr>
        <w:t>设备，影响其正常工作的。</w:t>
      </w:r>
    </w:p>
    <w:p>
      <w:pPr>
        <w:keepNext w:val="0"/>
        <w:keepLines w:val="0"/>
        <w:pageBreakBefore w:val="0"/>
        <w:widowControl w:val="0"/>
        <w:kinsoku/>
        <w:wordWrap/>
        <w:overflowPunct/>
        <w:topLinePunct w:val="0"/>
        <w:autoSpaceDE/>
        <w:autoSpaceDN/>
        <w:bidi w:val="0"/>
        <w:adjustRightInd/>
        <w:snapToGrid w:val="0"/>
        <w:ind w:firstLine="560" w:firstLineChars="200"/>
        <w:textAlignment w:val="auto"/>
        <w:rPr>
          <w:rFonts w:hint="eastAsia" w:eastAsia="宋体"/>
          <w:lang w:eastAsia="zh-CN"/>
        </w:rPr>
      </w:pPr>
      <w:r>
        <w:t>c</w:t>
      </w:r>
      <w:r>
        <w:rPr>
          <w:rFonts w:hint="eastAsia"/>
        </w:rPr>
        <w:t>、</w:t>
      </w:r>
      <w:r>
        <w:t>GPS</w:t>
      </w:r>
      <w:r>
        <w:rPr>
          <w:rFonts w:hint="eastAsia"/>
        </w:rPr>
        <w:t>设备发生损坏，不及时向所属公司监控中心汇报的。</w:t>
      </w:r>
    </w:p>
    <w:p>
      <w:pPr>
        <w:keepNext w:val="0"/>
        <w:keepLines w:val="0"/>
        <w:pageBreakBefore w:val="0"/>
        <w:widowControl w:val="0"/>
        <w:kinsoku/>
        <w:wordWrap/>
        <w:overflowPunct/>
        <w:topLinePunct w:val="0"/>
        <w:autoSpaceDE/>
        <w:autoSpaceDN/>
        <w:bidi w:val="0"/>
        <w:adjustRightInd/>
        <w:snapToGrid w:val="0"/>
        <w:ind w:firstLine="560" w:firstLineChars="200"/>
        <w:textAlignment w:val="auto"/>
        <w:rPr>
          <w:rFonts w:hint="eastAsia" w:eastAsia="宋体"/>
          <w:lang w:eastAsia="zh-CN"/>
        </w:rPr>
      </w:pPr>
      <w:r>
        <w:t>d</w:t>
      </w:r>
      <w:r>
        <w:rPr>
          <w:rFonts w:hint="eastAsia"/>
        </w:rPr>
        <w:t>、其它的违规行为。</w:t>
      </w:r>
    </w:p>
    <w:p>
      <w:pPr>
        <w:keepNext w:val="0"/>
        <w:keepLines w:val="0"/>
        <w:pageBreakBefore w:val="0"/>
        <w:widowControl w:val="0"/>
        <w:kinsoku/>
        <w:wordWrap/>
        <w:overflowPunct/>
        <w:topLinePunct w:val="0"/>
        <w:autoSpaceDE/>
        <w:autoSpaceDN/>
        <w:bidi w:val="0"/>
        <w:adjustRightInd/>
        <w:snapToGrid w:val="0"/>
        <w:ind w:firstLine="560" w:firstLineChars="200"/>
        <w:textAlignment w:val="auto"/>
      </w:pPr>
      <w:r>
        <w:rPr>
          <w:rFonts w:hint="eastAsia"/>
        </w:rPr>
        <w:t>（2）驾驶员有下列情形之一的，处以300-500元罚款并进行安全培训的再教育。</w:t>
      </w:r>
    </w:p>
    <w:p>
      <w:pPr>
        <w:keepNext w:val="0"/>
        <w:keepLines w:val="0"/>
        <w:pageBreakBefore w:val="0"/>
        <w:widowControl w:val="0"/>
        <w:kinsoku/>
        <w:wordWrap/>
        <w:overflowPunct/>
        <w:topLinePunct w:val="0"/>
        <w:autoSpaceDE/>
        <w:autoSpaceDN/>
        <w:bidi w:val="0"/>
        <w:adjustRightInd/>
        <w:snapToGrid w:val="0"/>
        <w:ind w:firstLine="560" w:firstLineChars="200"/>
        <w:textAlignment w:val="auto"/>
        <w:rPr>
          <w:rFonts w:hint="eastAsia" w:eastAsia="宋体"/>
          <w:lang w:eastAsia="zh-CN"/>
        </w:rPr>
      </w:pPr>
      <w:r>
        <w:t>a</w:t>
      </w:r>
      <w:r>
        <w:rPr>
          <w:rFonts w:hint="eastAsia"/>
        </w:rPr>
        <w:t>、季度内，驾驶员驾驶车辆超速</w:t>
      </w:r>
      <w:r>
        <w:t>3</w:t>
      </w:r>
      <w:r>
        <w:rPr>
          <w:rFonts w:hint="eastAsia"/>
        </w:rPr>
        <w:t>次以上的。</w:t>
      </w:r>
    </w:p>
    <w:p>
      <w:pPr>
        <w:keepNext w:val="0"/>
        <w:keepLines w:val="0"/>
        <w:pageBreakBefore w:val="0"/>
        <w:widowControl w:val="0"/>
        <w:kinsoku/>
        <w:wordWrap/>
        <w:overflowPunct/>
        <w:topLinePunct w:val="0"/>
        <w:autoSpaceDE/>
        <w:autoSpaceDN/>
        <w:bidi w:val="0"/>
        <w:adjustRightInd/>
        <w:snapToGrid w:val="0"/>
        <w:ind w:firstLine="560" w:firstLineChars="200"/>
        <w:textAlignment w:val="auto"/>
        <w:rPr>
          <w:rFonts w:hint="eastAsia" w:eastAsia="宋体"/>
          <w:lang w:eastAsia="zh-CN"/>
        </w:rPr>
      </w:pPr>
      <w:r>
        <w:t>b</w:t>
      </w:r>
      <w:r>
        <w:rPr>
          <w:rFonts w:hint="eastAsia"/>
        </w:rPr>
        <w:t>、故意损坏</w:t>
      </w:r>
      <w:r>
        <w:t>GPS</w:t>
      </w:r>
      <w:r>
        <w:rPr>
          <w:rFonts w:hint="eastAsia"/>
        </w:rPr>
        <w:t>设备，造成损坏，不能正常工作的。</w:t>
      </w:r>
    </w:p>
    <w:p>
      <w:pPr>
        <w:keepNext w:val="0"/>
        <w:keepLines w:val="0"/>
        <w:pageBreakBefore w:val="0"/>
        <w:widowControl w:val="0"/>
        <w:kinsoku/>
        <w:wordWrap/>
        <w:overflowPunct/>
        <w:topLinePunct w:val="0"/>
        <w:autoSpaceDE/>
        <w:autoSpaceDN/>
        <w:bidi w:val="0"/>
        <w:adjustRightInd/>
        <w:snapToGrid w:val="0"/>
        <w:ind w:firstLine="560" w:firstLineChars="200"/>
        <w:textAlignment w:val="auto"/>
        <w:rPr>
          <w:rFonts w:hint="eastAsia" w:eastAsia="宋体"/>
          <w:lang w:eastAsia="zh-CN"/>
        </w:rPr>
      </w:pPr>
      <w:r>
        <w:t>c</w:t>
      </w:r>
      <w:r>
        <w:rPr>
          <w:rFonts w:hint="eastAsia"/>
        </w:rPr>
        <w:t>、对</w:t>
      </w:r>
      <w:r>
        <w:t>GPS</w:t>
      </w:r>
      <w:r>
        <w:rPr>
          <w:rFonts w:hint="eastAsia"/>
        </w:rPr>
        <w:t>监管人员发出的指令不予采纳，依旧我行我素的。</w:t>
      </w:r>
    </w:p>
    <w:p>
      <w:pPr>
        <w:keepNext w:val="0"/>
        <w:keepLines w:val="0"/>
        <w:pageBreakBefore w:val="0"/>
        <w:widowControl w:val="0"/>
        <w:kinsoku/>
        <w:wordWrap/>
        <w:overflowPunct/>
        <w:topLinePunct w:val="0"/>
        <w:autoSpaceDE/>
        <w:autoSpaceDN/>
        <w:bidi w:val="0"/>
        <w:adjustRightInd/>
        <w:snapToGrid w:val="0"/>
        <w:ind w:firstLine="560" w:firstLineChars="200"/>
        <w:textAlignment w:val="auto"/>
      </w:pPr>
      <w:r>
        <w:rPr>
          <w:rFonts w:hint="eastAsia"/>
        </w:rPr>
        <w:t>d、其它情节比较严重的行为。</w:t>
      </w:r>
    </w:p>
    <w:p>
      <w:pPr>
        <w:widowControl/>
        <w:spacing w:before="0" w:after="0" w:line="240" w:lineRule="auto"/>
        <w:ind w:firstLine="0" w:firstLineChars="0"/>
        <w:jc w:val="left"/>
      </w:pPr>
      <w:r>
        <w:br w:type="page"/>
      </w:r>
    </w:p>
    <w:p>
      <w:pPr>
        <w:pStyle w:val="4"/>
        <w:bidi w:val="0"/>
      </w:pPr>
      <w:bookmarkStart w:id="494" w:name="_Toc118293269"/>
      <w:bookmarkStart w:id="495" w:name="_Toc117181902"/>
      <w:bookmarkStart w:id="496" w:name="_Toc116121490"/>
      <w:bookmarkStart w:id="497" w:name="_Toc29176"/>
      <w:r>
        <w:rPr>
          <w:rFonts w:hint="eastAsia"/>
          <w:lang w:val="en-US" w:eastAsia="zh-CN"/>
        </w:rPr>
        <w:t xml:space="preserve">第八节  </w:t>
      </w:r>
      <w:r>
        <w:rPr>
          <w:rFonts w:hint="eastAsia"/>
        </w:rPr>
        <w:t>应急方案</w:t>
      </w:r>
      <w:bookmarkEnd w:id="494"/>
      <w:bookmarkEnd w:id="495"/>
      <w:bookmarkEnd w:id="496"/>
      <w:bookmarkEnd w:id="497"/>
    </w:p>
    <w:p>
      <w:pPr>
        <w:pStyle w:val="5"/>
        <w:bidi w:val="0"/>
      </w:pPr>
      <w:bookmarkStart w:id="498" w:name="_Toc117181904"/>
      <w:bookmarkStart w:id="499" w:name="_Toc116121492"/>
      <w:bookmarkStart w:id="500" w:name="_Toc118293270"/>
      <w:bookmarkStart w:id="501" w:name="_Toc19641"/>
      <w:r>
        <w:rPr>
          <w:rFonts w:hint="eastAsia"/>
          <w:lang w:val="en-US" w:eastAsia="zh-CN"/>
        </w:rPr>
        <w:t>一、</w:t>
      </w:r>
      <w:r>
        <w:rPr>
          <w:rFonts w:hint="eastAsia"/>
        </w:rPr>
        <w:t>应急总预案</w:t>
      </w:r>
      <w:bookmarkEnd w:id="498"/>
      <w:bookmarkEnd w:id="499"/>
      <w:bookmarkEnd w:id="500"/>
      <w:bookmarkEnd w:id="501"/>
    </w:p>
    <w:p>
      <w:pPr>
        <w:pStyle w:val="6"/>
        <w:bidi w:val="0"/>
      </w:pPr>
      <w:bookmarkStart w:id="502" w:name="_Toc30024"/>
      <w:r>
        <w:rPr>
          <w:rFonts w:hint="eastAsia"/>
          <w:lang w:eastAsia="zh-CN"/>
        </w:rPr>
        <w:t>（</w:t>
      </w:r>
      <w:r>
        <w:rPr>
          <w:rFonts w:hint="eastAsia"/>
          <w:lang w:val="en-US" w:eastAsia="zh-CN"/>
        </w:rPr>
        <w:t>一</w:t>
      </w:r>
      <w:r>
        <w:rPr>
          <w:rFonts w:hint="eastAsia"/>
          <w:lang w:eastAsia="zh-CN"/>
        </w:rPr>
        <w:t>）</w:t>
      </w:r>
      <w:r>
        <w:rPr>
          <w:rFonts w:hint="eastAsia"/>
        </w:rPr>
        <w:t>应急组织</w:t>
      </w:r>
      <w:bookmarkEnd w:id="502"/>
    </w:p>
    <w:p>
      <w:pPr>
        <w:ind w:firstLine="480"/>
      </w:pPr>
      <w:r>
        <w:rPr>
          <w:rFonts w:hint="eastAsia"/>
          <w:lang w:eastAsia="zh-CN"/>
        </w:rPr>
        <w:t>（</w:t>
      </w:r>
      <w:r>
        <w:rPr>
          <w:rFonts w:hint="eastAsia"/>
          <w:lang w:val="en-US" w:eastAsia="zh-CN"/>
        </w:rPr>
        <w:t>一</w:t>
      </w:r>
      <w:r>
        <w:rPr>
          <w:rFonts w:hint="eastAsia"/>
          <w:lang w:eastAsia="zh-CN"/>
        </w:rPr>
        <w:t>）</w:t>
      </w:r>
      <w:r>
        <w:t>应急组织机构职责：</w:t>
      </w:r>
    </w:p>
    <w:p>
      <w:pPr>
        <w:ind w:firstLine="480"/>
      </w:pPr>
      <w:r>
        <w:rPr>
          <w:rFonts w:hint="eastAsia"/>
          <w:lang w:val="en-US" w:eastAsia="zh-CN"/>
        </w:rPr>
        <w:t>1、</w:t>
      </w:r>
      <w:r>
        <w:t>贯彻落实有关突发事件应急的法规和规定。</w:t>
      </w:r>
    </w:p>
    <w:p>
      <w:pPr>
        <w:ind w:firstLine="480"/>
      </w:pPr>
      <w:r>
        <w:rPr>
          <w:rFonts w:hint="eastAsia"/>
          <w:lang w:val="en-US" w:eastAsia="zh-CN"/>
        </w:rPr>
        <w:t>2、</w:t>
      </w:r>
      <w:r>
        <w:t>指挥、协调应急准备、应急响应和应急救援工作。</w:t>
      </w:r>
    </w:p>
    <w:p>
      <w:pPr>
        <w:ind w:firstLine="480"/>
      </w:pPr>
      <w:r>
        <w:rPr>
          <w:rFonts w:hint="eastAsia"/>
          <w:lang w:val="en-US" w:eastAsia="zh-CN"/>
        </w:rPr>
        <w:t>3、</w:t>
      </w:r>
      <w:r>
        <w:t>组织应急预案的编制、评审、修订和演练工作。</w:t>
      </w:r>
    </w:p>
    <w:p>
      <w:pPr>
        <w:ind w:firstLine="480"/>
      </w:pPr>
      <w:r>
        <w:rPr>
          <w:rFonts w:hint="eastAsia"/>
          <w:lang w:val="en-US" w:eastAsia="zh-CN"/>
        </w:rPr>
        <w:t>4、</w:t>
      </w:r>
      <w:r>
        <w:t>监督、管理应急体系的建设和运转。</w:t>
      </w:r>
    </w:p>
    <w:p>
      <w:pPr>
        <w:ind w:firstLine="480"/>
      </w:pPr>
      <w:r>
        <w:rPr>
          <w:rFonts w:hint="eastAsia"/>
          <w:lang w:val="en-US" w:eastAsia="zh-CN"/>
        </w:rPr>
        <w:t>5、</w:t>
      </w:r>
      <w:r>
        <w:t>通报或发布应急救援与处理的进展情况。</w:t>
      </w:r>
    </w:p>
    <w:p>
      <w:pPr>
        <w:ind w:firstLine="480"/>
      </w:pPr>
      <w:r>
        <w:rPr>
          <w:rFonts w:hint="eastAsia"/>
          <w:lang w:val="en-US" w:eastAsia="zh-CN"/>
        </w:rPr>
        <w:t>6、</w:t>
      </w:r>
      <w:r>
        <w:t>协调与外部应急力量、相关政府部门的关系。</w:t>
      </w:r>
    </w:p>
    <w:p>
      <w:pPr>
        <w:pStyle w:val="52"/>
      </w:pPr>
      <w:r>
        <w:object>
          <v:shape id="_x0000_i1025" o:spt="75" type="#_x0000_t75" style="height:266.95pt;width:347.85pt;" o:ole="t" filled="f" o:preferrelative="t" stroked="f" coordsize="21600,21600">
            <v:path/>
            <v:fill on="f" focussize="0,0"/>
            <v:stroke on="f"/>
            <v:imagedata r:id="rId45" o:title=""/>
            <o:lock v:ext="edit" aspectratio="t"/>
            <w10:wrap type="none"/>
            <w10:anchorlock/>
          </v:shape>
          <o:OLEObject Type="Embed" ProgID="Visio.Drawing.15" ShapeID="_x0000_i1025" DrawAspect="Content" ObjectID="_1468075725" r:id="rId44">
            <o:LockedField>false</o:LockedField>
          </o:OLEObject>
        </w:object>
      </w:r>
    </w:p>
    <w:p>
      <w:pPr>
        <w:ind w:firstLine="480"/>
      </w:pPr>
      <w:r>
        <w:rPr>
          <w:rFonts w:hint="eastAsia"/>
          <w:lang w:eastAsia="zh-CN"/>
        </w:rPr>
        <w:t>（</w:t>
      </w:r>
      <w:r>
        <w:rPr>
          <w:rFonts w:hint="eastAsia"/>
          <w:lang w:val="en-US" w:eastAsia="zh-CN"/>
        </w:rPr>
        <w:t>二</w:t>
      </w:r>
      <w:r>
        <w:rPr>
          <w:rFonts w:hint="eastAsia"/>
          <w:lang w:eastAsia="zh-CN"/>
        </w:rPr>
        <w:t>）</w:t>
      </w:r>
      <w:r>
        <w:t>应急救援小组职责：项目所属各部门应针对本部门所辖范围内存在突发事件风险的现场，结合现场可能发生的突发事件的特点，对现场应急工作进行细致分工和准备，在各现场按需要成立以下应急工作组，救援小组职责如下：</w:t>
      </w:r>
    </w:p>
    <w:p>
      <w:pPr>
        <w:ind w:firstLine="480"/>
      </w:pPr>
      <w:r>
        <w:rPr>
          <w:rFonts w:hint="eastAsia"/>
          <w:lang w:val="en-US" w:eastAsia="zh-CN"/>
        </w:rPr>
        <w:t>1、</w:t>
      </w:r>
      <w:r>
        <w:t>抢险救援工作组：负责突发事件现场的抢险救援工作。</w:t>
      </w:r>
    </w:p>
    <w:p>
      <w:pPr>
        <w:ind w:firstLine="480"/>
      </w:pPr>
      <w:r>
        <w:rPr>
          <w:rFonts w:hint="eastAsia"/>
          <w:lang w:val="en-US" w:eastAsia="zh-CN"/>
        </w:rPr>
        <w:t>2、</w:t>
      </w:r>
      <w:r>
        <w:t>综合工作组：负责与项目应急指挥部门和地方政府的联系，协调、调度各类应急资源。</w:t>
      </w:r>
    </w:p>
    <w:p>
      <w:pPr>
        <w:ind w:firstLine="480"/>
      </w:pPr>
      <w:r>
        <w:rPr>
          <w:rFonts w:hint="eastAsia"/>
          <w:lang w:val="en-US" w:eastAsia="zh-CN"/>
        </w:rPr>
        <w:t>3、</w:t>
      </w:r>
      <w:r>
        <w:t>医疗救护组：负责对受伤人员采取及时的现场急救，联系医疗机构或急救中心，将伤员转送医院进行治疗。</w:t>
      </w:r>
    </w:p>
    <w:p>
      <w:pPr>
        <w:ind w:firstLine="480"/>
      </w:pPr>
      <w:r>
        <w:rPr>
          <w:rFonts w:hint="eastAsia"/>
          <w:lang w:val="en-US" w:eastAsia="zh-CN"/>
        </w:rPr>
        <w:t>4、</w:t>
      </w:r>
      <w:r>
        <w:t>物资保障组：负责建立突发事件现场警戒区域，维护现场秩序，保障救援行动、物资运输和人群疏散等的交通畅通，避免发生不必要的伤亡。</w:t>
      </w:r>
    </w:p>
    <w:p>
      <w:pPr>
        <w:ind w:firstLine="480"/>
      </w:pPr>
      <w:r>
        <w:rPr>
          <w:rFonts w:hint="eastAsia"/>
          <w:lang w:val="en-US" w:eastAsia="zh-CN"/>
        </w:rPr>
        <w:t>5、</w:t>
      </w:r>
      <w:r>
        <w:t>善后处理组：负责伤亡人员家属安抚、慰问和补偿等工作。</w:t>
      </w:r>
    </w:p>
    <w:p>
      <w:pPr>
        <w:pStyle w:val="6"/>
        <w:bidi w:val="0"/>
      </w:pPr>
      <w:bookmarkStart w:id="503" w:name="_Toc27158"/>
      <w:r>
        <w:rPr>
          <w:rFonts w:hint="eastAsia"/>
          <w:lang w:eastAsia="zh-CN"/>
        </w:rPr>
        <w:t>（</w:t>
      </w:r>
      <w:r>
        <w:rPr>
          <w:rFonts w:hint="eastAsia"/>
          <w:lang w:val="en-US" w:eastAsia="zh-CN"/>
        </w:rPr>
        <w:t>二</w:t>
      </w:r>
      <w:r>
        <w:rPr>
          <w:rFonts w:hint="eastAsia"/>
          <w:lang w:eastAsia="zh-CN"/>
        </w:rPr>
        <w:t>）</w:t>
      </w:r>
      <w:r>
        <w:rPr>
          <w:rFonts w:hint="eastAsia"/>
        </w:rPr>
        <w:t>应急原则</w:t>
      </w:r>
      <w:bookmarkEnd w:id="503"/>
    </w:p>
    <w:p>
      <w:pPr>
        <w:ind w:firstLine="480"/>
      </w:pPr>
      <w:r>
        <w:rPr>
          <w:rFonts w:hint="eastAsia"/>
        </w:rPr>
        <w:t>总的原则是发现要早，处置要好，千方百计地防止事态扩大，最大限度地减少人员和财产损失。</w:t>
      </w:r>
    </w:p>
    <w:p>
      <w:pPr>
        <w:ind w:firstLine="480"/>
      </w:pPr>
      <w:r>
        <w:rPr>
          <w:rFonts w:hint="eastAsia"/>
          <w:b/>
          <w:bCs/>
          <w:lang w:eastAsia="zh-CN"/>
        </w:rPr>
        <w:t>（</w:t>
      </w:r>
      <w:r>
        <w:rPr>
          <w:rFonts w:hint="eastAsia"/>
          <w:b/>
          <w:bCs/>
          <w:lang w:val="en-US" w:eastAsia="zh-CN"/>
        </w:rPr>
        <w:t>一</w:t>
      </w:r>
      <w:r>
        <w:rPr>
          <w:rFonts w:hint="eastAsia"/>
          <w:b/>
          <w:bCs/>
          <w:lang w:eastAsia="zh-CN"/>
        </w:rPr>
        <w:t>）</w:t>
      </w:r>
      <w:r>
        <w:rPr>
          <w:b/>
          <w:bCs/>
        </w:rPr>
        <w:t>整体作战原则：</w:t>
      </w:r>
      <w:r>
        <w:t>应急突发情况发生后，应急组织机构必须在项目各主管部门的统一领导下，分级负责，各司其职，形合力，确保有序、高效地开展应急处置工作，不得擅自处理重大应急情况。</w:t>
      </w:r>
    </w:p>
    <w:p>
      <w:pPr>
        <w:ind w:firstLine="480"/>
      </w:pPr>
      <w:r>
        <w:rPr>
          <w:rFonts w:hint="eastAsia"/>
          <w:b/>
          <w:bCs/>
          <w:lang w:eastAsia="zh-CN"/>
        </w:rPr>
        <w:t>（</w:t>
      </w:r>
      <w:r>
        <w:rPr>
          <w:rFonts w:hint="eastAsia"/>
          <w:b/>
          <w:bCs/>
          <w:lang w:val="en-US" w:eastAsia="zh-CN"/>
        </w:rPr>
        <w:t>二</w:t>
      </w:r>
      <w:r>
        <w:rPr>
          <w:rFonts w:hint="eastAsia"/>
          <w:b/>
          <w:bCs/>
          <w:lang w:eastAsia="zh-CN"/>
        </w:rPr>
        <w:t>）</w:t>
      </w:r>
      <w:r>
        <w:rPr>
          <w:b/>
          <w:bCs/>
        </w:rPr>
        <w:t>快速反应原则：</w:t>
      </w:r>
      <w:r>
        <w:t>处置应急突发情况，要做到早发现、早报告，边行动边报告，确保信息畅通，伺机而动，力戒反应迟钝，错失战机。</w:t>
      </w:r>
    </w:p>
    <w:p>
      <w:pPr>
        <w:ind w:firstLine="480"/>
      </w:pPr>
      <w:r>
        <w:rPr>
          <w:rFonts w:hint="eastAsia"/>
          <w:b/>
          <w:bCs/>
          <w:lang w:eastAsia="zh-CN"/>
        </w:rPr>
        <w:t>（</w:t>
      </w:r>
      <w:r>
        <w:rPr>
          <w:rFonts w:hint="eastAsia"/>
          <w:b/>
          <w:bCs/>
          <w:lang w:val="en-US" w:eastAsia="zh-CN"/>
        </w:rPr>
        <w:t>三</w:t>
      </w:r>
      <w:r>
        <w:rPr>
          <w:rFonts w:hint="eastAsia"/>
          <w:b/>
          <w:bCs/>
          <w:lang w:eastAsia="zh-CN"/>
        </w:rPr>
        <w:t>）</w:t>
      </w:r>
      <w:r>
        <w:rPr>
          <w:b/>
          <w:bCs/>
        </w:rPr>
        <w:t>因情施策原则：</w:t>
      </w:r>
      <w:r>
        <w:t>遇到原因、性质较为复杂的应急情况时，应坚持因情而异，因地制宜，根据现场情况灵活应对，不可死板教条。</w:t>
      </w:r>
    </w:p>
    <w:p>
      <w:pPr>
        <w:ind w:firstLine="480"/>
      </w:pPr>
      <w:r>
        <w:rPr>
          <w:rFonts w:hint="eastAsia"/>
          <w:b/>
          <w:bCs/>
          <w:lang w:eastAsia="zh-CN"/>
        </w:rPr>
        <w:t>（</w:t>
      </w:r>
      <w:r>
        <w:rPr>
          <w:rFonts w:hint="eastAsia"/>
          <w:b/>
          <w:bCs/>
          <w:lang w:val="en-US" w:eastAsia="zh-CN"/>
        </w:rPr>
        <w:t>四</w:t>
      </w:r>
      <w:r>
        <w:rPr>
          <w:rFonts w:hint="eastAsia"/>
          <w:b/>
          <w:bCs/>
          <w:lang w:eastAsia="zh-CN"/>
        </w:rPr>
        <w:t>）</w:t>
      </w:r>
      <w:r>
        <w:rPr>
          <w:b/>
          <w:bCs/>
        </w:rPr>
        <w:t>密切配合原则：</w:t>
      </w:r>
      <w:r>
        <w:t>项目经理是处置应急情况的指挥者和第一责任人，在确保应急队伍拉得动、用得上的同时，要接受所服务单位领导的调动、指挥，与所服务单位协调一致地做好应急情况处置。</w:t>
      </w:r>
    </w:p>
    <w:p>
      <w:pPr>
        <w:ind w:firstLine="480"/>
      </w:pPr>
      <w:r>
        <w:rPr>
          <w:rFonts w:hint="eastAsia"/>
          <w:b/>
          <w:bCs/>
          <w:lang w:eastAsia="zh-CN"/>
        </w:rPr>
        <w:t>（</w:t>
      </w:r>
      <w:r>
        <w:rPr>
          <w:rFonts w:hint="eastAsia"/>
          <w:b/>
          <w:bCs/>
          <w:lang w:val="en-US" w:eastAsia="zh-CN"/>
        </w:rPr>
        <w:t>五</w:t>
      </w:r>
      <w:r>
        <w:rPr>
          <w:rFonts w:hint="eastAsia"/>
          <w:b/>
          <w:bCs/>
          <w:lang w:eastAsia="zh-CN"/>
        </w:rPr>
        <w:t>）</w:t>
      </w:r>
      <w:r>
        <w:rPr>
          <w:b/>
          <w:bCs/>
        </w:rPr>
        <w:t>以人为本原则：</w:t>
      </w:r>
      <w:r>
        <w:t>牢固树立救人第一的观念，坚持把救死扶伤，保障人员生命安全作为首要任务，最大限度地减少突发事件造成的人员伤亡和财产损失。</w:t>
      </w:r>
    </w:p>
    <w:p>
      <w:pPr>
        <w:ind w:firstLine="480"/>
      </w:pPr>
      <w:r>
        <w:rPr>
          <w:rFonts w:hint="eastAsia"/>
          <w:b/>
          <w:bCs/>
          <w:lang w:eastAsia="zh-CN"/>
        </w:rPr>
        <w:t>（</w:t>
      </w:r>
      <w:r>
        <w:rPr>
          <w:rFonts w:hint="eastAsia"/>
          <w:b/>
          <w:bCs/>
          <w:lang w:val="en-US" w:eastAsia="zh-CN"/>
        </w:rPr>
        <w:t>六</w:t>
      </w:r>
      <w:r>
        <w:rPr>
          <w:rFonts w:hint="eastAsia"/>
          <w:b/>
          <w:bCs/>
          <w:lang w:eastAsia="zh-CN"/>
        </w:rPr>
        <w:t>）</w:t>
      </w:r>
      <w:r>
        <w:rPr>
          <w:b/>
          <w:bCs/>
        </w:rPr>
        <w:t>恪尽职守原则：</w:t>
      </w:r>
      <w:r>
        <w:t>面对突发情况，项目全体工作人员必须服从命令，听从指挥，挺身而出，尽职尽责，迅速赶到应急现场。对不听指挥，擅自离岗，甚至临阵脱逃者，一律严肃处理。</w:t>
      </w:r>
    </w:p>
    <w:p>
      <w:pPr>
        <w:ind w:firstLine="480"/>
      </w:pPr>
      <w:r>
        <w:rPr>
          <w:rFonts w:hint="eastAsia"/>
          <w:b/>
          <w:bCs/>
          <w:lang w:eastAsia="zh-CN"/>
        </w:rPr>
        <w:t>（</w:t>
      </w:r>
      <w:r>
        <w:rPr>
          <w:rFonts w:hint="eastAsia"/>
          <w:b/>
          <w:bCs/>
          <w:lang w:val="en-US" w:eastAsia="zh-CN"/>
        </w:rPr>
        <w:t>七</w:t>
      </w:r>
      <w:r>
        <w:rPr>
          <w:rFonts w:hint="eastAsia"/>
          <w:b/>
          <w:bCs/>
          <w:lang w:eastAsia="zh-CN"/>
        </w:rPr>
        <w:t>）</w:t>
      </w:r>
      <w:r>
        <w:rPr>
          <w:b/>
          <w:bCs/>
        </w:rPr>
        <w:t>自身防护原则：</w:t>
      </w:r>
      <w:r>
        <w:t>处置应急情况重在沉着冷静，不能盲目蛮干，要对突发事件可能造成的伤害和风险做出准确判断，采取稳妥、科学、适度的方式进行处理，避免因防护措施不当造成自身伤害。</w:t>
      </w:r>
    </w:p>
    <w:p>
      <w:pPr>
        <w:pStyle w:val="6"/>
        <w:bidi w:val="0"/>
      </w:pPr>
      <w:bookmarkStart w:id="504" w:name="_Toc13675"/>
      <w:r>
        <w:rPr>
          <w:rFonts w:hint="eastAsia"/>
          <w:lang w:eastAsia="zh-CN"/>
        </w:rPr>
        <w:t>（</w:t>
      </w:r>
      <w:r>
        <w:rPr>
          <w:rFonts w:hint="eastAsia"/>
          <w:lang w:val="en-US" w:eastAsia="zh-CN"/>
        </w:rPr>
        <w:t>三</w:t>
      </w:r>
      <w:r>
        <w:rPr>
          <w:rFonts w:hint="eastAsia"/>
          <w:lang w:eastAsia="zh-CN"/>
        </w:rPr>
        <w:t>）</w:t>
      </w:r>
      <w:r>
        <w:rPr>
          <w:rFonts w:hint="eastAsia"/>
        </w:rPr>
        <w:t>应急响应</w:t>
      </w:r>
      <w:bookmarkEnd w:id="504"/>
    </w:p>
    <w:p>
      <w:pPr>
        <w:ind w:firstLine="480"/>
      </w:pPr>
      <w:r>
        <w:rPr>
          <w:rFonts w:hint="eastAsia"/>
          <w:b/>
          <w:bCs/>
          <w:lang w:eastAsia="zh-CN"/>
        </w:rPr>
        <w:t>（</w:t>
      </w:r>
      <w:r>
        <w:rPr>
          <w:rFonts w:hint="eastAsia"/>
          <w:b/>
          <w:bCs/>
          <w:lang w:val="en-US" w:eastAsia="zh-CN"/>
        </w:rPr>
        <w:t>一</w:t>
      </w:r>
      <w:r>
        <w:rPr>
          <w:rFonts w:hint="eastAsia"/>
          <w:b/>
          <w:bCs/>
          <w:lang w:eastAsia="zh-CN"/>
        </w:rPr>
        <w:t>）</w:t>
      </w:r>
      <w:r>
        <w:rPr>
          <w:b/>
          <w:bCs/>
        </w:rPr>
        <w:t>应急响应级别：</w:t>
      </w:r>
      <w:r>
        <w:t>公司按照突发事件的性质、严重程度、影响范围、事态发展趋势和可控性实行分级响应机制，根据事故、事件的分级进行应急响应分级，响应等级分两级：</w:t>
      </w:r>
    </w:p>
    <w:p>
      <w:pPr>
        <w:ind w:firstLine="480"/>
      </w:pPr>
      <w:r>
        <w:rPr>
          <w:rFonts w:hint="eastAsia"/>
          <w:lang w:val="en-US" w:eastAsia="zh-CN"/>
        </w:rPr>
        <w:t>1、</w:t>
      </w:r>
      <w:r>
        <w:t>一级响应：发生重伤及以上事故时，需要公司及政府部门联合处理的紧急情况。</w:t>
      </w:r>
    </w:p>
    <w:p>
      <w:pPr>
        <w:ind w:firstLine="480"/>
      </w:pPr>
      <w:r>
        <w:rPr>
          <w:rFonts w:hint="eastAsia"/>
          <w:lang w:val="en-US" w:eastAsia="zh-CN"/>
        </w:rPr>
        <w:t>2、</w:t>
      </w:r>
      <w:r>
        <w:t>二级响应：发生轻伤以下事故时，需要公司及相关部门联合处理的紧急情况。</w:t>
      </w:r>
    </w:p>
    <w:p>
      <w:pPr>
        <w:ind w:firstLine="480"/>
      </w:pPr>
      <w:r>
        <w:rPr>
          <w:rFonts w:hint="eastAsia"/>
        </w:rPr>
        <w:t>根据不同的响应级别，确定应急启动程度、应急力量的出动和设备、物资的调集规模、疏散的范围。</w:t>
      </w:r>
    </w:p>
    <w:p>
      <w:pPr>
        <w:ind w:firstLine="480"/>
        <w:rPr>
          <w:b/>
          <w:bCs/>
        </w:rPr>
      </w:pPr>
      <w:r>
        <w:rPr>
          <w:rFonts w:hint="eastAsia"/>
          <w:b/>
          <w:bCs/>
          <w:lang w:eastAsia="zh-CN"/>
        </w:rPr>
        <w:t>（</w:t>
      </w:r>
      <w:r>
        <w:rPr>
          <w:rFonts w:hint="eastAsia"/>
          <w:b/>
          <w:bCs/>
          <w:lang w:val="en-US" w:eastAsia="zh-CN"/>
        </w:rPr>
        <w:t>二</w:t>
      </w:r>
      <w:r>
        <w:rPr>
          <w:rFonts w:hint="eastAsia"/>
          <w:b/>
          <w:bCs/>
          <w:lang w:eastAsia="zh-CN"/>
        </w:rPr>
        <w:t>）</w:t>
      </w:r>
      <w:r>
        <w:rPr>
          <w:b/>
          <w:bCs/>
        </w:rPr>
        <w:t>应急响应流程：</w:t>
      </w:r>
    </w:p>
    <w:p>
      <w:pPr>
        <w:ind w:firstLine="480"/>
      </w:pPr>
      <w:r>
        <w:rPr>
          <w:rFonts w:hint="eastAsia"/>
          <w:lang w:val="en-US" w:eastAsia="zh-CN"/>
        </w:rPr>
        <w:t>1、</w:t>
      </w:r>
      <w:r>
        <w:t>接警与响应级别确定：当接到事故报警后，应急管理小组应对警情作出判断，初步确定相应的响应级别，响应级别为二级，由公司组织各部门开展应急救援工作；响应级别为一级，立即向当地有关部门报告，请求相应的支援，如果事故不足以启动应急救援体系的最低响应级别，响应关闭；</w:t>
      </w:r>
    </w:p>
    <w:p>
      <w:pPr>
        <w:ind w:firstLine="480"/>
      </w:pPr>
      <w:r>
        <w:rPr>
          <w:rFonts w:hint="eastAsia"/>
          <w:lang w:val="en-US" w:eastAsia="zh-CN"/>
        </w:rPr>
        <w:t>2、</w:t>
      </w:r>
      <w:r>
        <w:t>应急启动：应急响应级别确定后，应急管理小组应按所确定的响应级别，启动应急响应程序，做出响应决定，通知应急人员到位，调配应急救援资源，并根据事故特点，计划采取相应的抢险、避险控制措施，以防止事态扩大。</w:t>
      </w:r>
    </w:p>
    <w:p>
      <w:pPr>
        <w:ind w:firstLine="480"/>
      </w:pPr>
      <w:r>
        <w:rPr>
          <w:rFonts w:hint="eastAsia"/>
          <w:lang w:val="en-US" w:eastAsia="zh-CN"/>
        </w:rPr>
        <w:t>3、</w:t>
      </w:r>
      <w:r>
        <w:t>救援行动：应急人员对事故进行侦测、控制，现场警戒，组织群众有序疏散，对伤者开展现场救助、对物资进行抢救和保护，同时立即拨打相应救援电话向有关单位请求救援，当事态难以控制或处理，应立即向上级指挥中心请求实施扩大应急响应，启动更高级别的应急响应，并按规定向上级主管部门及当地有关部门报告。</w:t>
      </w:r>
    </w:p>
    <w:p>
      <w:pPr>
        <w:ind w:firstLine="480"/>
      </w:pPr>
      <w:r>
        <w:rPr>
          <w:rFonts w:hint="eastAsia"/>
          <w:lang w:val="en-US" w:eastAsia="zh-CN"/>
        </w:rPr>
        <w:t>4、</w:t>
      </w:r>
      <w:r>
        <w:t>应急恢复：救援行动结束后，进入临时应急恢复阶段，进行现场清理、人员清点和撤离、戒解除、善后处理和事故调查，对于安全生产事故的报告、调查和处理执行《事故报告、调查与处理程序》。</w:t>
      </w:r>
    </w:p>
    <w:p>
      <w:pPr>
        <w:ind w:firstLine="480"/>
      </w:pPr>
      <w:r>
        <w:rPr>
          <w:rFonts w:hint="eastAsia"/>
          <w:lang w:val="en-US" w:eastAsia="zh-CN"/>
        </w:rPr>
        <w:t>5、</w:t>
      </w:r>
      <w:r>
        <w:t>应急结束：执行应急关闭程序，由应急管理小组组长宣布应急结束。</w:t>
      </w:r>
    </w:p>
    <w:p>
      <w:pPr>
        <w:ind w:firstLine="480"/>
      </w:pPr>
      <w:r>
        <w:rPr>
          <w:rFonts w:hint="eastAsia"/>
          <w:lang w:val="en-US" w:eastAsia="zh-CN"/>
        </w:rPr>
        <w:t>6、</w:t>
      </w:r>
      <w:r>
        <w:t>善后处置：应急处置结束后，公司应急领导小组应立即组织人员清理事故现场，清点人员伤亡和财产损失情况，调查事故（事件）发生原因，查找安全隐患、总结经验。教训、提出整改措施，防止同类事故或连环事故发生，安抚伤员，稳定人心，迅速恢复正常状态。对伤亡人员，要按照国家有关政策规定做好善后工作。</w:t>
      </w:r>
    </w:p>
    <w:p>
      <w:pPr>
        <w:pStyle w:val="5"/>
        <w:bidi w:val="0"/>
      </w:pPr>
      <w:bookmarkStart w:id="505" w:name="_Toc117181905"/>
      <w:bookmarkStart w:id="506" w:name="_Toc118293271"/>
      <w:bookmarkStart w:id="507" w:name="_Toc13986"/>
      <w:bookmarkStart w:id="508" w:name="_Toc116121493"/>
      <w:r>
        <w:rPr>
          <w:rFonts w:hint="eastAsia"/>
          <w:lang w:val="en-US" w:eastAsia="zh-CN"/>
        </w:rPr>
        <w:t>二、</w:t>
      </w:r>
      <w:r>
        <w:rPr>
          <w:rFonts w:hint="eastAsia"/>
        </w:rPr>
        <w:t>保证供货应急预案</w:t>
      </w:r>
      <w:bookmarkEnd w:id="505"/>
      <w:bookmarkEnd w:id="506"/>
      <w:bookmarkEnd w:id="507"/>
      <w:bookmarkEnd w:id="508"/>
    </w:p>
    <w:p>
      <w:pPr>
        <w:ind w:firstLine="480"/>
      </w:pPr>
      <w:r>
        <w:rPr>
          <w:rFonts w:hint="eastAsia"/>
        </w:rPr>
        <w:t>为加快急需产品的生产进度，保持急需产品生产的正常进行，提高生产服务水平，保证市场供货，对低于安全库存的产品和项目订单产品的生产，应采取以下应急预案：</w:t>
      </w:r>
    </w:p>
    <w:p>
      <w:pPr>
        <w:pStyle w:val="6"/>
        <w:bidi w:val="0"/>
      </w:pPr>
      <w:bookmarkStart w:id="509" w:name="_Toc10246"/>
      <w:r>
        <w:rPr>
          <w:rFonts w:hint="eastAsia"/>
          <w:lang w:eastAsia="zh-CN"/>
        </w:rPr>
        <w:t>（</w:t>
      </w:r>
      <w:r>
        <w:rPr>
          <w:rFonts w:hint="eastAsia"/>
          <w:lang w:val="en-US" w:eastAsia="zh-CN"/>
        </w:rPr>
        <w:t>一</w:t>
      </w:r>
      <w:r>
        <w:rPr>
          <w:rFonts w:hint="eastAsia"/>
          <w:lang w:eastAsia="zh-CN"/>
        </w:rPr>
        <w:t>）</w:t>
      </w:r>
      <w:r>
        <w:rPr>
          <w:rFonts w:hint="eastAsia"/>
        </w:rPr>
        <w:t>准备工作</w:t>
      </w:r>
      <w:bookmarkEnd w:id="509"/>
    </w:p>
    <w:p>
      <w:pPr>
        <w:ind w:firstLine="480"/>
      </w:pPr>
      <w:r>
        <w:rPr>
          <w:rFonts w:hint="eastAsia"/>
          <w:lang w:eastAsia="zh-CN"/>
        </w:rPr>
        <w:t>（</w:t>
      </w:r>
      <w:r>
        <w:rPr>
          <w:rFonts w:hint="eastAsia"/>
          <w:lang w:val="en-US" w:eastAsia="zh-CN"/>
        </w:rPr>
        <w:t>一</w:t>
      </w:r>
      <w:r>
        <w:rPr>
          <w:rFonts w:hint="eastAsia"/>
          <w:lang w:eastAsia="zh-CN"/>
        </w:rPr>
        <w:t>）</w:t>
      </w:r>
      <w:r>
        <w:t>生产部做好生产计划，制定产品规格的安全库存量。</w:t>
      </w:r>
    </w:p>
    <w:p>
      <w:pPr>
        <w:ind w:firstLine="480"/>
      </w:pPr>
      <w:r>
        <w:rPr>
          <w:rFonts w:hint="eastAsia"/>
          <w:lang w:eastAsia="zh-CN"/>
        </w:rPr>
        <w:t>（</w:t>
      </w:r>
      <w:r>
        <w:rPr>
          <w:rFonts w:hint="eastAsia"/>
          <w:lang w:val="en-US" w:eastAsia="zh-CN"/>
        </w:rPr>
        <w:t>二</w:t>
      </w:r>
      <w:r>
        <w:rPr>
          <w:rFonts w:hint="eastAsia"/>
          <w:lang w:eastAsia="zh-CN"/>
        </w:rPr>
        <w:t>）</w:t>
      </w:r>
      <w:r>
        <w:t>仓储部做好每日收发货统计，时刻掌握每日实际库存情况。</w:t>
      </w:r>
    </w:p>
    <w:p>
      <w:pPr>
        <w:ind w:firstLine="480"/>
      </w:pPr>
      <w:r>
        <w:rPr>
          <w:rFonts w:hint="eastAsia"/>
          <w:lang w:eastAsia="zh-CN"/>
        </w:rPr>
        <w:t>（</w:t>
      </w:r>
      <w:r>
        <w:rPr>
          <w:rFonts w:hint="eastAsia"/>
          <w:lang w:val="en-US" w:eastAsia="zh-CN"/>
        </w:rPr>
        <w:t>三</w:t>
      </w:r>
      <w:r>
        <w:rPr>
          <w:rFonts w:hint="eastAsia"/>
          <w:lang w:eastAsia="zh-CN"/>
        </w:rPr>
        <w:t>）</w:t>
      </w:r>
      <w:r>
        <w:t>各生产车间和公用项目部门必须对故障设备及时维修，保持生产设备处于良好状态。</w:t>
      </w:r>
    </w:p>
    <w:p>
      <w:pPr>
        <w:pStyle w:val="6"/>
        <w:bidi w:val="0"/>
      </w:pPr>
      <w:bookmarkStart w:id="510" w:name="_Toc22706"/>
      <w:r>
        <w:rPr>
          <w:rFonts w:hint="eastAsia"/>
          <w:lang w:eastAsia="zh-CN"/>
        </w:rPr>
        <w:t>（</w:t>
      </w:r>
      <w:r>
        <w:rPr>
          <w:rFonts w:hint="eastAsia"/>
          <w:lang w:val="en-US" w:eastAsia="zh-CN"/>
        </w:rPr>
        <w:t>二</w:t>
      </w:r>
      <w:r>
        <w:rPr>
          <w:rFonts w:hint="eastAsia"/>
          <w:lang w:eastAsia="zh-CN"/>
        </w:rPr>
        <w:t>）</w:t>
      </w:r>
      <w:r>
        <w:rPr>
          <w:rFonts w:hint="eastAsia"/>
        </w:rPr>
        <w:t>组织过程</w:t>
      </w:r>
      <w:bookmarkEnd w:id="510"/>
    </w:p>
    <w:p>
      <w:pPr>
        <w:ind w:firstLine="480"/>
      </w:pPr>
      <w:r>
        <w:rPr>
          <w:rFonts w:hint="eastAsia"/>
          <w:lang w:eastAsia="zh-CN"/>
        </w:rPr>
        <w:t>（</w:t>
      </w:r>
      <w:r>
        <w:rPr>
          <w:rFonts w:hint="eastAsia"/>
          <w:lang w:val="en-US" w:eastAsia="zh-CN"/>
        </w:rPr>
        <w:t>一</w:t>
      </w:r>
      <w:r>
        <w:rPr>
          <w:rFonts w:hint="eastAsia"/>
          <w:lang w:eastAsia="zh-CN"/>
        </w:rPr>
        <w:t>）</w:t>
      </w:r>
      <w:r>
        <w:t>对低于安全库存的产品和订单产品，有生产部负责通知各有关单位及时启动应急预案。并同时向应急预案领导小组组长报告。</w:t>
      </w:r>
    </w:p>
    <w:p>
      <w:pPr>
        <w:ind w:firstLine="480"/>
      </w:pPr>
      <w:r>
        <w:rPr>
          <w:rFonts w:hint="eastAsia"/>
          <w:lang w:eastAsia="zh-CN"/>
        </w:rPr>
        <w:t>（</w:t>
      </w:r>
      <w:r>
        <w:rPr>
          <w:rFonts w:hint="eastAsia"/>
          <w:lang w:val="en-US" w:eastAsia="zh-CN"/>
        </w:rPr>
        <w:t>二</w:t>
      </w:r>
      <w:r>
        <w:rPr>
          <w:rFonts w:hint="eastAsia"/>
          <w:lang w:eastAsia="zh-CN"/>
        </w:rPr>
        <w:t>）</w:t>
      </w:r>
      <w:r>
        <w:t>对启动应急预案生产的产品有关部门必须在所涉及的购物计划单、货款申请单、车辆申请单、设备维修申请单、生产指令单、请验单、检验报告单等单据上注明“加急”字样。</w:t>
      </w:r>
    </w:p>
    <w:p>
      <w:pPr>
        <w:ind w:firstLine="480"/>
      </w:pPr>
      <w:r>
        <w:rPr>
          <w:rFonts w:hint="eastAsia"/>
          <w:lang w:eastAsia="zh-CN"/>
        </w:rPr>
        <w:t>（</w:t>
      </w:r>
      <w:r>
        <w:rPr>
          <w:rFonts w:hint="eastAsia"/>
          <w:lang w:val="en-US" w:eastAsia="zh-CN"/>
        </w:rPr>
        <w:t>三</w:t>
      </w:r>
      <w:r>
        <w:rPr>
          <w:rFonts w:hint="eastAsia"/>
          <w:lang w:eastAsia="zh-CN"/>
        </w:rPr>
        <w:t>）</w:t>
      </w:r>
      <w:r>
        <w:t>生产部、财务部等部门在接到带有“加急”字样的申请单时，要迅速办理，在规定时间内完成任务。</w:t>
      </w:r>
    </w:p>
    <w:p>
      <w:pPr>
        <w:ind w:firstLine="480"/>
      </w:pPr>
      <w:r>
        <w:rPr>
          <w:rFonts w:hint="eastAsia"/>
          <w:lang w:eastAsia="zh-CN"/>
        </w:rPr>
        <w:t>（</w:t>
      </w:r>
      <w:r>
        <w:rPr>
          <w:rFonts w:hint="eastAsia"/>
          <w:lang w:val="en-US" w:eastAsia="zh-CN"/>
        </w:rPr>
        <w:t>四</w:t>
      </w:r>
      <w:r>
        <w:rPr>
          <w:rFonts w:hint="eastAsia"/>
          <w:lang w:eastAsia="zh-CN"/>
        </w:rPr>
        <w:t>）</w:t>
      </w:r>
      <w:r>
        <w:t>对启动应急预案生产的产品，各生产车间必须优先安排生产，在接到生产指令的第一时间进行转产，上下工序之间的生产衔接不得拖延时间。需加班生产的车间自动安排加班。</w:t>
      </w:r>
    </w:p>
    <w:p>
      <w:pPr>
        <w:ind w:firstLine="480"/>
      </w:pPr>
      <w:r>
        <w:rPr>
          <w:rFonts w:hint="eastAsia"/>
          <w:lang w:eastAsia="zh-CN"/>
        </w:rPr>
        <w:t>（</w:t>
      </w:r>
      <w:r>
        <w:rPr>
          <w:rFonts w:hint="eastAsia"/>
          <w:lang w:val="en-US" w:eastAsia="zh-CN"/>
        </w:rPr>
        <w:t>五</w:t>
      </w:r>
      <w:r>
        <w:rPr>
          <w:rFonts w:hint="eastAsia"/>
          <w:lang w:eastAsia="zh-CN"/>
        </w:rPr>
        <w:t>）</w:t>
      </w:r>
      <w:r>
        <w:t>生产过程中存在的技术问题，生产部门要提前与技术部沟通，技术部在接到通知后要迅速到达生产现场，拿出解决方案，进行跟踪指导。</w:t>
      </w:r>
    </w:p>
    <w:p>
      <w:pPr>
        <w:ind w:firstLine="480"/>
      </w:pPr>
      <w:r>
        <w:rPr>
          <w:rFonts w:hint="eastAsia"/>
          <w:lang w:eastAsia="zh-CN"/>
        </w:rPr>
        <w:t>（</w:t>
      </w:r>
      <w:r>
        <w:rPr>
          <w:rFonts w:hint="eastAsia"/>
          <w:lang w:val="en-US" w:eastAsia="zh-CN"/>
        </w:rPr>
        <w:t>六</w:t>
      </w:r>
      <w:r>
        <w:rPr>
          <w:rFonts w:hint="eastAsia"/>
          <w:lang w:eastAsia="zh-CN"/>
        </w:rPr>
        <w:t>）</w:t>
      </w:r>
      <w:r>
        <w:t>质检部门对启动应急预案生产产品的检验（包括原辅包装材料、半成品、成品）必须在接到请验单后十分钟内到达现场取样，立即检验，检验需要加班的自动加班。检验结果出来二十分钟内将检验报告下发到请验单位。</w:t>
      </w:r>
    </w:p>
    <w:p>
      <w:pPr>
        <w:ind w:firstLine="480"/>
      </w:pPr>
      <w:r>
        <w:rPr>
          <w:rFonts w:hint="eastAsia"/>
          <w:lang w:eastAsia="zh-CN"/>
        </w:rPr>
        <w:t>（</w:t>
      </w:r>
      <w:r>
        <w:rPr>
          <w:rFonts w:hint="eastAsia"/>
          <w:lang w:val="en-US" w:eastAsia="zh-CN"/>
        </w:rPr>
        <w:t>七</w:t>
      </w:r>
      <w:r>
        <w:rPr>
          <w:rFonts w:hint="eastAsia"/>
          <w:lang w:eastAsia="zh-CN"/>
        </w:rPr>
        <w:t>）</w:t>
      </w:r>
      <w:r>
        <w:t>各有关单位对全过程的信息传递必须及时准确，不得拖拉和隐瞒。</w:t>
      </w:r>
    </w:p>
    <w:p>
      <w:pPr>
        <w:pStyle w:val="6"/>
        <w:bidi w:val="0"/>
      </w:pPr>
      <w:bookmarkStart w:id="511" w:name="_Toc19544"/>
      <w:r>
        <w:rPr>
          <w:rFonts w:hint="eastAsia"/>
          <w:lang w:eastAsia="zh-CN"/>
        </w:rPr>
        <w:t>（</w:t>
      </w:r>
      <w:r>
        <w:rPr>
          <w:rFonts w:hint="eastAsia"/>
          <w:lang w:val="en-US" w:eastAsia="zh-CN"/>
        </w:rPr>
        <w:t>三</w:t>
      </w:r>
      <w:r>
        <w:rPr>
          <w:rFonts w:hint="eastAsia"/>
          <w:lang w:eastAsia="zh-CN"/>
        </w:rPr>
        <w:t>）</w:t>
      </w:r>
      <w:r>
        <w:rPr>
          <w:rFonts w:hint="eastAsia"/>
        </w:rPr>
        <w:t>应急措施</w:t>
      </w:r>
      <w:bookmarkEnd w:id="511"/>
    </w:p>
    <w:p>
      <w:pPr>
        <w:ind w:firstLine="480"/>
      </w:pPr>
      <w:r>
        <w:rPr>
          <w:rFonts w:hint="eastAsia"/>
        </w:rPr>
        <w:t>遇有采购单位紧急订单情况，我公司在接到通知或订单时，第一时间启用应急库房货物，在安全的前提下以最快的速度及最短的时间立即将该批货物送到甲方使用现场。随后运输部、生产部，下发紧急订单到生产部门组织生产下一批产品，以尽快恢复应急库房产品的储备。</w:t>
      </w:r>
    </w:p>
    <w:p>
      <w:pPr>
        <w:ind w:firstLine="480"/>
      </w:pPr>
      <w:r>
        <w:rPr>
          <w:rFonts w:hint="eastAsia"/>
          <w:lang w:eastAsia="zh-CN"/>
        </w:rPr>
        <w:t>（</w:t>
      </w:r>
      <w:r>
        <w:rPr>
          <w:rFonts w:hint="eastAsia"/>
          <w:lang w:val="en-US" w:eastAsia="zh-CN"/>
        </w:rPr>
        <w:t>一</w:t>
      </w:r>
      <w:r>
        <w:rPr>
          <w:rFonts w:hint="eastAsia"/>
          <w:lang w:eastAsia="zh-CN"/>
        </w:rPr>
        <w:t>）</w:t>
      </w:r>
      <w:r>
        <w:t>项目经理自接到紧急订单时，及时了解材料库存情况，根据库存情况立即协调生产部组织生产。经常供应的原材料客户，一般情况下我公司会根据生产情况备有不低于</w:t>
      </w:r>
      <w:r>
        <w:rPr>
          <w:rFonts w:hint="eastAsia"/>
        </w:rPr>
        <w:t>肥料</w:t>
      </w:r>
      <w:r>
        <w:t>生产计划存量的原辅材料，如果库存量低于我公司的生产警戒值时，我公司物资采购部会根据实际情况及时下达紧急供货通知单到相应的生产部门，及时保证客户紧急订单的需求。</w:t>
      </w:r>
    </w:p>
    <w:p>
      <w:pPr>
        <w:ind w:firstLine="480"/>
      </w:pPr>
      <w:r>
        <w:rPr>
          <w:rFonts w:hint="eastAsia"/>
          <w:lang w:eastAsia="zh-CN"/>
        </w:rPr>
        <w:t>（</w:t>
      </w:r>
      <w:r>
        <w:rPr>
          <w:rFonts w:hint="eastAsia"/>
          <w:lang w:val="en-US" w:eastAsia="zh-CN"/>
        </w:rPr>
        <w:t>二</w:t>
      </w:r>
      <w:r>
        <w:rPr>
          <w:rFonts w:hint="eastAsia"/>
          <w:lang w:eastAsia="zh-CN"/>
        </w:rPr>
        <w:t>）</w:t>
      </w:r>
      <w:r>
        <w:t>生产部自接到紧急订单任务时，立即下达紧急生产通知单到相应生产部门，负责人根据订单要求及时调整反应釜数量，组织相关人员进行生产，负责人会根据实际情况，实行3班2倒制来完成生产任务。</w:t>
      </w:r>
    </w:p>
    <w:p>
      <w:pPr>
        <w:ind w:firstLine="480"/>
      </w:pPr>
      <w:r>
        <w:rPr>
          <w:rFonts w:hint="eastAsia"/>
          <w:lang w:eastAsia="zh-CN"/>
        </w:rPr>
        <w:t>（</w:t>
      </w:r>
      <w:r>
        <w:rPr>
          <w:rFonts w:hint="eastAsia"/>
          <w:lang w:val="en-US" w:eastAsia="zh-CN"/>
        </w:rPr>
        <w:t>三</w:t>
      </w:r>
      <w:r>
        <w:rPr>
          <w:rFonts w:hint="eastAsia"/>
          <w:lang w:eastAsia="zh-CN"/>
        </w:rPr>
        <w:t>）</w:t>
      </w:r>
      <w:r>
        <w:t>紧急运输响应速度：我公司有多辆运输车以供完成配送。并且公司目前与多家物流公司均建立有良好的合作关系，也可全天候调运车辆，可充分保证客户的需要。以最快时间将货物送到客户指定的地点。</w:t>
      </w:r>
    </w:p>
    <w:p>
      <w:pPr>
        <w:ind w:firstLine="480"/>
      </w:pPr>
      <w:r>
        <w:rPr>
          <w:rFonts w:hint="eastAsia"/>
          <w:lang w:eastAsia="zh-CN"/>
        </w:rPr>
        <w:t>（</w:t>
      </w:r>
      <w:r>
        <w:rPr>
          <w:rFonts w:hint="eastAsia"/>
          <w:lang w:val="en-US" w:eastAsia="zh-CN"/>
        </w:rPr>
        <w:t>四</w:t>
      </w:r>
      <w:r>
        <w:rPr>
          <w:rFonts w:hint="eastAsia"/>
          <w:lang w:eastAsia="zh-CN"/>
        </w:rPr>
        <w:t>）</w:t>
      </w:r>
      <w:r>
        <w:t>应急运输车辆保证措施：</w:t>
      </w:r>
    </w:p>
    <w:p>
      <w:pPr>
        <w:ind w:firstLine="480"/>
      </w:pPr>
      <w:r>
        <w:rPr>
          <w:rFonts w:hint="eastAsia"/>
          <w:lang w:val="en-US" w:eastAsia="zh-CN"/>
        </w:rPr>
        <w:t>1、</w:t>
      </w:r>
      <w:r>
        <w:t>我公司制定了完善的运输业务操作规范，使所有运输业务操作按照标准的服务流程进行，确保整个操作过程井然有序。</w:t>
      </w:r>
    </w:p>
    <w:p>
      <w:pPr>
        <w:ind w:firstLine="480"/>
      </w:pPr>
      <w:r>
        <w:rPr>
          <w:rFonts w:hint="eastAsia"/>
          <w:lang w:val="en-US" w:eastAsia="zh-CN"/>
        </w:rPr>
        <w:t>2、</w:t>
      </w:r>
      <w:r>
        <w:t>我公司能随时提供合格的运输车辆，保证货物的及时运输和安全到达，保证运输服务质量并通过利用先进的技术手段，对车辆进行实时监控。</w:t>
      </w:r>
    </w:p>
    <w:p>
      <w:pPr>
        <w:ind w:firstLine="480"/>
      </w:pPr>
      <w:r>
        <w:rPr>
          <w:rFonts w:hint="eastAsia"/>
          <w:lang w:val="en-US" w:eastAsia="zh-CN"/>
        </w:rPr>
        <w:t>3、</w:t>
      </w:r>
      <w:r>
        <w:t>保证对车辆进行定期的维护和保养，保障车辆的适营性。</w:t>
      </w:r>
    </w:p>
    <w:p>
      <w:pPr>
        <w:ind w:firstLine="480"/>
      </w:pPr>
      <w:r>
        <w:rPr>
          <w:rFonts w:hint="eastAsia"/>
          <w:lang w:val="en-US" w:eastAsia="zh-CN"/>
        </w:rPr>
        <w:t>4、</w:t>
      </w:r>
      <w:r>
        <w:t>为了降低货损货差，我公司将根据不同的自然状况和路况控制和掌握行车速度，在保证及时送货的同时，保证货物的安全。</w:t>
      </w:r>
    </w:p>
    <w:p>
      <w:pPr>
        <w:ind w:firstLine="480"/>
      </w:pPr>
      <w:r>
        <w:rPr>
          <w:rFonts w:hint="eastAsia"/>
          <w:lang w:val="en-US" w:eastAsia="zh-CN"/>
        </w:rPr>
        <w:t>5、</w:t>
      </w:r>
      <w:r>
        <w:t>我公司在日常用车运输班组外特设置紧急运输班组，一旦发生需要紧急供货情况时，我公司还将立即安排紧急运输班组前往运输，保证在第一时间满足采购单位的产品需求。</w:t>
      </w:r>
    </w:p>
    <w:p>
      <w:pPr>
        <w:spacing w:before="0" w:after="0" w:line="240" w:lineRule="auto"/>
        <w:ind w:firstLine="0" w:firstLineChars="0"/>
        <w:jc w:val="left"/>
      </w:pPr>
      <w:r>
        <w:br w:type="page"/>
      </w:r>
    </w:p>
    <w:p>
      <w:pPr>
        <w:pStyle w:val="5"/>
        <w:bidi w:val="0"/>
      </w:pPr>
      <w:bookmarkStart w:id="512" w:name="_Toc118293272"/>
      <w:bookmarkStart w:id="513" w:name="_Toc116121494"/>
      <w:bookmarkStart w:id="514" w:name="_Toc117181906"/>
      <w:bookmarkStart w:id="515" w:name="_Toc25558"/>
      <w:r>
        <w:rPr>
          <w:rFonts w:hint="eastAsia"/>
          <w:lang w:val="en-US" w:eastAsia="zh-CN"/>
        </w:rPr>
        <w:t>三、</w:t>
      </w:r>
      <w:r>
        <w:rPr>
          <w:rFonts w:hint="eastAsia"/>
        </w:rPr>
        <w:t>货物质量问题的应急预案</w:t>
      </w:r>
      <w:bookmarkEnd w:id="512"/>
      <w:bookmarkEnd w:id="513"/>
      <w:bookmarkEnd w:id="514"/>
      <w:bookmarkEnd w:id="515"/>
    </w:p>
    <w:p>
      <w:pPr>
        <w:pStyle w:val="6"/>
        <w:bidi w:val="0"/>
      </w:pPr>
      <w:bookmarkStart w:id="516" w:name="_Toc31672"/>
      <w:r>
        <w:rPr>
          <w:rFonts w:hint="eastAsia"/>
          <w:lang w:eastAsia="zh-CN"/>
        </w:rPr>
        <w:t>（</w:t>
      </w:r>
      <w:r>
        <w:rPr>
          <w:rFonts w:hint="eastAsia"/>
          <w:lang w:val="en-US" w:eastAsia="zh-CN"/>
        </w:rPr>
        <w:t>一</w:t>
      </w:r>
      <w:r>
        <w:rPr>
          <w:rFonts w:hint="eastAsia"/>
          <w:lang w:eastAsia="zh-CN"/>
        </w:rPr>
        <w:t>）</w:t>
      </w:r>
      <w:r>
        <w:rPr>
          <w:rFonts w:hint="eastAsia"/>
        </w:rPr>
        <w:t>编制目的</w:t>
      </w:r>
      <w:bookmarkEnd w:id="516"/>
    </w:p>
    <w:p>
      <w:pPr>
        <w:ind w:firstLine="480"/>
      </w:pPr>
      <w:r>
        <w:rPr>
          <w:rFonts w:hint="eastAsia"/>
        </w:rPr>
        <w:t>为建立健全应对货物突发安全事故或重大质量问题的补救体系和运行机制，规范和指导应急处理工作，有效预防、积极应对、及时控制货物安全或质量事故，高效组织应急补救工作，最大限度地减货物安全质量问题事件的危害，保障消费者的权益，降低公司损失，我公司特就产品质量问题制定产品质量问题处理预案。</w:t>
      </w:r>
    </w:p>
    <w:p>
      <w:pPr>
        <w:pStyle w:val="6"/>
        <w:bidi w:val="0"/>
      </w:pPr>
      <w:bookmarkStart w:id="517" w:name="_Toc14320"/>
      <w:r>
        <w:rPr>
          <w:rFonts w:hint="eastAsia"/>
          <w:lang w:eastAsia="zh-CN"/>
        </w:rPr>
        <w:t>（</w:t>
      </w:r>
      <w:r>
        <w:rPr>
          <w:rFonts w:hint="eastAsia"/>
          <w:lang w:val="en-US" w:eastAsia="zh-CN"/>
        </w:rPr>
        <w:t>二</w:t>
      </w:r>
      <w:r>
        <w:rPr>
          <w:rFonts w:hint="eastAsia"/>
          <w:lang w:eastAsia="zh-CN"/>
        </w:rPr>
        <w:t>）</w:t>
      </w:r>
      <w:r>
        <w:rPr>
          <w:rFonts w:hint="eastAsia"/>
        </w:rPr>
        <w:t>工作原则</w:t>
      </w:r>
      <w:bookmarkEnd w:id="517"/>
    </w:p>
    <w:p>
      <w:pPr>
        <w:ind w:firstLine="480"/>
      </w:pPr>
      <w:r>
        <w:rPr>
          <w:rFonts w:hint="eastAsia"/>
        </w:rPr>
        <w:t>在公司各级领导、部门的指导下，按照“分级管理、明确职责、落实责任、科学决策、加强监督、及时反映、快速行动”的原则，依法开展工作。</w:t>
      </w:r>
    </w:p>
    <w:p>
      <w:pPr>
        <w:pStyle w:val="6"/>
        <w:bidi w:val="0"/>
      </w:pPr>
      <w:bookmarkStart w:id="518" w:name="_Toc23260"/>
      <w:r>
        <w:rPr>
          <w:rFonts w:hint="eastAsia"/>
          <w:lang w:eastAsia="zh-CN"/>
        </w:rPr>
        <w:t>（</w:t>
      </w:r>
      <w:r>
        <w:rPr>
          <w:rFonts w:hint="eastAsia"/>
          <w:lang w:val="en-US" w:eastAsia="zh-CN"/>
        </w:rPr>
        <w:t>三</w:t>
      </w:r>
      <w:r>
        <w:rPr>
          <w:rFonts w:hint="eastAsia"/>
          <w:lang w:eastAsia="zh-CN"/>
        </w:rPr>
        <w:t>）</w:t>
      </w:r>
      <w:r>
        <w:rPr>
          <w:rFonts w:hint="eastAsia"/>
        </w:rPr>
        <w:t>适用范围</w:t>
      </w:r>
      <w:bookmarkEnd w:id="518"/>
    </w:p>
    <w:p>
      <w:pPr>
        <w:ind w:firstLine="480"/>
      </w:pPr>
      <w:r>
        <w:rPr>
          <w:rFonts w:hint="eastAsia"/>
        </w:rPr>
        <w:t>在我公司提供的货物对采购单位的日常工作各环节中发生产品质量事故，造成严重社会影响的质量安全事故及可能构成潜在的危害适用本预案。</w:t>
      </w:r>
    </w:p>
    <w:p>
      <w:pPr>
        <w:pStyle w:val="6"/>
        <w:bidi w:val="0"/>
      </w:pPr>
      <w:bookmarkStart w:id="519" w:name="_Toc464"/>
      <w:r>
        <w:rPr>
          <w:rFonts w:hint="eastAsia"/>
          <w:lang w:eastAsia="zh-CN"/>
        </w:rPr>
        <w:t>（</w:t>
      </w:r>
      <w:r>
        <w:rPr>
          <w:rFonts w:hint="eastAsia"/>
          <w:lang w:val="en-US" w:eastAsia="zh-CN"/>
        </w:rPr>
        <w:t>四</w:t>
      </w:r>
      <w:r>
        <w:rPr>
          <w:rFonts w:hint="eastAsia"/>
          <w:lang w:eastAsia="zh-CN"/>
        </w:rPr>
        <w:t>）</w:t>
      </w:r>
      <w:r>
        <w:rPr>
          <w:rFonts w:hint="eastAsia"/>
        </w:rPr>
        <w:t>应急措施</w:t>
      </w:r>
      <w:bookmarkEnd w:id="519"/>
    </w:p>
    <w:p>
      <w:pPr>
        <w:ind w:firstLine="480"/>
      </w:pPr>
      <w:r>
        <w:rPr>
          <w:rFonts w:hint="eastAsia"/>
          <w:lang w:eastAsia="zh-CN"/>
        </w:rPr>
        <w:t>（</w:t>
      </w:r>
      <w:r>
        <w:rPr>
          <w:rFonts w:hint="eastAsia"/>
          <w:lang w:val="en-US" w:eastAsia="zh-CN"/>
        </w:rPr>
        <w:t>一</w:t>
      </w:r>
      <w:r>
        <w:rPr>
          <w:rFonts w:hint="eastAsia"/>
          <w:lang w:eastAsia="zh-CN"/>
        </w:rPr>
        <w:t>）</w:t>
      </w:r>
      <w:r>
        <w:t>应急处置工作制度：</w:t>
      </w:r>
    </w:p>
    <w:p>
      <w:pPr>
        <w:ind w:firstLine="480"/>
      </w:pPr>
      <w:r>
        <w:rPr>
          <w:rFonts w:hint="eastAsia"/>
          <w:lang w:val="en-US" w:eastAsia="zh-CN"/>
        </w:rPr>
        <w:t>1、</w:t>
      </w:r>
      <w:r>
        <w:t>建立事件应急值班制度，小组成员的通讯工具，要保证24小时开机状态，应急人员随时待命。</w:t>
      </w:r>
    </w:p>
    <w:p>
      <w:pPr>
        <w:ind w:firstLine="480"/>
      </w:pPr>
      <w:r>
        <w:rPr>
          <w:rFonts w:hint="eastAsia"/>
          <w:lang w:val="en-US" w:eastAsia="zh-CN"/>
        </w:rPr>
        <w:t>2、</w:t>
      </w:r>
      <w:r>
        <w:t>要为应急工作配备必备车辆，技术、处理人员必须在最短时间内赶到现场，确保应急工作的需要。</w:t>
      </w:r>
    </w:p>
    <w:p>
      <w:pPr>
        <w:ind w:firstLine="480"/>
      </w:pPr>
      <w:r>
        <w:rPr>
          <w:rFonts w:hint="eastAsia"/>
          <w:lang w:val="en-US" w:eastAsia="zh-CN"/>
        </w:rPr>
        <w:t>3、</w:t>
      </w:r>
      <w:r>
        <w:t>经常保持与采购方部门的联系，确保在应急机制启动时，与各有关单位之间的联络畅通和积极配合。</w:t>
      </w:r>
    </w:p>
    <w:p>
      <w:pPr>
        <w:ind w:firstLine="480"/>
      </w:pPr>
      <w:r>
        <w:rPr>
          <w:rFonts w:hint="eastAsia"/>
          <w:lang w:eastAsia="zh-CN"/>
        </w:rPr>
        <w:t>（</w:t>
      </w:r>
      <w:r>
        <w:rPr>
          <w:rFonts w:hint="eastAsia"/>
          <w:lang w:val="en-US" w:eastAsia="zh-CN"/>
        </w:rPr>
        <w:t>二</w:t>
      </w:r>
      <w:r>
        <w:rPr>
          <w:rFonts w:hint="eastAsia"/>
          <w:lang w:eastAsia="zh-CN"/>
        </w:rPr>
        <w:t>）</w:t>
      </w:r>
      <w:r>
        <w:t>现场应急处理：各组成员到达指定地点后，按照分工立即开展工作，具体步骤如下：</w:t>
      </w:r>
    </w:p>
    <w:p>
      <w:pPr>
        <w:ind w:firstLine="480"/>
      </w:pPr>
      <w:r>
        <w:rPr>
          <w:rFonts w:hint="eastAsia"/>
          <w:lang w:val="en-US" w:eastAsia="zh-CN"/>
        </w:rPr>
        <w:t>1、</w:t>
      </w:r>
      <w:r>
        <w:t>及时传达贯彻领导指示，随时报告事件处理情况，完成领导交办的各项任务，并对现场货物检查。</w:t>
      </w:r>
    </w:p>
    <w:p>
      <w:pPr>
        <w:ind w:firstLine="480"/>
      </w:pPr>
      <w:r>
        <w:rPr>
          <w:rFonts w:hint="eastAsia"/>
          <w:lang w:val="en-US" w:eastAsia="zh-CN"/>
        </w:rPr>
        <w:t>2、</w:t>
      </w:r>
      <w:r>
        <w:t>对需抽样检验的应立即抽样送检，检测中心立即安排人员检验，检验结果迅速报告领导小组。</w:t>
      </w:r>
    </w:p>
    <w:p>
      <w:pPr>
        <w:ind w:firstLine="480"/>
      </w:pPr>
      <w:r>
        <w:rPr>
          <w:rFonts w:hint="eastAsia"/>
          <w:lang w:val="en-US" w:eastAsia="zh-CN"/>
        </w:rPr>
        <w:t>3、</w:t>
      </w:r>
      <w:r>
        <w:t>现场处理必须做到政令畅通、步调一致、各负其责，任何人都不得因为工作的疏忽导致不应有的损失和对采购单位和公司的损害。</w:t>
      </w:r>
    </w:p>
    <w:p>
      <w:pPr>
        <w:ind w:firstLine="480"/>
      </w:pPr>
      <w:r>
        <w:rPr>
          <w:rFonts w:hint="eastAsia"/>
          <w:lang w:val="en-US" w:eastAsia="zh-CN"/>
        </w:rPr>
        <w:t>4、</w:t>
      </w:r>
      <w:r>
        <w:t>对不合格货物进行召回，具体实施方法如下：</w:t>
      </w:r>
    </w:p>
    <w:p>
      <w:pPr>
        <w:ind w:firstLine="480"/>
      </w:pPr>
      <w:r>
        <w:rPr>
          <w:rFonts w:hint="eastAsia"/>
          <w:lang w:eastAsia="zh-CN"/>
        </w:rPr>
        <w:t>（</w:t>
      </w:r>
      <w:r>
        <w:rPr>
          <w:rFonts w:hint="eastAsia"/>
          <w:lang w:val="en-US" w:eastAsia="zh-CN"/>
        </w:rPr>
        <w:t>1</w:t>
      </w:r>
      <w:r>
        <w:rPr>
          <w:rFonts w:hint="eastAsia"/>
          <w:lang w:eastAsia="zh-CN"/>
        </w:rPr>
        <w:t>）</w:t>
      </w:r>
      <w:r>
        <w:rPr>
          <w:rFonts w:hint="eastAsia"/>
        </w:rPr>
        <w:t>对于的确存在质量缺陷的货物进行及时召回。</w:t>
      </w:r>
    </w:p>
    <w:p>
      <w:pPr>
        <w:ind w:firstLine="480"/>
      </w:pPr>
      <w:r>
        <w:rPr>
          <w:rFonts w:hint="eastAsia"/>
          <w:lang w:eastAsia="zh-CN"/>
        </w:rPr>
        <w:t>（</w:t>
      </w:r>
      <w:r>
        <w:rPr>
          <w:rFonts w:hint="eastAsia"/>
          <w:lang w:val="en-US" w:eastAsia="zh-CN"/>
        </w:rPr>
        <w:t>2</w:t>
      </w:r>
      <w:r>
        <w:rPr>
          <w:rFonts w:hint="eastAsia"/>
          <w:lang w:eastAsia="zh-CN"/>
        </w:rPr>
        <w:t>）</w:t>
      </w:r>
      <w:r>
        <w:rPr>
          <w:rFonts w:hint="eastAsia"/>
        </w:rPr>
        <w:t>对于召回的产品立即通过溯源管理制度，进行原辅料和成品的双向追溯，追踪不合格批次数量的成品批次，实行召回。</w:t>
      </w:r>
    </w:p>
    <w:p>
      <w:pPr>
        <w:ind w:firstLine="480"/>
      </w:pPr>
      <w:r>
        <w:rPr>
          <w:rFonts w:hint="eastAsia"/>
          <w:lang w:eastAsia="zh-CN"/>
        </w:rPr>
        <w:t>（</w:t>
      </w:r>
      <w:r>
        <w:rPr>
          <w:rFonts w:hint="eastAsia"/>
          <w:lang w:val="en-US" w:eastAsia="zh-CN"/>
        </w:rPr>
        <w:t>3</w:t>
      </w:r>
      <w:r>
        <w:rPr>
          <w:rFonts w:hint="eastAsia"/>
          <w:lang w:eastAsia="zh-CN"/>
        </w:rPr>
        <w:t>）</w:t>
      </w:r>
      <w:r>
        <w:rPr>
          <w:rFonts w:hint="eastAsia"/>
        </w:rPr>
        <w:t>对于召回的产品，如的确无法整改与修复的，直接进行更换处理，对于可以整改的，提出整改方案，进行整改，再次检测合格后，予以发货。</w:t>
      </w:r>
    </w:p>
    <w:p>
      <w:pPr>
        <w:ind w:firstLine="480"/>
      </w:pPr>
      <w:r>
        <w:rPr>
          <w:rFonts w:hint="eastAsia"/>
          <w:lang w:eastAsia="zh-CN"/>
        </w:rPr>
        <w:t>（</w:t>
      </w:r>
      <w:r>
        <w:rPr>
          <w:rFonts w:hint="eastAsia"/>
          <w:lang w:val="en-US" w:eastAsia="zh-CN"/>
        </w:rPr>
        <w:t>三</w:t>
      </w:r>
      <w:r>
        <w:rPr>
          <w:rFonts w:hint="eastAsia"/>
          <w:lang w:eastAsia="zh-CN"/>
        </w:rPr>
        <w:t>）</w:t>
      </w:r>
      <w:r>
        <w:t>进行后期处理：</w:t>
      </w:r>
    </w:p>
    <w:p>
      <w:pPr>
        <w:ind w:firstLine="480"/>
      </w:pPr>
      <w:r>
        <w:rPr>
          <w:rFonts w:hint="eastAsia"/>
          <w:lang w:val="en-US" w:eastAsia="zh-CN"/>
        </w:rPr>
        <w:t>1、</w:t>
      </w:r>
      <w:r>
        <w:t>突发事件处理完毕后，领导小组必须对质量事件的处理情况进行总结，分析原因，提出预防措施。</w:t>
      </w:r>
    </w:p>
    <w:p>
      <w:pPr>
        <w:ind w:firstLine="480"/>
      </w:pPr>
      <w:r>
        <w:rPr>
          <w:rFonts w:hint="eastAsia"/>
          <w:lang w:val="en-US" w:eastAsia="zh-CN"/>
        </w:rPr>
        <w:t>2、</w:t>
      </w:r>
      <w:r>
        <w:t>各级处置领导小组要建立落实责任追究制度，明确责任，落实到人。对坚持原则、处置得当、沉着果断的有功人员给予通报表扬和奖励；对迟报、谎报、瞒报和误报事件重要情况以及玩忽职守、推卸责任造成不良后果的相关人员给予通报批评并依法追究责任，并就今后的质量管理工作作出了工作部署：</w:t>
      </w:r>
    </w:p>
    <w:p>
      <w:pPr>
        <w:ind w:firstLine="480"/>
      </w:pPr>
      <w:r>
        <w:rPr>
          <w:rFonts w:hint="eastAsia"/>
          <w:lang w:eastAsia="zh-CN"/>
        </w:rPr>
        <w:t>（</w:t>
      </w:r>
      <w:r>
        <w:rPr>
          <w:rFonts w:hint="eastAsia"/>
          <w:lang w:val="en-US" w:eastAsia="zh-CN"/>
        </w:rPr>
        <w:t>1</w:t>
      </w:r>
      <w:r>
        <w:rPr>
          <w:rFonts w:hint="eastAsia"/>
          <w:lang w:eastAsia="zh-CN"/>
        </w:rPr>
        <w:t>）</w:t>
      </w:r>
      <w:r>
        <w:rPr>
          <w:rFonts w:hint="eastAsia"/>
        </w:rPr>
        <w:t>以此次质量事故为契机，开展质量全员教育工作，并落实到所有管理和作业人员，并且将质量教育作为经常的、持久的制度进行到项目完工，并举一反三在全司开展一次质量教育工作。</w:t>
      </w:r>
    </w:p>
    <w:p>
      <w:pPr>
        <w:ind w:firstLine="480"/>
      </w:pPr>
      <w:r>
        <w:rPr>
          <w:rFonts w:hint="eastAsia"/>
          <w:lang w:eastAsia="zh-CN"/>
        </w:rPr>
        <w:t>（</w:t>
      </w:r>
      <w:r>
        <w:rPr>
          <w:rFonts w:hint="eastAsia"/>
          <w:lang w:val="en-US" w:eastAsia="zh-CN"/>
        </w:rPr>
        <w:t>2</w:t>
      </w:r>
      <w:r>
        <w:rPr>
          <w:rFonts w:hint="eastAsia"/>
          <w:lang w:eastAsia="zh-CN"/>
        </w:rPr>
        <w:t>）</w:t>
      </w:r>
      <w:r>
        <w:rPr>
          <w:rFonts w:hint="eastAsia"/>
        </w:rPr>
        <w:t>建立奖罚制度，对于管理和作业人员好的要奖励，差的要罚款，树立人人有好的工作质量，才会有好的产品质量的理念。</w:t>
      </w:r>
    </w:p>
    <w:p>
      <w:pPr>
        <w:ind w:firstLine="480"/>
      </w:pPr>
      <w:r>
        <w:rPr>
          <w:rFonts w:hint="eastAsia"/>
          <w:lang w:eastAsia="zh-CN"/>
        </w:rPr>
        <w:t>（</w:t>
      </w:r>
      <w:r>
        <w:rPr>
          <w:rFonts w:hint="eastAsia"/>
          <w:lang w:val="en-US" w:eastAsia="zh-CN"/>
        </w:rPr>
        <w:t>3</w:t>
      </w:r>
      <w:r>
        <w:rPr>
          <w:rFonts w:hint="eastAsia"/>
          <w:lang w:eastAsia="zh-CN"/>
        </w:rPr>
        <w:t>）</w:t>
      </w:r>
      <w:r>
        <w:rPr>
          <w:rFonts w:hint="eastAsia"/>
        </w:rPr>
        <w:t>要求项目的各相关责任部门，对项目部的作业过程进行全方位的检查、监督，以提高工作质量、确保货物质量。</w:t>
      </w:r>
    </w:p>
    <w:p>
      <w:pPr>
        <w:ind w:firstLine="480"/>
      </w:pPr>
      <w:r>
        <w:rPr>
          <w:rFonts w:hint="eastAsia"/>
          <w:lang w:val="en-US" w:eastAsia="zh-CN"/>
        </w:rPr>
        <w:t>3、</w:t>
      </w:r>
      <w:r>
        <w:t>技术部门人员应针对货物的质量问题进行改进，不断提升专业水准，公司和项目将会针对改进情况给予奖励。</w:t>
      </w:r>
    </w:p>
    <w:p>
      <w:pPr>
        <w:pStyle w:val="5"/>
        <w:bidi w:val="0"/>
      </w:pPr>
      <w:bookmarkStart w:id="520" w:name="_Toc118293273"/>
      <w:bookmarkStart w:id="521" w:name="_Toc23166"/>
      <w:bookmarkStart w:id="522" w:name="_Toc116121495"/>
      <w:bookmarkStart w:id="523" w:name="_Toc117181907"/>
      <w:r>
        <w:rPr>
          <w:rFonts w:hint="eastAsia"/>
          <w:lang w:val="en-US" w:eastAsia="zh-CN"/>
        </w:rPr>
        <w:t>四、</w:t>
      </w:r>
      <w:r>
        <w:rPr>
          <w:rFonts w:hint="eastAsia"/>
        </w:rPr>
        <w:t>生产车间事故的应急预案</w:t>
      </w:r>
      <w:bookmarkEnd w:id="520"/>
      <w:bookmarkEnd w:id="521"/>
      <w:bookmarkEnd w:id="522"/>
      <w:bookmarkEnd w:id="523"/>
    </w:p>
    <w:p>
      <w:pPr>
        <w:pStyle w:val="6"/>
        <w:bidi w:val="0"/>
      </w:pPr>
      <w:bookmarkStart w:id="524" w:name="_Toc116121496"/>
      <w:bookmarkStart w:id="525" w:name="_Toc12743"/>
      <w:bookmarkStart w:id="526" w:name="_Toc118293274"/>
      <w:r>
        <w:rPr>
          <w:rFonts w:hint="eastAsia"/>
          <w:lang w:val="en-US" w:eastAsia="zh-CN"/>
        </w:rPr>
        <w:t>（一）</w:t>
      </w:r>
      <w:r>
        <w:rPr>
          <w:rFonts w:hint="eastAsia"/>
        </w:rPr>
        <w:t>机械伤害应急措施</w:t>
      </w:r>
      <w:bookmarkEnd w:id="524"/>
      <w:bookmarkEnd w:id="525"/>
      <w:bookmarkEnd w:id="526"/>
    </w:p>
    <w:p>
      <w:pPr>
        <w:ind w:firstLine="480"/>
      </w:pPr>
      <w:r>
        <w:rPr>
          <w:rFonts w:hint="eastAsia"/>
        </w:rPr>
        <w:t>本应急预案的首要任务是抢救受伤人员，使受伤、受困人员及时脱离事故现场并进行救助，寻找失踪人员，核对事故现场岗位人数，具体方案的采用要在保证抢救人员安全的基础上进行，在应急救援过程中必须对应急人员自身的安全问题进行周密的考虑，包括现场安全防护措施、个体防护设备、现场安全监察等，保证应急人员免受事二次伤害，具体方案如下：</w:t>
      </w:r>
    </w:p>
    <w:p>
      <w:pPr>
        <w:ind w:firstLine="480"/>
      </w:pPr>
      <w:r>
        <w:rPr>
          <w:rFonts w:hint="eastAsia"/>
          <w:lang w:eastAsia="zh-CN"/>
        </w:rPr>
        <w:t>（</w:t>
      </w:r>
      <w:r>
        <w:rPr>
          <w:rFonts w:hint="eastAsia"/>
          <w:lang w:val="en-US" w:eastAsia="zh-CN"/>
        </w:rPr>
        <w:t>一</w:t>
      </w:r>
      <w:r>
        <w:rPr>
          <w:rFonts w:hint="eastAsia"/>
          <w:lang w:eastAsia="zh-CN"/>
        </w:rPr>
        <w:t>）</w:t>
      </w:r>
      <w:r>
        <w:t>急救诊断注意事项：</w:t>
      </w:r>
    </w:p>
    <w:p>
      <w:pPr>
        <w:ind w:firstLine="480"/>
      </w:pPr>
      <w:r>
        <w:rPr>
          <w:rFonts w:hint="eastAsia"/>
          <w:lang w:val="en-US" w:eastAsia="zh-CN"/>
        </w:rPr>
        <w:t>1、</w:t>
      </w:r>
      <w:r>
        <w:t>紧急救护要争分夺秒，就地抢救，动作迅速，方法正确。</w:t>
      </w:r>
    </w:p>
    <w:p>
      <w:pPr>
        <w:ind w:firstLine="480"/>
      </w:pPr>
      <w:r>
        <w:rPr>
          <w:rFonts w:hint="eastAsia"/>
          <w:lang w:val="en-US" w:eastAsia="zh-CN"/>
        </w:rPr>
        <w:t>2、</w:t>
      </w:r>
      <w:r>
        <w:t>要认真观察伤员全身情况，发现呼吸、心跳停止时，应立即在现场用心肺复苏法就地抢救。</w:t>
      </w:r>
    </w:p>
    <w:p>
      <w:pPr>
        <w:ind w:firstLine="480"/>
      </w:pPr>
      <w:r>
        <w:rPr>
          <w:rFonts w:hint="eastAsia"/>
          <w:lang w:val="en-US" w:eastAsia="zh-CN"/>
        </w:rPr>
        <w:t>3、</w:t>
      </w:r>
      <w:r>
        <w:t>在现场紧急救护的同时，应与办公室或人力资源部人员取得联系，请求给予救治与帮助，在医护人员未到达前或未送医院前，不应放弃现场抢救。</w:t>
      </w:r>
    </w:p>
    <w:p>
      <w:pPr>
        <w:ind w:firstLine="480"/>
      </w:pPr>
      <w:r>
        <w:rPr>
          <w:rFonts w:hint="eastAsia"/>
          <w:lang w:val="en-US" w:eastAsia="zh-CN"/>
        </w:rPr>
        <w:t>4、</w:t>
      </w:r>
      <w:r>
        <w:t>现场医护人员，在将伤员移交医疗机构时，必须将有关伤员的情况向医生作情况通报。</w:t>
      </w:r>
    </w:p>
    <w:p>
      <w:pPr>
        <w:ind w:firstLine="480"/>
      </w:pPr>
      <w:r>
        <w:rPr>
          <w:rFonts w:hint="eastAsia"/>
          <w:lang w:eastAsia="zh-CN"/>
        </w:rPr>
        <w:t>（</w:t>
      </w:r>
      <w:r>
        <w:rPr>
          <w:rFonts w:hint="eastAsia"/>
          <w:lang w:val="en-US" w:eastAsia="zh-CN"/>
        </w:rPr>
        <w:t>二</w:t>
      </w:r>
      <w:r>
        <w:rPr>
          <w:rFonts w:hint="eastAsia"/>
          <w:lang w:eastAsia="zh-CN"/>
        </w:rPr>
        <w:t>）</w:t>
      </w:r>
      <w:r>
        <w:t>急救要点：</w:t>
      </w:r>
    </w:p>
    <w:p>
      <w:pPr>
        <w:ind w:firstLine="480"/>
      </w:pPr>
      <w:r>
        <w:rPr>
          <w:rFonts w:hint="eastAsia"/>
          <w:lang w:val="en-US" w:eastAsia="zh-CN"/>
        </w:rPr>
        <w:t>1、</w:t>
      </w:r>
      <w:r>
        <w:t>立即脱离致害物，脱离事故现场。</w:t>
      </w:r>
    </w:p>
    <w:p>
      <w:pPr>
        <w:ind w:firstLine="480"/>
      </w:pPr>
      <w:r>
        <w:rPr>
          <w:rFonts w:hint="eastAsia"/>
          <w:lang w:val="en-US" w:eastAsia="zh-CN"/>
        </w:rPr>
        <w:t>2、</w:t>
      </w:r>
      <w:r>
        <w:t>触电神志不清的伤员应有专人监护，就地仰面躺平，防止气道梗塞，缺氧者给予氧气吸入，呼吸停止者立即施行人工呼吸，心跳停止者立即施行胸外心脏按压。</w:t>
      </w:r>
    </w:p>
    <w:p>
      <w:pPr>
        <w:ind w:firstLine="480"/>
      </w:pPr>
      <w:r>
        <w:rPr>
          <w:rFonts w:hint="eastAsia"/>
          <w:lang w:val="en-US" w:eastAsia="zh-CN"/>
        </w:rPr>
        <w:t>3、</w:t>
      </w:r>
      <w:r>
        <w:t>骨折：</w:t>
      </w:r>
    </w:p>
    <w:p>
      <w:pPr>
        <w:ind w:firstLine="480"/>
      </w:pPr>
      <w:r>
        <w:rPr>
          <w:rFonts w:hint="eastAsia"/>
          <w:lang w:eastAsia="zh-CN"/>
        </w:rPr>
        <w:t>（</w:t>
      </w:r>
      <w:r>
        <w:rPr>
          <w:rFonts w:hint="eastAsia"/>
          <w:lang w:val="en-US" w:eastAsia="zh-CN"/>
        </w:rPr>
        <w:t>1</w:t>
      </w:r>
      <w:r>
        <w:rPr>
          <w:rFonts w:hint="eastAsia"/>
          <w:lang w:eastAsia="zh-CN"/>
        </w:rPr>
        <w:t>）</w:t>
      </w:r>
      <w:r>
        <w:rPr>
          <w:rFonts w:hint="eastAsia"/>
        </w:rPr>
        <w:t>肢体骨折可用夹板或木棍、竹竿等将断骨上、下方两个关节固定，也可利用伤员身体进行固定，避免骨折部位移动，以减少疼痛，防止伤势恶化。</w:t>
      </w:r>
    </w:p>
    <w:p>
      <w:pPr>
        <w:ind w:firstLine="480"/>
      </w:pPr>
      <w:r>
        <w:rPr>
          <w:rFonts w:hint="eastAsia"/>
          <w:lang w:eastAsia="zh-CN"/>
        </w:rPr>
        <w:t>（</w:t>
      </w:r>
      <w:r>
        <w:rPr>
          <w:rFonts w:hint="eastAsia"/>
          <w:lang w:val="en-US" w:eastAsia="zh-CN"/>
        </w:rPr>
        <w:t>2</w:t>
      </w:r>
      <w:r>
        <w:rPr>
          <w:rFonts w:hint="eastAsia"/>
          <w:lang w:eastAsia="zh-CN"/>
        </w:rPr>
        <w:t>）</w:t>
      </w:r>
      <w:r>
        <w:rPr>
          <w:rFonts w:hint="eastAsia"/>
        </w:rPr>
        <w:t>开放性骨折，伴有大出血者，先止血，再固定，并用干净布片覆盖伤口，然后速送医院救治，切勿将外漏的断骨推回伤口内。</w:t>
      </w:r>
    </w:p>
    <w:p>
      <w:pPr>
        <w:ind w:firstLine="480"/>
      </w:pPr>
      <w:r>
        <w:rPr>
          <w:rFonts w:hint="eastAsia"/>
          <w:lang w:eastAsia="zh-CN"/>
        </w:rPr>
        <w:t>（</w:t>
      </w:r>
      <w:r>
        <w:rPr>
          <w:rFonts w:hint="eastAsia"/>
          <w:lang w:val="en-US" w:eastAsia="zh-CN"/>
        </w:rPr>
        <w:t>3</w:t>
      </w:r>
      <w:r>
        <w:rPr>
          <w:rFonts w:hint="eastAsia"/>
          <w:lang w:eastAsia="zh-CN"/>
        </w:rPr>
        <w:t>）</w:t>
      </w:r>
      <w:r>
        <w:rPr>
          <w:rFonts w:hint="eastAsia"/>
        </w:rPr>
        <w:t>疑有颈椎损伤，在使伤员平卧后，用沙土袋（或其他代替物）放置头部两侧使颈部固定不动，必须时进行口对口呼吸，只能采用抬颈使气道通畅，不能在将头部后仰移动或转动头部，以免引起截瘫或死亡。</w:t>
      </w:r>
    </w:p>
    <w:p>
      <w:pPr>
        <w:ind w:firstLine="480"/>
      </w:pPr>
      <w:r>
        <w:rPr>
          <w:rFonts w:hint="eastAsia"/>
          <w:lang w:eastAsia="zh-CN"/>
        </w:rPr>
        <w:t>（</w:t>
      </w:r>
      <w:r>
        <w:rPr>
          <w:rFonts w:hint="eastAsia"/>
          <w:lang w:val="en-US" w:eastAsia="zh-CN"/>
        </w:rPr>
        <w:t>4</w:t>
      </w:r>
      <w:r>
        <w:rPr>
          <w:rFonts w:hint="eastAsia"/>
          <w:lang w:eastAsia="zh-CN"/>
        </w:rPr>
        <w:t>）</w:t>
      </w:r>
      <w:r>
        <w:rPr>
          <w:rFonts w:hint="eastAsia"/>
        </w:rPr>
        <w:t>腰椎骨折应将伤员平卧在平硬木板上，并将腰椎躯干及两侧下肢一同进行固定预防瘫痪，搬动时应数人合作，保持平稳，不能扭曲。</w:t>
      </w:r>
    </w:p>
    <w:p>
      <w:pPr>
        <w:ind w:firstLine="480"/>
      </w:pPr>
      <w:r>
        <w:rPr>
          <w:rFonts w:hint="eastAsia"/>
          <w:lang w:eastAsia="zh-CN"/>
        </w:rPr>
        <w:t>（</w:t>
      </w:r>
      <w:r>
        <w:rPr>
          <w:rFonts w:hint="eastAsia"/>
          <w:lang w:val="en-US" w:eastAsia="zh-CN"/>
        </w:rPr>
        <w:t>5</w:t>
      </w:r>
      <w:r>
        <w:rPr>
          <w:rFonts w:hint="eastAsia"/>
          <w:lang w:eastAsia="zh-CN"/>
        </w:rPr>
        <w:t>）</w:t>
      </w:r>
      <w:r>
        <w:rPr>
          <w:rFonts w:hint="eastAsia"/>
        </w:rPr>
        <w:t>骨折固定和注意事项：骨折固定应先检查意识、呼吸、脉搏及处理严重出血，骨折固定的夹板长度应能将骨折处的上下关节一同加以固定，骨断端暴露，不要拉动。</w:t>
      </w:r>
    </w:p>
    <w:p>
      <w:pPr>
        <w:ind w:firstLine="480"/>
      </w:pPr>
      <w:r>
        <w:rPr>
          <w:rFonts w:hint="eastAsia"/>
          <w:lang w:val="en-US" w:eastAsia="zh-CN"/>
        </w:rPr>
        <w:t>4、</w:t>
      </w:r>
      <w:r>
        <w:t>颅脑外伤：应使伤员采取平卧位，保持气道通畅，若有呕吐，应扶好头部和身体，使头部和身体同时侧转，防止呕吐物造成窒息。</w:t>
      </w:r>
    </w:p>
    <w:p>
      <w:pPr>
        <w:ind w:firstLine="480"/>
      </w:pPr>
      <w:r>
        <w:rPr>
          <w:rFonts w:hint="eastAsia"/>
          <w:lang w:val="en-US" w:eastAsia="zh-CN"/>
        </w:rPr>
        <w:t>5、</w:t>
      </w:r>
      <w:r>
        <w:t>创伤急救：</w:t>
      </w:r>
    </w:p>
    <w:p>
      <w:pPr>
        <w:ind w:firstLine="480"/>
      </w:pPr>
      <w:r>
        <w:rPr>
          <w:rFonts w:hint="eastAsia"/>
          <w:lang w:eastAsia="zh-CN"/>
        </w:rPr>
        <w:t>（</w:t>
      </w:r>
      <w:r>
        <w:rPr>
          <w:rFonts w:hint="eastAsia"/>
          <w:lang w:val="en-US" w:eastAsia="zh-CN"/>
        </w:rPr>
        <w:t>1</w:t>
      </w:r>
      <w:r>
        <w:rPr>
          <w:rFonts w:hint="eastAsia"/>
          <w:lang w:eastAsia="zh-CN"/>
        </w:rPr>
        <w:t>）</w:t>
      </w:r>
      <w:r>
        <w:rPr>
          <w:rFonts w:hint="eastAsia"/>
        </w:rPr>
        <w:t>创伤急救原则上是先抢救，后固定，在搬运，并注意采取措施，防止伤情加重或污染，需要送医院救治的，应立即做好保护伤员措施后送医院救治，急救成功的条件是：动作快、操作正确，任何延迟和误操作均可加重伤情，并可导致死亡。</w:t>
      </w:r>
    </w:p>
    <w:p>
      <w:pPr>
        <w:ind w:firstLine="480"/>
      </w:pPr>
      <w:r>
        <w:rPr>
          <w:rFonts w:hint="eastAsia"/>
          <w:lang w:eastAsia="zh-CN"/>
        </w:rPr>
        <w:t>（</w:t>
      </w:r>
      <w:r>
        <w:rPr>
          <w:rFonts w:hint="eastAsia"/>
          <w:lang w:val="en-US" w:eastAsia="zh-CN"/>
        </w:rPr>
        <w:t>2</w:t>
      </w:r>
      <w:r>
        <w:rPr>
          <w:rFonts w:hint="eastAsia"/>
          <w:lang w:eastAsia="zh-CN"/>
        </w:rPr>
        <w:t>）</w:t>
      </w:r>
      <w:r>
        <w:rPr>
          <w:rFonts w:hint="eastAsia"/>
        </w:rPr>
        <w:t>抢救前先使伤员安静躺平，判断全身情况和受伤程度，如有无出血、骨折和休克等。外部出血立即采取止血措施，防止失血过多而休克，外观无伤，但呈休克状态，神志不清，或昏迷着，要考虑胸腹部内脏或脑部受伤的可能性。</w:t>
      </w:r>
    </w:p>
    <w:p>
      <w:pPr>
        <w:ind w:firstLine="480"/>
      </w:pPr>
      <w:r>
        <w:rPr>
          <w:rFonts w:hint="eastAsia"/>
          <w:lang w:eastAsia="zh-CN"/>
        </w:rPr>
        <w:t>（</w:t>
      </w:r>
      <w:r>
        <w:rPr>
          <w:rFonts w:hint="eastAsia"/>
          <w:lang w:val="en-US" w:eastAsia="zh-CN"/>
        </w:rPr>
        <w:t>3</w:t>
      </w:r>
      <w:r>
        <w:rPr>
          <w:rFonts w:hint="eastAsia"/>
          <w:lang w:eastAsia="zh-CN"/>
        </w:rPr>
        <w:t>）</w:t>
      </w:r>
      <w:r>
        <w:rPr>
          <w:rFonts w:hint="eastAsia"/>
        </w:rPr>
        <w:t>为防止伤口感染，应用清洁布片覆盖，救护人员不得用手直接接触伤口，更不得在伤口内填塞任何东西或随便用药。</w:t>
      </w:r>
    </w:p>
    <w:p>
      <w:pPr>
        <w:ind w:firstLine="480"/>
      </w:pPr>
      <w:r>
        <w:rPr>
          <w:rFonts w:hint="eastAsia"/>
          <w:lang w:eastAsia="zh-CN"/>
        </w:rPr>
        <w:t>（</w:t>
      </w:r>
      <w:r>
        <w:rPr>
          <w:rFonts w:hint="eastAsia"/>
          <w:lang w:val="en-US" w:eastAsia="zh-CN"/>
        </w:rPr>
        <w:t>4</w:t>
      </w:r>
      <w:r>
        <w:rPr>
          <w:rFonts w:hint="eastAsia"/>
          <w:lang w:eastAsia="zh-CN"/>
        </w:rPr>
        <w:t>）</w:t>
      </w:r>
      <w:r>
        <w:rPr>
          <w:rFonts w:hint="eastAsia"/>
        </w:rPr>
        <w:t>搬运时应使伤员平躺在担架上，腰部束在担架上，防止跌下，平地搬运时伤员头部在后，上楼、下楼，下坡时头部在上，搬运中应严密观察伤员，防止伤情突变。</w:t>
      </w:r>
    </w:p>
    <w:p>
      <w:pPr>
        <w:pStyle w:val="6"/>
        <w:bidi w:val="0"/>
      </w:pPr>
      <w:bookmarkStart w:id="527" w:name="_Toc118293275"/>
      <w:bookmarkStart w:id="528" w:name="_Toc27170"/>
      <w:bookmarkStart w:id="529" w:name="_Toc116121497"/>
      <w:r>
        <w:rPr>
          <w:rFonts w:hint="eastAsia"/>
          <w:lang w:val="en-US" w:eastAsia="zh-CN"/>
        </w:rPr>
        <w:t>（二）</w:t>
      </w:r>
      <w:r>
        <w:rPr>
          <w:rFonts w:hint="eastAsia"/>
        </w:rPr>
        <w:t>意外触电应急措施</w:t>
      </w:r>
      <w:bookmarkEnd w:id="527"/>
      <w:bookmarkEnd w:id="528"/>
      <w:bookmarkEnd w:id="529"/>
    </w:p>
    <w:p>
      <w:pPr>
        <w:ind w:firstLine="480"/>
      </w:pPr>
      <w:r>
        <w:rPr>
          <w:rFonts w:hint="eastAsia"/>
          <w:lang w:eastAsia="zh-CN"/>
        </w:rPr>
        <w:t>（</w:t>
      </w:r>
      <w:r>
        <w:rPr>
          <w:rFonts w:hint="eastAsia"/>
          <w:lang w:val="en-US" w:eastAsia="zh-CN"/>
        </w:rPr>
        <w:t>一</w:t>
      </w:r>
      <w:r>
        <w:rPr>
          <w:rFonts w:hint="eastAsia"/>
          <w:lang w:eastAsia="zh-CN"/>
        </w:rPr>
        <w:t>）</w:t>
      </w:r>
      <w:r>
        <w:t>发现有人触电时，应立即使触电人员脱离电源，具体脱离电源的方法如下：</w:t>
      </w:r>
    </w:p>
    <w:p>
      <w:pPr>
        <w:ind w:firstLine="480"/>
      </w:pPr>
      <w:r>
        <w:rPr>
          <w:rFonts w:hint="eastAsia"/>
          <w:lang w:val="en-US" w:eastAsia="zh-CN"/>
        </w:rPr>
        <w:t>1、</w:t>
      </w:r>
      <w:r>
        <w:t>高压触电脱离方法：触电者触及高压带电设备，救护人员应迅速切断使触电者带电的开关、刀闸或其他断路设备，或用适合该电压等级的绝缘工具（绝缘手套、穿绝缘鞋、并使用绝缘棒）等方法，将触电者与带电设备脱离。触电者未脱离高压电源前，现场救护人员不得直接用手触及伤员，救护人员在抢救过程中应注意保持自身与周围带电部分必要的安全距离，保证自己免受电击。</w:t>
      </w:r>
    </w:p>
    <w:p>
      <w:pPr>
        <w:ind w:firstLine="480"/>
      </w:pPr>
      <w:r>
        <w:rPr>
          <w:rFonts w:hint="eastAsia"/>
          <w:lang w:val="en-US" w:eastAsia="zh-CN"/>
        </w:rPr>
        <w:t>2、</w:t>
      </w:r>
      <w:r>
        <w:t>低压触电脱离方法：低压设备触电，救护人员应设法迅速切断电源，如拉开电源开关、刀闸，拔除电源插头等；或使用绝缘工具、干燥的木棒、木板、绝缘绳子等绝缘材料解脱触电者，也可抓住触电者干燥而不贴身的衣服，将其拖开，切记要避免碰到金属物体和触电者的裸露身体，也可用绝缘手套或将手用干燥衣物等包起绝缘后解脱触电者，救护人员也可站在绝缘垫上或干木板上，绝缘自己进行救护，为使触电者脱离导电体，最好用一只手进行。</w:t>
      </w:r>
    </w:p>
    <w:p>
      <w:pPr>
        <w:ind w:firstLine="480"/>
      </w:pPr>
      <w:r>
        <w:rPr>
          <w:rFonts w:hint="eastAsia"/>
          <w:lang w:eastAsia="zh-CN"/>
        </w:rPr>
        <w:t>（</w:t>
      </w:r>
      <w:r>
        <w:rPr>
          <w:rFonts w:hint="eastAsia"/>
          <w:lang w:val="en-US" w:eastAsia="zh-CN"/>
        </w:rPr>
        <w:t>二</w:t>
      </w:r>
      <w:r>
        <w:rPr>
          <w:rFonts w:hint="eastAsia"/>
          <w:lang w:eastAsia="zh-CN"/>
        </w:rPr>
        <w:t>）</w:t>
      </w:r>
      <w:r>
        <w:t>脱落电源后采取急救措施：根据伤员的受伤程度，决定采取合适的救治方法，同时用电话等快捷方式向当地的120抢救中心求救，并派人等候在交叉路口处，指引救护车迅速赶到事故现场，争取医务人员接替救治，在医务人员未接替救治前，现场人员应及时组织现场抢救，常见的急救方法如下：</w:t>
      </w:r>
    </w:p>
    <w:p>
      <w:pPr>
        <w:ind w:firstLine="480"/>
      </w:pPr>
      <w:r>
        <w:rPr>
          <w:rFonts w:hint="eastAsia"/>
          <w:lang w:val="en-US" w:eastAsia="zh-CN"/>
        </w:rPr>
        <w:t>1、</w:t>
      </w:r>
      <w:r>
        <w:t>触电伤员如神志清醒者，应使其就地仰面平躺，严密观察，暂时不要使其站立或走动。</w:t>
      </w:r>
    </w:p>
    <w:p>
      <w:pPr>
        <w:ind w:firstLine="480"/>
      </w:pPr>
      <w:r>
        <w:rPr>
          <w:rFonts w:hint="eastAsia"/>
          <w:lang w:val="en-US" w:eastAsia="zh-CN"/>
        </w:rPr>
        <w:t>2、</w:t>
      </w:r>
      <w:r>
        <w:t>触电伤员如神志不清者，应就地仰面平躺，且确保气道畅通，并用5秒时间，呼叫伤员或轻拍其肩部，以判断伤员是否意识丧失，禁止摇动伤员头部呼叫伤员。</w:t>
      </w:r>
    </w:p>
    <w:p>
      <w:pPr>
        <w:ind w:firstLine="480"/>
      </w:pPr>
      <w:r>
        <w:rPr>
          <w:rFonts w:hint="eastAsia"/>
          <w:lang w:val="en-US" w:eastAsia="zh-CN"/>
        </w:rPr>
        <w:t>3、</w:t>
      </w:r>
      <w:r>
        <w:t>触电后又摔伤的伤员，应就地仰面平躺，保持脊柱在伸直状态，不得弯曲，如需搬运，应用硬木板保持仰面平躺，使伤员身体处于平直状态，避免脊椎受伤。</w:t>
      </w:r>
    </w:p>
    <w:p>
      <w:pPr>
        <w:ind w:firstLine="480"/>
      </w:pPr>
      <w:r>
        <w:rPr>
          <w:rFonts w:hint="eastAsia"/>
          <w:lang w:val="en-US" w:eastAsia="zh-CN"/>
        </w:rPr>
        <w:t>4、</w:t>
      </w:r>
      <w:r>
        <w:t>判断呼吸和心跳：触电伤员如意识丧失，应在10秒内，用看、听、试的方法，判定伤员呼吸、心跳情况，以做出下一步的抢救措施，判断方法如下：</w:t>
      </w:r>
    </w:p>
    <w:p>
      <w:pPr>
        <w:ind w:firstLine="480"/>
      </w:pPr>
      <w:r>
        <w:rPr>
          <w:rFonts w:hint="eastAsia"/>
          <w:lang w:eastAsia="zh-CN"/>
        </w:rPr>
        <w:t>（</w:t>
      </w:r>
      <w:r>
        <w:rPr>
          <w:rFonts w:hint="eastAsia"/>
          <w:lang w:val="en-US" w:eastAsia="zh-CN"/>
        </w:rPr>
        <w:t>1</w:t>
      </w:r>
      <w:r>
        <w:rPr>
          <w:rFonts w:hint="eastAsia"/>
          <w:lang w:eastAsia="zh-CN"/>
        </w:rPr>
        <w:t>）</w:t>
      </w:r>
      <w:r>
        <w:rPr>
          <w:rFonts w:hint="eastAsia"/>
        </w:rPr>
        <w:t>看：看一看伤员的胸部、腹部有无起伏动作。</w:t>
      </w:r>
    </w:p>
    <w:p>
      <w:pPr>
        <w:ind w:firstLine="480"/>
      </w:pPr>
      <w:r>
        <w:rPr>
          <w:rFonts w:hint="eastAsia"/>
          <w:lang w:eastAsia="zh-CN"/>
        </w:rPr>
        <w:t>（</w:t>
      </w:r>
      <w:r>
        <w:rPr>
          <w:rFonts w:hint="eastAsia"/>
          <w:lang w:val="en-US" w:eastAsia="zh-CN"/>
        </w:rPr>
        <w:t>2</w:t>
      </w:r>
      <w:r>
        <w:rPr>
          <w:rFonts w:hint="eastAsia"/>
          <w:lang w:eastAsia="zh-CN"/>
        </w:rPr>
        <w:t>）</w:t>
      </w:r>
      <w:r>
        <w:rPr>
          <w:rFonts w:hint="eastAsia"/>
        </w:rPr>
        <w:t>听：用耳贴近用伤员的口鼻处，听有无呼气声音。</w:t>
      </w:r>
    </w:p>
    <w:p>
      <w:pPr>
        <w:ind w:firstLine="480"/>
      </w:pPr>
      <w:r>
        <w:rPr>
          <w:rFonts w:hint="eastAsia"/>
          <w:lang w:eastAsia="zh-CN"/>
        </w:rPr>
        <w:t>（</w:t>
      </w:r>
      <w:r>
        <w:rPr>
          <w:rFonts w:hint="eastAsia"/>
          <w:lang w:val="en-US" w:eastAsia="zh-CN"/>
        </w:rPr>
        <w:t>3</w:t>
      </w:r>
      <w:r>
        <w:rPr>
          <w:rFonts w:hint="eastAsia"/>
          <w:lang w:eastAsia="zh-CN"/>
        </w:rPr>
        <w:t>）</w:t>
      </w:r>
      <w:r>
        <w:rPr>
          <w:rFonts w:hint="eastAsia"/>
        </w:rPr>
        <w:t>试：测试口鼻有无呼气的气流，再用两手指轻拭一侧（左或右）喉结旁凹陷处的颈动脉有无搏动。</w:t>
      </w:r>
    </w:p>
    <w:p>
      <w:pPr>
        <w:ind w:firstLine="480"/>
      </w:pPr>
      <w:r>
        <w:rPr>
          <w:rFonts w:hint="eastAsia"/>
          <w:lang w:val="en-US" w:eastAsia="zh-CN"/>
        </w:rPr>
        <w:t>5、</w:t>
      </w:r>
      <w:r>
        <w:t>如若触电伤员的呼吸和心跳均已停止时，应立即按心肺复苏法中支持生命的三项基本措施进行抢救，三项基本措施是指通畅气道、口对口（鼻）人工呼吸、胸外按压，具体的操作方法如下：</w:t>
      </w:r>
    </w:p>
    <w:p>
      <w:pPr>
        <w:ind w:firstLine="480"/>
      </w:pPr>
      <w:r>
        <w:rPr>
          <w:rFonts w:hint="eastAsia"/>
          <w:lang w:eastAsia="zh-CN"/>
        </w:rPr>
        <w:t>（</w:t>
      </w:r>
      <w:r>
        <w:rPr>
          <w:rFonts w:hint="eastAsia"/>
          <w:lang w:val="en-US" w:eastAsia="zh-CN"/>
        </w:rPr>
        <w:t>1</w:t>
      </w:r>
      <w:r>
        <w:rPr>
          <w:rFonts w:hint="eastAsia"/>
          <w:lang w:eastAsia="zh-CN"/>
        </w:rPr>
        <w:t>）</w:t>
      </w:r>
      <w:r>
        <w:rPr>
          <w:rFonts w:hint="eastAsia"/>
        </w:rPr>
        <w:t>通畅气道：触电伤员呼吸停止，重要的是应始终确保气道通畅，如发现伤员口内有异物，可将其身体及头部同时侧转，并迅速用一个手指或用两手指交叉从口角处插入，取出异物，操作中要注意防止将异物推到咽喉深部。通畅气道可采用仰头抬颏法，用一只手放在触电者前额，另一只手的手指将其下颌骨向上抬起，两手协同将头部推向后仰，舌根随之抬起，气道即可通畅，严禁用枕头或其他物品垫在伤员头下，头部抬高前倾，会加重气道的阻塞，且使胸外按压时心脏流向脑部的血流减少，甚至消失。</w:t>
      </w:r>
    </w:p>
    <w:p>
      <w:pPr>
        <w:ind w:firstLine="480"/>
      </w:pPr>
      <w:r>
        <w:rPr>
          <w:rFonts w:hint="eastAsia"/>
          <w:lang w:eastAsia="zh-CN"/>
        </w:rPr>
        <w:t>（</w:t>
      </w:r>
      <w:r>
        <w:rPr>
          <w:rFonts w:hint="eastAsia"/>
          <w:lang w:val="en-US" w:eastAsia="zh-CN"/>
        </w:rPr>
        <w:t>2</w:t>
      </w:r>
      <w:r>
        <w:rPr>
          <w:rFonts w:hint="eastAsia"/>
          <w:lang w:eastAsia="zh-CN"/>
        </w:rPr>
        <w:t>）</w:t>
      </w:r>
      <w:r>
        <w:rPr>
          <w:rFonts w:hint="eastAsia"/>
        </w:rPr>
        <w:t>口对口（鼻）人工呼吸：在保持伤员气道通畅的同时，救护人员用放在伤员额头上的手指，捏住伤员的鼻翼，在救护人员深吸气后，与伤员口对口紧合，在不漏气的情况下，先连续大口吹气两次，每次</w:t>
      </w:r>
      <w:r>
        <w:t>1秒至5秒，如两次吹气后试测颈动脉仍无搏动，可判断心跳已经停止，要立即同时进行胸外按压，除开始时大口吹气两次外，正常口对口（鼻）呼吸的吹气量不需过大，以免引起胃膨胀，吹气和放松时要注意伤员胸部应有起伏的呼吸动作，吹气时如有较大阻力，可能是头部后仰不够，应及时纠正，触电伤员如牙关紧闭，可口对鼻进行人工呼吸。口对鼻人工呼吸吹气时，要将伤</w:t>
      </w:r>
      <w:r>
        <w:rPr>
          <w:rFonts w:hint="eastAsia"/>
        </w:rPr>
        <w:t>员嘴唇紧闭，防止漏气。</w:t>
      </w:r>
    </w:p>
    <w:p>
      <w:pPr>
        <w:ind w:firstLine="480"/>
      </w:pPr>
      <w:r>
        <w:rPr>
          <w:rFonts w:hint="eastAsia"/>
          <w:lang w:eastAsia="zh-CN"/>
        </w:rPr>
        <w:t>（</w:t>
      </w:r>
      <w:r>
        <w:rPr>
          <w:rFonts w:hint="eastAsia"/>
          <w:lang w:val="en-US" w:eastAsia="zh-CN"/>
        </w:rPr>
        <w:t>3</w:t>
      </w:r>
      <w:r>
        <w:rPr>
          <w:rFonts w:hint="eastAsia"/>
          <w:lang w:eastAsia="zh-CN"/>
        </w:rPr>
        <w:t>）</w:t>
      </w:r>
      <w:r>
        <w:rPr>
          <w:rFonts w:hint="eastAsia"/>
        </w:rPr>
        <w:t>胸外按压：正确地按压位置是保证胸外按压效果的重要前提，确定正确按压位置的步骤如下：</w:t>
      </w:r>
    </w:p>
    <w:p>
      <w:pPr>
        <w:ind w:firstLine="480"/>
      </w:pPr>
      <w:r>
        <w:t>1）右手的食指和中指沿触电伤员的右侧肋弓下缘向上，找到肋骨和胸骨接合处的中点，两手指并齐，中指放在切迹中点（剑突底部），食指平放在胸骨下部，另一只手的掌根紧拾食指上缘置于胸骨上，即为正确的按压位置。</w:t>
      </w:r>
    </w:p>
    <w:p>
      <w:pPr>
        <w:ind w:firstLine="480"/>
      </w:pPr>
      <w:r>
        <w:t>2）正确的按压姿势是达到胸外按压效果的基本保证，正确的按压姿势如下：使触电伤员仰面躺在平硬的地方，救护人员站立或跪在伤员一侧肩膀，两肩位于伤员胸骨正上方，两臂伸直，肘关节固定不屈，两手掌根相叠，手指翘起，不接触伤员胸壁，以髋关节为支点，利用上身的重力，垂直将正常成人胸骨压陷3cm至5cm，儿童和瘦弱者酌减），按压至要求程度后，立即全部放松，但放松时救护人员的掌根不得离开胸壁，按压必须有效，其标志是按压过程中可以触及到颈动脉搏动。</w:t>
      </w:r>
    </w:p>
    <w:p>
      <w:pPr>
        <w:ind w:firstLine="480"/>
      </w:pPr>
      <w:r>
        <w:rPr>
          <w:rFonts w:hint="eastAsia"/>
          <w:lang w:eastAsia="zh-CN"/>
        </w:rPr>
        <w:t>（</w:t>
      </w:r>
      <w:r>
        <w:rPr>
          <w:rFonts w:hint="eastAsia"/>
          <w:lang w:val="en-US" w:eastAsia="zh-CN"/>
        </w:rPr>
        <w:t>4</w:t>
      </w:r>
      <w:r>
        <w:rPr>
          <w:rFonts w:hint="eastAsia"/>
          <w:lang w:eastAsia="zh-CN"/>
        </w:rPr>
        <w:t>）</w:t>
      </w:r>
      <w:r>
        <w:rPr>
          <w:rFonts w:hint="eastAsia"/>
        </w:rPr>
        <w:t>抢救过程中的判定：按压吹气</w:t>
      </w:r>
      <w:r>
        <w:t>1分钟后，应用看、听、试方法在5秒至7秒时间内完成对伤员呼吸和心跳是否恢复得再判定；若判定颈动脉已有搏动但无呼吸，则暂停胸外按压，而再进行2次口对口人工呼吸，接着每5秒时间吹气1次（即每分钟12次），如脉搏和呼吸均未恢复，则继续坚持心肺复苏法抢救。</w:t>
      </w:r>
    </w:p>
    <w:p>
      <w:pPr>
        <w:ind w:firstLine="480"/>
      </w:pPr>
      <w:r>
        <w:rPr>
          <w:rFonts w:hint="eastAsia"/>
          <w:lang w:val="en-US" w:eastAsia="zh-CN"/>
        </w:rPr>
        <w:t>6、</w:t>
      </w:r>
      <w:r>
        <w:t>伤员移动处理：</w:t>
      </w:r>
    </w:p>
    <w:p>
      <w:pPr>
        <w:ind w:firstLine="480"/>
      </w:pPr>
      <w:r>
        <w:rPr>
          <w:rFonts w:hint="eastAsia"/>
          <w:lang w:eastAsia="zh-CN"/>
        </w:rPr>
        <w:t>（</w:t>
      </w:r>
      <w:r>
        <w:rPr>
          <w:rFonts w:hint="eastAsia"/>
          <w:lang w:val="en-US" w:eastAsia="zh-CN"/>
        </w:rPr>
        <w:t>1</w:t>
      </w:r>
      <w:r>
        <w:rPr>
          <w:rFonts w:hint="eastAsia"/>
          <w:lang w:eastAsia="zh-CN"/>
        </w:rPr>
        <w:t>）</w:t>
      </w:r>
      <w:r>
        <w:rPr>
          <w:rFonts w:hint="eastAsia"/>
        </w:rPr>
        <w:t>心肺复苏应在现场就地坚持进行，不要为方便而随意移动伤员，如确实需要移动时，抢救中断时间不应超过</w:t>
      </w:r>
      <w:r>
        <w:t>30秒。</w:t>
      </w:r>
    </w:p>
    <w:p>
      <w:pPr>
        <w:ind w:firstLine="480"/>
      </w:pPr>
      <w:r>
        <w:rPr>
          <w:rFonts w:hint="eastAsia"/>
          <w:lang w:eastAsia="zh-CN"/>
        </w:rPr>
        <w:t>（</w:t>
      </w:r>
      <w:r>
        <w:rPr>
          <w:rFonts w:hint="eastAsia"/>
          <w:lang w:val="en-US" w:eastAsia="zh-CN"/>
        </w:rPr>
        <w:t>2</w:t>
      </w:r>
      <w:r>
        <w:rPr>
          <w:rFonts w:hint="eastAsia"/>
          <w:lang w:eastAsia="zh-CN"/>
        </w:rPr>
        <w:t>）</w:t>
      </w:r>
      <w:r>
        <w:rPr>
          <w:rFonts w:hint="eastAsia"/>
        </w:rPr>
        <w:t>移动伤员或将伤员送往医院时，应使伤员平躺在担架上，并在其背部垫以平硬阔木板，移动或送医院过程中应继续抢救，心跳呼吸停止者要继续心肺复苏法抢救。</w:t>
      </w:r>
    </w:p>
    <w:p>
      <w:pPr>
        <w:ind w:firstLine="480"/>
      </w:pPr>
      <w:r>
        <w:rPr>
          <w:rFonts w:hint="eastAsia"/>
          <w:lang w:eastAsia="zh-CN"/>
        </w:rPr>
        <w:t>（</w:t>
      </w:r>
      <w:r>
        <w:rPr>
          <w:rFonts w:hint="eastAsia"/>
          <w:lang w:val="en-US" w:eastAsia="zh-CN"/>
        </w:rPr>
        <w:t>3</w:t>
      </w:r>
      <w:r>
        <w:rPr>
          <w:rFonts w:hint="eastAsia"/>
          <w:lang w:eastAsia="zh-CN"/>
        </w:rPr>
        <w:t>）</w:t>
      </w:r>
      <w:r>
        <w:rPr>
          <w:rFonts w:hint="eastAsia"/>
        </w:rPr>
        <w:t>应创造条件，用塑料袋装入砸碎了的冰屑做成帽状包绕在伤员头部，露出眼睛，使脑部温度降低，争取心脑完全复苏。</w:t>
      </w:r>
    </w:p>
    <w:p>
      <w:pPr>
        <w:ind w:firstLine="480"/>
      </w:pPr>
      <w:r>
        <w:rPr>
          <w:rFonts w:hint="eastAsia"/>
          <w:lang w:eastAsia="zh-CN"/>
        </w:rPr>
        <w:t>（</w:t>
      </w:r>
      <w:r>
        <w:rPr>
          <w:rFonts w:hint="eastAsia"/>
          <w:lang w:val="en-US" w:eastAsia="zh-CN"/>
        </w:rPr>
        <w:t>4</w:t>
      </w:r>
      <w:r>
        <w:rPr>
          <w:rFonts w:hint="eastAsia"/>
          <w:lang w:eastAsia="zh-CN"/>
        </w:rPr>
        <w:t>）</w:t>
      </w:r>
      <w:r>
        <w:rPr>
          <w:rFonts w:hint="eastAsia"/>
        </w:rPr>
        <w:t>如伤员的心跳和呼吸经抢救后均已恢复，可暂停心肺复苏法操作，但心跳呼吸恢复的早期有可能再次骤停，应严密监护，不能麻痹，要随时准备再次抢救。</w:t>
      </w:r>
    </w:p>
    <w:p>
      <w:pPr>
        <w:ind w:firstLine="480"/>
      </w:pPr>
      <w:r>
        <w:rPr>
          <w:rFonts w:hint="eastAsia"/>
          <w:lang w:eastAsia="zh-CN"/>
        </w:rPr>
        <w:t>（</w:t>
      </w:r>
      <w:r>
        <w:rPr>
          <w:rFonts w:hint="eastAsia"/>
          <w:lang w:val="en-US" w:eastAsia="zh-CN"/>
        </w:rPr>
        <w:t>5</w:t>
      </w:r>
      <w:r>
        <w:rPr>
          <w:rFonts w:hint="eastAsia"/>
          <w:lang w:eastAsia="zh-CN"/>
        </w:rPr>
        <w:t>）</w:t>
      </w:r>
      <w:r>
        <w:rPr>
          <w:rFonts w:hint="eastAsia"/>
        </w:rPr>
        <w:t>初期恢复后，伤员可能神志不清或精神恍惚、躁动，应设法使伤员安静。</w:t>
      </w:r>
    </w:p>
    <w:p>
      <w:pPr>
        <w:pStyle w:val="6"/>
        <w:bidi w:val="0"/>
      </w:pPr>
      <w:bookmarkStart w:id="530" w:name="_Toc116121498"/>
      <w:bookmarkStart w:id="531" w:name="_Toc118293276"/>
      <w:bookmarkStart w:id="532" w:name="_Toc8155"/>
      <w:r>
        <w:rPr>
          <w:rFonts w:hint="eastAsia"/>
          <w:lang w:val="en-US" w:eastAsia="zh-CN"/>
        </w:rPr>
        <w:t>（三）</w:t>
      </w:r>
      <w:r>
        <w:rPr>
          <w:rFonts w:hint="eastAsia"/>
        </w:rPr>
        <w:t>突发火灾应急措施</w:t>
      </w:r>
      <w:bookmarkEnd w:id="530"/>
      <w:bookmarkEnd w:id="531"/>
      <w:bookmarkEnd w:id="532"/>
    </w:p>
    <w:p>
      <w:pPr>
        <w:ind w:firstLine="480"/>
      </w:pPr>
      <w:r>
        <w:rPr>
          <w:rFonts w:hint="eastAsia"/>
        </w:rPr>
        <w:t>突发火灾应急响应步骤具体如下：</w:t>
      </w:r>
    </w:p>
    <w:p>
      <w:pPr>
        <w:ind w:firstLine="480"/>
      </w:pPr>
      <w:r>
        <w:rPr>
          <w:rFonts w:hint="eastAsia"/>
          <w:lang w:eastAsia="zh-CN"/>
        </w:rPr>
        <w:t>（</w:t>
      </w:r>
      <w:r>
        <w:rPr>
          <w:rFonts w:hint="eastAsia"/>
          <w:lang w:val="en-US" w:eastAsia="zh-CN"/>
        </w:rPr>
        <w:t>一</w:t>
      </w:r>
      <w:r>
        <w:rPr>
          <w:rFonts w:hint="eastAsia"/>
          <w:lang w:eastAsia="zh-CN"/>
        </w:rPr>
        <w:t>）</w:t>
      </w:r>
      <w:r>
        <w:t>发生火灾后了，应大声喊出求救信号，并远离火场。</w:t>
      </w:r>
    </w:p>
    <w:p>
      <w:pPr>
        <w:ind w:firstLine="480"/>
      </w:pPr>
      <w:r>
        <w:rPr>
          <w:rFonts w:hint="eastAsia"/>
          <w:lang w:eastAsia="zh-CN"/>
        </w:rPr>
        <w:t>（</w:t>
      </w:r>
      <w:r>
        <w:rPr>
          <w:rFonts w:hint="eastAsia"/>
          <w:lang w:val="en-US" w:eastAsia="zh-CN"/>
        </w:rPr>
        <w:t>二</w:t>
      </w:r>
      <w:r>
        <w:rPr>
          <w:rFonts w:hint="eastAsia"/>
          <w:lang w:eastAsia="zh-CN"/>
        </w:rPr>
        <w:t>）</w:t>
      </w:r>
      <w:r>
        <w:t>现场工作人员立即展开扑救，防止火灾蔓延，并立即通知火灾应急领导小组，项目经理部发生火灾，必要时应及时报告公司火灾应急领导小组，并通报本单位进行救援，抢险和处理情况。</w:t>
      </w:r>
    </w:p>
    <w:p>
      <w:pPr>
        <w:ind w:firstLine="480"/>
      </w:pPr>
      <w:r>
        <w:rPr>
          <w:rFonts w:hint="eastAsia"/>
          <w:lang w:eastAsia="zh-CN"/>
        </w:rPr>
        <w:t>（</w:t>
      </w:r>
      <w:r>
        <w:rPr>
          <w:rFonts w:hint="eastAsia"/>
          <w:lang w:val="en-US" w:eastAsia="zh-CN"/>
        </w:rPr>
        <w:t>三</w:t>
      </w:r>
      <w:r>
        <w:rPr>
          <w:rFonts w:hint="eastAsia"/>
          <w:lang w:eastAsia="zh-CN"/>
        </w:rPr>
        <w:t>）</w:t>
      </w:r>
      <w:r>
        <w:t>应急领导小组在接到险情通知后，应在10分钟内迅速进入各自工作岗位组织扑救，应急抢险队伍成员应在15分钟内到齐，按各自分工制定临时应急处理措施，协调做好救援、抢险和应急处理工作，防止事故的蔓延、扩大。</w:t>
      </w:r>
    </w:p>
    <w:p>
      <w:pPr>
        <w:ind w:firstLine="480"/>
      </w:pPr>
      <w:r>
        <w:rPr>
          <w:rFonts w:hint="eastAsia"/>
          <w:lang w:eastAsia="zh-CN"/>
        </w:rPr>
        <w:t>（</w:t>
      </w:r>
      <w:r>
        <w:rPr>
          <w:rFonts w:hint="eastAsia"/>
          <w:lang w:val="en-US" w:eastAsia="zh-CN"/>
        </w:rPr>
        <w:t>四</w:t>
      </w:r>
      <w:r>
        <w:rPr>
          <w:rFonts w:hint="eastAsia"/>
          <w:lang w:eastAsia="zh-CN"/>
        </w:rPr>
        <w:t>）</w:t>
      </w:r>
      <w:r>
        <w:t>根据事故的性质，组织具有相关专业技术水平的人员进行抢险救援，并视情况及时与外部相关方联系寻求支援，报警时一定要讲清发生火灾的部署、着火的材料、大概面积并留下报警人的电话，拨打119报警后，报警人到马路上等候消防车的到来并做好向导工作。</w:t>
      </w:r>
    </w:p>
    <w:p>
      <w:pPr>
        <w:ind w:firstLine="480"/>
      </w:pPr>
      <w:r>
        <w:rPr>
          <w:rFonts w:hint="eastAsia"/>
          <w:lang w:eastAsia="zh-CN"/>
        </w:rPr>
        <w:t>（</w:t>
      </w:r>
      <w:r>
        <w:rPr>
          <w:rFonts w:hint="eastAsia"/>
          <w:lang w:val="en-US" w:eastAsia="zh-CN"/>
        </w:rPr>
        <w:t>五</w:t>
      </w:r>
      <w:r>
        <w:rPr>
          <w:rFonts w:hint="eastAsia"/>
          <w:lang w:eastAsia="zh-CN"/>
        </w:rPr>
        <w:t>）</w:t>
      </w:r>
      <w:r>
        <w:t>接到报警后，火灾应急领导小组应立即通知医务室人员到达现场组织抢救，公安分处组织人员按照疏散图指示及时疏散留在现场的工作人员，并安排人员管理现场，预防趁乱偷盗行为的发生。</w:t>
      </w:r>
    </w:p>
    <w:p>
      <w:pPr>
        <w:ind w:firstLine="480"/>
      </w:pPr>
      <w:r>
        <w:rPr>
          <w:rFonts w:hint="eastAsia"/>
          <w:lang w:eastAsia="zh-CN"/>
        </w:rPr>
        <w:t>（</w:t>
      </w:r>
      <w:r>
        <w:rPr>
          <w:rFonts w:hint="eastAsia"/>
          <w:lang w:val="en-US" w:eastAsia="zh-CN"/>
        </w:rPr>
        <w:t>六</w:t>
      </w:r>
      <w:r>
        <w:rPr>
          <w:rFonts w:hint="eastAsia"/>
          <w:lang w:eastAsia="zh-CN"/>
        </w:rPr>
        <w:t>）</w:t>
      </w:r>
      <w:r>
        <w:t>发生火灾后立即切断电源，以防止扑救过程中造成触电。如电器起火应首先切断电源再组织扑救，在火灾现场如有易爆物质，首先转移该物质以防止爆炸的发生；如精密仪器起火应使用二氧化碳灭火器进行扑救；如油类液体胶类发生火灾应使用泡沫或干粉灭火器，严禁使用水进行扑救；在扑救燃烧产生有毒物质的火灾时，扑救人员应该佩戴防毒面具后方可进行扑救。</w:t>
      </w:r>
    </w:p>
    <w:p>
      <w:pPr>
        <w:ind w:firstLine="480"/>
      </w:pPr>
      <w:r>
        <w:rPr>
          <w:rFonts w:hint="eastAsia"/>
          <w:lang w:eastAsia="zh-CN"/>
        </w:rPr>
        <w:t>（</w:t>
      </w:r>
      <w:r>
        <w:rPr>
          <w:rFonts w:hint="eastAsia"/>
          <w:lang w:val="en-US" w:eastAsia="zh-CN"/>
        </w:rPr>
        <w:t>七</w:t>
      </w:r>
      <w:r>
        <w:rPr>
          <w:rFonts w:hint="eastAsia"/>
          <w:lang w:eastAsia="zh-CN"/>
        </w:rPr>
        <w:t>）</w:t>
      </w:r>
      <w:r>
        <w:t>在扑救火灾的过程中，始终坚持救人第一的原则，严禁因拯救物资而置生命于不顾，对伤者实施急救措施后，立即送往医院治疗，常见急救措施具体说明如下：</w:t>
      </w:r>
    </w:p>
    <w:p>
      <w:pPr>
        <w:ind w:firstLine="480"/>
      </w:pPr>
      <w:r>
        <w:rPr>
          <w:rFonts w:hint="eastAsia"/>
          <w:lang w:val="en-US" w:eastAsia="zh-CN"/>
        </w:rPr>
        <w:t>1、</w:t>
      </w:r>
      <w:r>
        <w:t>人员自保措施：</w:t>
      </w:r>
    </w:p>
    <w:p>
      <w:pPr>
        <w:ind w:firstLine="480"/>
      </w:pPr>
      <w:r>
        <w:rPr>
          <w:rFonts w:hint="eastAsia"/>
          <w:lang w:eastAsia="zh-CN"/>
        </w:rPr>
        <w:t>（</w:t>
      </w:r>
      <w:r>
        <w:rPr>
          <w:rFonts w:hint="eastAsia"/>
          <w:lang w:val="en-US" w:eastAsia="zh-CN"/>
        </w:rPr>
        <w:t>1</w:t>
      </w:r>
      <w:r>
        <w:rPr>
          <w:rFonts w:hint="eastAsia"/>
          <w:lang w:eastAsia="zh-CN"/>
        </w:rPr>
        <w:t>）</w:t>
      </w:r>
      <w:r>
        <w:rPr>
          <w:rFonts w:hint="eastAsia"/>
        </w:rPr>
        <w:t>伤员应迅速脱离现场，及时消除致伤原因。</w:t>
      </w:r>
    </w:p>
    <w:p>
      <w:pPr>
        <w:ind w:firstLine="480"/>
      </w:pPr>
      <w:r>
        <w:rPr>
          <w:rFonts w:hint="eastAsia"/>
          <w:lang w:eastAsia="zh-CN"/>
        </w:rPr>
        <w:t>（</w:t>
      </w:r>
      <w:r>
        <w:rPr>
          <w:rFonts w:hint="eastAsia"/>
          <w:lang w:val="en-US" w:eastAsia="zh-CN"/>
        </w:rPr>
        <w:t>2</w:t>
      </w:r>
      <w:r>
        <w:rPr>
          <w:rFonts w:hint="eastAsia"/>
          <w:lang w:eastAsia="zh-CN"/>
        </w:rPr>
        <w:t>）</w:t>
      </w:r>
      <w:r>
        <w:rPr>
          <w:rFonts w:hint="eastAsia"/>
        </w:rPr>
        <w:t>处在浓烟中，应采用弯腰或匍匐爬行姿势，有条件的要用湿毛巾或湿衣服捂住鼻子行走。</w:t>
      </w:r>
    </w:p>
    <w:p>
      <w:pPr>
        <w:ind w:firstLine="480"/>
      </w:pPr>
      <w:r>
        <w:rPr>
          <w:rFonts w:hint="eastAsia"/>
          <w:lang w:eastAsia="zh-CN"/>
        </w:rPr>
        <w:t>（</w:t>
      </w:r>
      <w:r>
        <w:rPr>
          <w:rFonts w:hint="eastAsia"/>
          <w:lang w:val="en-US" w:eastAsia="zh-CN"/>
        </w:rPr>
        <w:t>3</w:t>
      </w:r>
      <w:r>
        <w:rPr>
          <w:rFonts w:hint="eastAsia"/>
          <w:lang w:eastAsia="zh-CN"/>
        </w:rPr>
        <w:t>）</w:t>
      </w:r>
      <w:r>
        <w:rPr>
          <w:rFonts w:hint="eastAsia"/>
        </w:rPr>
        <w:t>若身上着火应尽快脱去着火的衣服：如来不及脱着火衣服时，应迅速卧倒，慢慢就地滚动以压灭火苗；如邻近有凉水，应立即将受伤部位浸入水中，以降低局部温度。但切勿奔跑呼叫或用双手扑打火焰，以免助长燃烧和引起头面部、呼吸道和双手烧伤。</w:t>
      </w:r>
    </w:p>
    <w:p>
      <w:pPr>
        <w:ind w:firstLine="480"/>
      </w:pPr>
      <w:r>
        <w:rPr>
          <w:rFonts w:hint="eastAsia"/>
          <w:lang w:val="en-US" w:eastAsia="zh-CN"/>
        </w:rPr>
        <w:t>2、</w:t>
      </w:r>
      <w:r>
        <w:t>现场救护：</w:t>
      </w:r>
    </w:p>
    <w:p>
      <w:pPr>
        <w:ind w:firstLine="480"/>
      </w:pPr>
      <w:r>
        <w:rPr>
          <w:rFonts w:hint="eastAsia"/>
          <w:lang w:eastAsia="zh-CN"/>
        </w:rPr>
        <w:t>（</w:t>
      </w:r>
      <w:r>
        <w:rPr>
          <w:rFonts w:hint="eastAsia"/>
          <w:lang w:val="en-US" w:eastAsia="zh-CN"/>
        </w:rPr>
        <w:t>1</w:t>
      </w:r>
      <w:r>
        <w:rPr>
          <w:rFonts w:hint="eastAsia"/>
          <w:lang w:eastAsia="zh-CN"/>
        </w:rPr>
        <w:t>）</w:t>
      </w:r>
      <w:r>
        <w:rPr>
          <w:rFonts w:hint="eastAsia"/>
        </w:rPr>
        <w:t>烧伤急救就是采用各种有效的措施灭火，使伤员尽快脱离热源，尽量缩短烧伤时间。</w:t>
      </w:r>
    </w:p>
    <w:p>
      <w:pPr>
        <w:ind w:firstLine="480"/>
      </w:pPr>
      <w:r>
        <w:rPr>
          <w:rFonts w:hint="eastAsia"/>
          <w:lang w:eastAsia="zh-CN"/>
        </w:rPr>
        <w:t>（</w:t>
      </w:r>
      <w:r>
        <w:rPr>
          <w:rFonts w:hint="eastAsia"/>
          <w:lang w:val="en-US" w:eastAsia="zh-CN"/>
        </w:rPr>
        <w:t>2</w:t>
      </w:r>
      <w:r>
        <w:rPr>
          <w:rFonts w:hint="eastAsia"/>
          <w:lang w:eastAsia="zh-CN"/>
        </w:rPr>
        <w:t>）</w:t>
      </w:r>
      <w:r>
        <w:rPr>
          <w:rFonts w:hint="eastAsia"/>
        </w:rPr>
        <w:t>对已灭火而未脱衣服的伤员必须仔细检查，检查全身状况和有无损伤，电灼伤、火焰烧伤均应保持伤口清洁，伤员的衣服鞋袜用剪刀剪开后除去，伤口全部用清洁布片覆盖，防止污染。四肢烧伤时，先用清洁冷水冲洗，然后用清洁布片消毒纱布覆盖送医院。</w:t>
      </w:r>
    </w:p>
    <w:p>
      <w:pPr>
        <w:ind w:firstLine="480"/>
      </w:pPr>
      <w:r>
        <w:rPr>
          <w:rFonts w:hint="eastAsia"/>
          <w:lang w:eastAsia="zh-CN"/>
        </w:rPr>
        <w:t>（</w:t>
      </w:r>
      <w:r>
        <w:rPr>
          <w:rFonts w:hint="eastAsia"/>
          <w:lang w:val="en-US" w:eastAsia="zh-CN"/>
        </w:rPr>
        <w:t>3</w:t>
      </w:r>
      <w:r>
        <w:rPr>
          <w:rFonts w:hint="eastAsia"/>
          <w:lang w:eastAsia="zh-CN"/>
        </w:rPr>
        <w:t>）</w:t>
      </w:r>
      <w:r>
        <w:rPr>
          <w:rFonts w:hint="eastAsia"/>
        </w:rPr>
        <w:t>对爆炸冲击波烧伤的伤员要注意有无脑颅损伤，腹腔损伤和呼吸道损伤。</w:t>
      </w:r>
    </w:p>
    <w:p>
      <w:pPr>
        <w:ind w:firstLine="480"/>
      </w:pPr>
      <w:r>
        <w:rPr>
          <w:rFonts w:hint="eastAsia"/>
          <w:lang w:eastAsia="zh-CN"/>
        </w:rPr>
        <w:t>（</w:t>
      </w:r>
      <w:r>
        <w:rPr>
          <w:rFonts w:hint="eastAsia"/>
          <w:lang w:val="en-US" w:eastAsia="zh-CN"/>
        </w:rPr>
        <w:t>4</w:t>
      </w:r>
      <w:r>
        <w:rPr>
          <w:rFonts w:hint="eastAsia"/>
          <w:lang w:eastAsia="zh-CN"/>
        </w:rPr>
        <w:t>）</w:t>
      </w:r>
      <w:r>
        <w:rPr>
          <w:rFonts w:hint="eastAsia"/>
        </w:rPr>
        <w:t>烧毁的、打湿的、污染的衣服除去后，应立即用三角巾、干净的衣物被单覆盖包裹，冬天用干净单子包裹伤面后，再盖棉被。</w:t>
      </w:r>
    </w:p>
    <w:p>
      <w:pPr>
        <w:ind w:firstLine="480"/>
      </w:pPr>
      <w:r>
        <w:rPr>
          <w:rFonts w:hint="eastAsia"/>
          <w:lang w:eastAsia="zh-CN"/>
        </w:rPr>
        <w:t>（</w:t>
      </w:r>
      <w:r>
        <w:rPr>
          <w:rFonts w:hint="eastAsia"/>
          <w:lang w:val="en-US" w:eastAsia="zh-CN"/>
        </w:rPr>
        <w:t>5</w:t>
      </w:r>
      <w:r>
        <w:rPr>
          <w:rFonts w:hint="eastAsia"/>
          <w:lang w:eastAsia="zh-CN"/>
        </w:rPr>
        <w:t>）</w:t>
      </w:r>
      <w:r>
        <w:rPr>
          <w:rFonts w:hint="eastAsia"/>
        </w:rPr>
        <w:t>对重伤员，特别是对呼吸、心跳不好或停止的伤员就地紧急救护，待情况好转后再送医院。</w:t>
      </w:r>
    </w:p>
    <w:p>
      <w:pPr>
        <w:ind w:firstLine="480"/>
      </w:pPr>
      <w:r>
        <w:rPr>
          <w:rFonts w:hint="eastAsia"/>
          <w:lang w:eastAsia="zh-CN"/>
        </w:rPr>
        <w:t>（</w:t>
      </w:r>
      <w:r>
        <w:rPr>
          <w:rFonts w:hint="eastAsia"/>
          <w:lang w:val="en-US" w:eastAsia="zh-CN"/>
        </w:rPr>
        <w:t>6</w:t>
      </w:r>
      <w:r>
        <w:rPr>
          <w:rFonts w:hint="eastAsia"/>
          <w:lang w:eastAsia="zh-CN"/>
        </w:rPr>
        <w:t>）</w:t>
      </w:r>
      <w:r>
        <w:rPr>
          <w:rFonts w:hint="eastAsia"/>
        </w:rPr>
        <w:t>未经医务人员同意，灼伤部位不宜敷搽任何东西和药物。</w:t>
      </w:r>
    </w:p>
    <w:p>
      <w:pPr>
        <w:ind w:firstLine="480"/>
      </w:pPr>
      <w:r>
        <w:rPr>
          <w:rFonts w:hint="eastAsia"/>
          <w:lang w:eastAsia="zh-CN"/>
        </w:rPr>
        <w:t>（</w:t>
      </w:r>
      <w:r>
        <w:rPr>
          <w:rFonts w:hint="eastAsia"/>
          <w:lang w:val="en-US" w:eastAsia="zh-CN"/>
        </w:rPr>
        <w:t>八</w:t>
      </w:r>
      <w:r>
        <w:rPr>
          <w:rFonts w:hint="eastAsia"/>
          <w:lang w:eastAsia="zh-CN"/>
        </w:rPr>
        <w:t>）</w:t>
      </w:r>
      <w:r>
        <w:t>应急值班人员坚守岗位，认真负责、做好下情上传工作，对事件发展情况，所采取的措施，存在的问题，要认真做好记录，直至事件完全解决。</w:t>
      </w:r>
    </w:p>
    <w:p>
      <w:pPr>
        <w:ind w:firstLine="480"/>
      </w:pPr>
      <w:r>
        <w:rPr>
          <w:rFonts w:hint="eastAsia"/>
          <w:lang w:eastAsia="zh-CN"/>
        </w:rPr>
        <w:t>（</w:t>
      </w:r>
      <w:r>
        <w:rPr>
          <w:rFonts w:hint="eastAsia"/>
          <w:lang w:val="en-US" w:eastAsia="zh-CN"/>
        </w:rPr>
        <w:t>九</w:t>
      </w:r>
      <w:r>
        <w:rPr>
          <w:rFonts w:hint="eastAsia"/>
          <w:lang w:eastAsia="zh-CN"/>
        </w:rPr>
        <w:t>）</w:t>
      </w:r>
      <w:r>
        <w:t>事后调查处理：</w:t>
      </w:r>
    </w:p>
    <w:p>
      <w:pPr>
        <w:ind w:firstLine="480"/>
      </w:pPr>
      <w:r>
        <w:rPr>
          <w:rFonts w:hint="eastAsia"/>
          <w:lang w:val="en-US" w:eastAsia="zh-CN"/>
        </w:rPr>
        <w:t>1、</w:t>
      </w:r>
      <w:r>
        <w:t>事故发生后成立专门调查小组，进行事故调查，评价并提出相应的解决方案，按照有关规定对相关责任人实施处罚，对于造成严重后果的，移交司法机关追究火灾责任人的刑事责任；</w:t>
      </w:r>
    </w:p>
    <w:p>
      <w:pPr>
        <w:ind w:firstLine="480"/>
      </w:pPr>
      <w:r>
        <w:rPr>
          <w:rFonts w:hint="eastAsia"/>
          <w:lang w:val="en-US" w:eastAsia="zh-CN"/>
        </w:rPr>
        <w:t>2、</w:t>
      </w:r>
      <w:r>
        <w:t>紧急情况或事故处理结束后，应进行总结、分析，吸取事故教训，及时整改，防止类似事故再次发生。</w:t>
      </w:r>
    </w:p>
    <w:p>
      <w:pPr>
        <w:ind w:firstLine="480"/>
      </w:pPr>
      <w:r>
        <w:rPr>
          <w:rFonts w:hint="eastAsia"/>
          <w:lang w:val="en-US" w:eastAsia="zh-CN"/>
        </w:rPr>
        <w:t>3、</w:t>
      </w:r>
      <w:r>
        <w:t>应急处理工作结束后，应在24小时内填写事故报告，填写事故报告，一式三份，自留一份，另送公司保障部一份，事故报告应包括以下内容：发生事故的单位及事故发生的时间、地点事故的简要经过，伤亡人数、直接经济损失的初步估计、事故原因、性质的初步判断，事故抢救处理的情况、需要有关部门和单位协助、支持的事宜、事故报告人、报告时间。</w:t>
      </w:r>
    </w:p>
    <w:p>
      <w:pPr>
        <w:ind w:firstLine="480"/>
      </w:pPr>
      <w:r>
        <w:rPr>
          <w:rFonts w:hint="eastAsia"/>
          <w:lang w:val="en-US" w:eastAsia="zh-CN"/>
        </w:rPr>
        <w:t>4、</w:t>
      </w:r>
      <w:r>
        <w:t>对在事故的抢救、指挥、信息报送等方面有突出贡献的单位和个人，公司将按照有关规定给予表彰和奖励。</w:t>
      </w:r>
    </w:p>
    <w:p>
      <w:pPr>
        <w:widowControl/>
        <w:spacing w:before="0" w:after="0" w:line="240" w:lineRule="auto"/>
        <w:ind w:firstLine="0" w:firstLineChars="0"/>
        <w:jc w:val="left"/>
      </w:pPr>
      <w:r>
        <w:br w:type="page"/>
      </w:r>
    </w:p>
    <w:p>
      <w:pPr>
        <w:pStyle w:val="5"/>
        <w:bidi w:val="0"/>
      </w:pPr>
      <w:bookmarkStart w:id="533" w:name="_Toc117181908"/>
      <w:bookmarkStart w:id="534" w:name="_Toc116121499"/>
      <w:bookmarkStart w:id="535" w:name="_Toc22022"/>
      <w:bookmarkStart w:id="536" w:name="_Toc118293277"/>
      <w:r>
        <w:rPr>
          <w:rFonts w:hint="eastAsia"/>
          <w:lang w:val="en-US" w:eastAsia="zh-CN"/>
        </w:rPr>
        <w:t>五、</w:t>
      </w:r>
      <w:r>
        <w:t>供货异常的应对方案</w:t>
      </w:r>
      <w:bookmarkEnd w:id="533"/>
      <w:bookmarkEnd w:id="534"/>
      <w:bookmarkEnd w:id="535"/>
      <w:bookmarkEnd w:id="536"/>
    </w:p>
    <w:tbl>
      <w:tblPr>
        <w:tblStyle w:val="33"/>
        <w:tblW w:w="8312" w:type="dxa"/>
        <w:jc w:val="center"/>
        <w:tblInd w:w="0" w:type="dxa"/>
        <w:tblLayout w:type="fixed"/>
        <w:tblCellMar>
          <w:top w:w="0" w:type="dxa"/>
          <w:left w:w="108" w:type="dxa"/>
          <w:bottom w:w="0" w:type="dxa"/>
          <w:right w:w="108" w:type="dxa"/>
        </w:tblCellMar>
      </w:tblPr>
      <w:tblGrid>
        <w:gridCol w:w="697"/>
        <w:gridCol w:w="650"/>
        <w:gridCol w:w="916"/>
        <w:gridCol w:w="2694"/>
        <w:gridCol w:w="2693"/>
        <w:gridCol w:w="662"/>
      </w:tblGrid>
      <w:tr>
        <w:tblPrEx>
          <w:tblLayout w:type="fixed"/>
          <w:tblCellMar>
            <w:top w:w="0" w:type="dxa"/>
            <w:left w:w="108" w:type="dxa"/>
            <w:bottom w:w="0" w:type="dxa"/>
            <w:right w:w="108" w:type="dxa"/>
          </w:tblCellMar>
        </w:tblPrEx>
        <w:trPr>
          <w:jc w:val="center"/>
        </w:trPr>
        <w:tc>
          <w:tcPr>
            <w:tcW w:w="8312"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运输异常及应对方案</w:t>
            </w:r>
          </w:p>
        </w:tc>
      </w:tr>
      <w:tr>
        <w:tblPrEx>
          <w:tblLayout w:type="fixed"/>
          <w:tblCellMar>
            <w:top w:w="0" w:type="dxa"/>
            <w:left w:w="108" w:type="dxa"/>
            <w:bottom w:w="0" w:type="dxa"/>
            <w:right w:w="108" w:type="dxa"/>
          </w:tblCellMar>
        </w:tblPrEx>
        <w:trPr>
          <w:jc w:val="center"/>
        </w:trPr>
        <w:tc>
          <w:tcPr>
            <w:tcW w:w="69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目的</w:t>
            </w:r>
          </w:p>
        </w:tc>
        <w:tc>
          <w:tcPr>
            <w:tcW w:w="761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因突发性事件造成在仓库库存、分拣排序时出现的异常，以至于使产品供应脱节时，立即采取合理的应对措施，尽可能保证客户产品的正常生产、正常交付及减少不必要的财产损失，特制定本预案。</w:t>
            </w:r>
          </w:p>
        </w:tc>
      </w:tr>
      <w:tr>
        <w:tblPrEx>
          <w:tblLayout w:type="fixed"/>
          <w:tblCellMar>
            <w:top w:w="0" w:type="dxa"/>
            <w:left w:w="108" w:type="dxa"/>
            <w:bottom w:w="0" w:type="dxa"/>
            <w:right w:w="108" w:type="dxa"/>
          </w:tblCellMar>
        </w:tblPrEx>
        <w:trPr>
          <w:jc w:val="center"/>
        </w:trPr>
        <w:tc>
          <w:tcPr>
            <w:tcW w:w="69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适用范围</w:t>
            </w:r>
          </w:p>
        </w:tc>
        <w:tc>
          <w:tcPr>
            <w:tcW w:w="761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适用于所有生产、交付运输、仓库、配送各环节中所产生的突发性事件。</w:t>
            </w:r>
          </w:p>
        </w:tc>
      </w:tr>
      <w:tr>
        <w:tblPrEx>
          <w:tblLayout w:type="fixed"/>
          <w:tblCellMar>
            <w:top w:w="0" w:type="dxa"/>
            <w:left w:w="108" w:type="dxa"/>
            <w:bottom w:w="0" w:type="dxa"/>
            <w:right w:w="108" w:type="dxa"/>
          </w:tblCellMar>
        </w:tblPrEx>
        <w:trPr>
          <w:jc w:val="center"/>
        </w:trPr>
        <w:tc>
          <w:tcPr>
            <w:tcW w:w="69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异常环节</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分类</w:t>
            </w:r>
          </w:p>
        </w:tc>
        <w:tc>
          <w:tcPr>
            <w:tcW w:w="9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异常原因</w:t>
            </w:r>
          </w:p>
        </w:tc>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预防措施</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应对方案</w:t>
            </w:r>
          </w:p>
        </w:tc>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应对时间</w:t>
            </w:r>
          </w:p>
        </w:tc>
      </w:tr>
      <w:tr>
        <w:tblPrEx>
          <w:tblLayout w:type="fixed"/>
          <w:tblCellMar>
            <w:top w:w="0" w:type="dxa"/>
            <w:left w:w="108" w:type="dxa"/>
            <w:bottom w:w="0" w:type="dxa"/>
            <w:right w:w="108" w:type="dxa"/>
          </w:tblCellMar>
        </w:tblPrEx>
        <w:trPr>
          <w:jc w:val="center"/>
        </w:trPr>
        <w:tc>
          <w:tcPr>
            <w:tcW w:w="69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生产制造</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机器故障</w:t>
            </w:r>
          </w:p>
        </w:tc>
        <w:tc>
          <w:tcPr>
            <w:tcW w:w="9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因故障造成生产停线</w:t>
            </w:r>
          </w:p>
        </w:tc>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rPr>
                <w:rFonts w:hint="eastAsia" w:eastAsia="宋体"/>
                <w:lang w:eastAsia="zh-CN"/>
              </w:rPr>
            </w:pPr>
            <w:r>
              <w:rPr>
                <w:rFonts w:hint="eastAsia"/>
              </w:rPr>
              <w:t>1.指定相关负责人对机器人设备每天进行点检</w:t>
            </w:r>
          </w:p>
          <w:p>
            <w:pPr>
              <w:pStyle w:val="53"/>
              <w:spacing w:line="240" w:lineRule="auto"/>
            </w:pPr>
            <w:r>
              <w:rPr>
                <w:rFonts w:hint="eastAsia"/>
              </w:rPr>
              <w:t>2.定时对机器人维护保养</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rPr>
                <w:rFonts w:hint="eastAsia" w:eastAsia="宋体"/>
                <w:lang w:eastAsia="zh-CN"/>
              </w:rPr>
            </w:pPr>
            <w:r>
              <w:rPr>
                <w:rFonts w:hint="eastAsia"/>
              </w:rPr>
              <w:t>1.当生产异常情况出现后由操作工立即通知班组长,10分钟后通报各相关项目的工程师,20分钟后通报相关主管,30分钟后通报管理高层；30分钟内仍不能修复,由采购部要求厂商提供维修服务同时确认库存,采用替代设备生产；</w:t>
            </w:r>
          </w:p>
          <w:p>
            <w:pPr>
              <w:pStyle w:val="53"/>
              <w:spacing w:line="240" w:lineRule="auto"/>
            </w:pPr>
            <w:r>
              <w:rPr>
                <w:rFonts w:hint="eastAsia"/>
              </w:rPr>
              <w:t>2物料部日常建立安全库存</w:t>
            </w:r>
          </w:p>
        </w:tc>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p>
        </w:tc>
      </w:tr>
      <w:tr>
        <w:tblPrEx>
          <w:tblLayout w:type="fixed"/>
          <w:tblCellMar>
            <w:top w:w="0" w:type="dxa"/>
            <w:left w:w="108" w:type="dxa"/>
            <w:bottom w:w="0" w:type="dxa"/>
            <w:right w:w="108" w:type="dxa"/>
          </w:tblCellMar>
        </w:tblPrEx>
        <w:trPr>
          <w:jc w:val="center"/>
        </w:trPr>
        <w:tc>
          <w:tcPr>
            <w:tcW w:w="6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仓库</w:t>
            </w:r>
          </w:p>
        </w:tc>
        <w:tc>
          <w:tcPr>
            <w:tcW w:w="6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分拣</w:t>
            </w:r>
          </w:p>
        </w:tc>
        <w:tc>
          <w:tcPr>
            <w:tcW w:w="9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数量错误</w:t>
            </w:r>
          </w:p>
        </w:tc>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rPr>
                <w:rFonts w:hint="eastAsia" w:eastAsia="宋体"/>
                <w:lang w:eastAsia="zh-CN"/>
              </w:rPr>
            </w:pPr>
            <w:r>
              <w:rPr>
                <w:rFonts w:hint="eastAsia"/>
              </w:rPr>
              <w:t>1.成品备货人员操作熟练度培训</w:t>
            </w:r>
          </w:p>
          <w:p>
            <w:pPr>
              <w:pStyle w:val="53"/>
              <w:spacing w:line="240" w:lineRule="auto"/>
            </w:pPr>
            <w:r>
              <w:rPr>
                <w:rFonts w:hint="eastAsia"/>
              </w:rPr>
              <w:t>2.多次确定</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现场服务人员及时将错误反馈回仓库，及时补充缺货。</w:t>
            </w:r>
          </w:p>
        </w:tc>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30分钟内</w:t>
            </w:r>
          </w:p>
        </w:tc>
      </w:tr>
      <w:tr>
        <w:tblPrEx>
          <w:tblLayout w:type="fixed"/>
          <w:tblCellMar>
            <w:top w:w="0" w:type="dxa"/>
            <w:left w:w="108" w:type="dxa"/>
            <w:bottom w:w="0" w:type="dxa"/>
            <w:right w:w="108" w:type="dxa"/>
          </w:tblCellMar>
        </w:tblPrEx>
        <w:trPr>
          <w:jc w:val="center"/>
        </w:trPr>
        <w:tc>
          <w:tcPr>
            <w:tcW w:w="697" w:type="dxa"/>
            <w:vMerge w:val="continue"/>
            <w:tcBorders>
              <w:top w:val="single" w:color="auto" w:sz="4" w:space="0"/>
              <w:left w:val="single" w:color="auto" w:sz="4" w:space="0"/>
              <w:bottom w:val="single" w:color="auto" w:sz="4" w:space="0"/>
              <w:right w:val="single" w:color="auto" w:sz="4" w:space="0"/>
            </w:tcBorders>
            <w:vAlign w:val="center"/>
          </w:tcPr>
          <w:p>
            <w:pPr>
              <w:pStyle w:val="53"/>
              <w:spacing w:line="240" w:lineRule="auto"/>
            </w:pPr>
          </w:p>
        </w:tc>
        <w:tc>
          <w:tcPr>
            <w:tcW w:w="650" w:type="dxa"/>
            <w:vMerge w:val="continue"/>
            <w:tcBorders>
              <w:top w:val="single" w:color="auto" w:sz="4" w:space="0"/>
              <w:left w:val="single" w:color="auto" w:sz="4" w:space="0"/>
              <w:bottom w:val="single" w:color="auto" w:sz="4" w:space="0"/>
              <w:right w:val="single" w:color="auto" w:sz="4" w:space="0"/>
            </w:tcBorders>
            <w:vAlign w:val="center"/>
          </w:tcPr>
          <w:p>
            <w:pPr>
              <w:pStyle w:val="53"/>
              <w:spacing w:line="240" w:lineRule="auto"/>
            </w:pPr>
          </w:p>
        </w:tc>
        <w:tc>
          <w:tcPr>
            <w:tcW w:w="9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排序出错</w:t>
            </w:r>
          </w:p>
        </w:tc>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rPr>
                <w:rFonts w:hint="eastAsia" w:eastAsia="宋体"/>
                <w:lang w:eastAsia="zh-CN"/>
              </w:rPr>
            </w:pPr>
            <w:r>
              <w:rPr>
                <w:rFonts w:hint="eastAsia"/>
              </w:rPr>
              <w:t>1.计划员操作熟练度培训</w:t>
            </w:r>
          </w:p>
          <w:p>
            <w:pPr>
              <w:pStyle w:val="53"/>
              <w:spacing w:line="240" w:lineRule="auto"/>
            </w:pPr>
            <w:r>
              <w:rPr>
                <w:rFonts w:hint="eastAsia"/>
              </w:rPr>
              <w:t>2.多次确定</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现场服务人员及时将错误排序调整过来。</w:t>
            </w:r>
          </w:p>
        </w:tc>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5分钟内</w:t>
            </w:r>
          </w:p>
        </w:tc>
      </w:tr>
      <w:tr>
        <w:tblPrEx>
          <w:tblLayout w:type="fixed"/>
          <w:tblCellMar>
            <w:top w:w="0" w:type="dxa"/>
            <w:left w:w="108" w:type="dxa"/>
            <w:bottom w:w="0" w:type="dxa"/>
            <w:right w:w="108" w:type="dxa"/>
          </w:tblCellMar>
        </w:tblPrEx>
        <w:trPr>
          <w:jc w:val="center"/>
        </w:trPr>
        <w:tc>
          <w:tcPr>
            <w:tcW w:w="697" w:type="dxa"/>
            <w:vMerge w:val="continue"/>
            <w:tcBorders>
              <w:top w:val="single" w:color="auto" w:sz="4" w:space="0"/>
              <w:left w:val="single" w:color="auto" w:sz="4" w:space="0"/>
              <w:bottom w:val="single" w:color="auto" w:sz="4" w:space="0"/>
              <w:right w:val="single" w:color="auto" w:sz="4" w:space="0"/>
            </w:tcBorders>
            <w:vAlign w:val="center"/>
          </w:tcPr>
          <w:p>
            <w:pPr>
              <w:pStyle w:val="53"/>
              <w:spacing w:line="240" w:lineRule="auto"/>
            </w:pP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缺货</w:t>
            </w:r>
          </w:p>
        </w:tc>
        <w:tc>
          <w:tcPr>
            <w:tcW w:w="9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仓库库存不足造成缺货</w:t>
            </w:r>
          </w:p>
        </w:tc>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仓库人员需建立各种产品安全库存，并动态更新告知客户。</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做好物料安全预警表，以3天的库存为基准，一量发现缺料，物流仓库第一时间报警，发现缺货的第一时间通知客户反馈缺货详细信息，协商出货情况，并跟踪到货时间。</w:t>
            </w:r>
          </w:p>
        </w:tc>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p>
        </w:tc>
      </w:tr>
      <w:tr>
        <w:tblPrEx>
          <w:tblLayout w:type="fixed"/>
          <w:tblCellMar>
            <w:top w:w="0" w:type="dxa"/>
            <w:left w:w="108" w:type="dxa"/>
            <w:bottom w:w="0" w:type="dxa"/>
            <w:right w:w="108" w:type="dxa"/>
          </w:tblCellMar>
        </w:tblPrEx>
        <w:trPr>
          <w:jc w:val="center"/>
        </w:trPr>
        <w:tc>
          <w:tcPr>
            <w:tcW w:w="697" w:type="dxa"/>
            <w:vMerge w:val="continue"/>
            <w:tcBorders>
              <w:top w:val="single" w:color="auto" w:sz="4" w:space="0"/>
              <w:left w:val="single" w:color="auto" w:sz="4" w:space="0"/>
              <w:bottom w:val="single" w:color="auto" w:sz="4" w:space="0"/>
              <w:right w:val="single" w:color="auto" w:sz="4" w:space="0"/>
            </w:tcBorders>
            <w:vAlign w:val="center"/>
          </w:tcPr>
          <w:p>
            <w:pPr>
              <w:pStyle w:val="53"/>
              <w:spacing w:line="240" w:lineRule="auto"/>
            </w:pPr>
          </w:p>
        </w:tc>
        <w:tc>
          <w:tcPr>
            <w:tcW w:w="6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货损</w:t>
            </w:r>
          </w:p>
        </w:tc>
        <w:tc>
          <w:tcPr>
            <w:tcW w:w="9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火灾</w:t>
            </w:r>
          </w:p>
        </w:tc>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在仓库各个明显位置配置灭火器，灭火毯，每个库位之间留有40-60CM宽消防通道，仓库30米内禁止烟火，仓库管理员每小时巡视一圈仓库并作记录，每15分钟环视一圈仓库有无烟火（不做记录），定期做消防演练，并作好演练记录。</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发现有火情时，立马大声呼喊知会其他人，找到最近的消防器材对着火点进行灭火，若火情严重立马拨打119，事后统计损失，通知客户和保险公司，并作出事故报告及改善措施。</w:t>
            </w:r>
          </w:p>
        </w:tc>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p>
        </w:tc>
      </w:tr>
      <w:tr>
        <w:tblPrEx>
          <w:tblLayout w:type="fixed"/>
          <w:tblCellMar>
            <w:top w:w="0" w:type="dxa"/>
            <w:left w:w="108" w:type="dxa"/>
            <w:bottom w:w="0" w:type="dxa"/>
            <w:right w:w="108" w:type="dxa"/>
          </w:tblCellMar>
        </w:tblPrEx>
        <w:trPr>
          <w:jc w:val="center"/>
        </w:trPr>
        <w:tc>
          <w:tcPr>
            <w:tcW w:w="697" w:type="dxa"/>
            <w:vMerge w:val="continue"/>
            <w:tcBorders>
              <w:top w:val="single" w:color="auto" w:sz="4" w:space="0"/>
              <w:left w:val="single" w:color="auto" w:sz="4" w:space="0"/>
              <w:bottom w:val="single" w:color="auto" w:sz="4" w:space="0"/>
              <w:right w:val="single" w:color="auto" w:sz="4" w:space="0"/>
            </w:tcBorders>
            <w:vAlign w:val="center"/>
          </w:tcPr>
          <w:p>
            <w:pPr>
              <w:pStyle w:val="53"/>
              <w:spacing w:line="240" w:lineRule="auto"/>
            </w:pPr>
          </w:p>
        </w:tc>
        <w:tc>
          <w:tcPr>
            <w:tcW w:w="650" w:type="dxa"/>
            <w:vMerge w:val="continue"/>
            <w:tcBorders>
              <w:top w:val="single" w:color="auto" w:sz="4" w:space="0"/>
              <w:left w:val="single" w:color="auto" w:sz="4" w:space="0"/>
              <w:bottom w:val="single" w:color="auto" w:sz="4" w:space="0"/>
              <w:right w:val="single" w:color="auto" w:sz="4" w:space="0"/>
            </w:tcBorders>
            <w:vAlign w:val="center"/>
          </w:tcPr>
          <w:p>
            <w:pPr>
              <w:pStyle w:val="53"/>
              <w:spacing w:line="240" w:lineRule="auto"/>
            </w:pPr>
          </w:p>
        </w:tc>
        <w:tc>
          <w:tcPr>
            <w:tcW w:w="9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受潮</w:t>
            </w:r>
          </w:p>
        </w:tc>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仓库货物离地离强30-40CM，仓库温湿度计每天2次记录，雨季可多记录几次，仓库每个角落雨季可放几袋生石灰吸空气中潮气。</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发现地面返潮时马上用干锯末拖地板吸地面潮气，使用工业电扇加快空气流动</w:t>
            </w:r>
          </w:p>
        </w:tc>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p>
        </w:tc>
      </w:tr>
      <w:tr>
        <w:tblPrEx>
          <w:tblLayout w:type="fixed"/>
          <w:tblCellMar>
            <w:top w:w="0" w:type="dxa"/>
            <w:left w:w="108" w:type="dxa"/>
            <w:bottom w:w="0" w:type="dxa"/>
            <w:right w:w="108" w:type="dxa"/>
          </w:tblCellMar>
        </w:tblPrEx>
        <w:trPr>
          <w:jc w:val="center"/>
        </w:trPr>
        <w:tc>
          <w:tcPr>
            <w:tcW w:w="697" w:type="dxa"/>
            <w:vMerge w:val="continue"/>
            <w:tcBorders>
              <w:top w:val="single" w:color="auto" w:sz="4" w:space="0"/>
              <w:left w:val="single" w:color="auto" w:sz="4" w:space="0"/>
              <w:bottom w:val="single" w:color="auto" w:sz="4" w:space="0"/>
              <w:right w:val="single" w:color="auto" w:sz="4" w:space="0"/>
            </w:tcBorders>
            <w:vAlign w:val="center"/>
          </w:tcPr>
          <w:p>
            <w:pPr>
              <w:pStyle w:val="53"/>
              <w:spacing w:line="240" w:lineRule="auto"/>
            </w:pPr>
          </w:p>
        </w:tc>
        <w:tc>
          <w:tcPr>
            <w:tcW w:w="650" w:type="dxa"/>
            <w:vMerge w:val="continue"/>
            <w:tcBorders>
              <w:top w:val="single" w:color="auto" w:sz="4" w:space="0"/>
              <w:left w:val="single" w:color="auto" w:sz="4" w:space="0"/>
              <w:bottom w:val="single" w:color="auto" w:sz="4" w:space="0"/>
              <w:right w:val="single" w:color="auto" w:sz="4" w:space="0"/>
            </w:tcBorders>
            <w:vAlign w:val="center"/>
          </w:tcPr>
          <w:p>
            <w:pPr>
              <w:pStyle w:val="53"/>
              <w:spacing w:line="240" w:lineRule="auto"/>
            </w:pPr>
          </w:p>
        </w:tc>
        <w:tc>
          <w:tcPr>
            <w:tcW w:w="9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鼠蚁虫害</w:t>
            </w:r>
          </w:p>
        </w:tc>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保持仓库清洁，无蛛网，所有货物不放地面，仓库无食物残渣。墙壁安装灭蚊器。</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r>
              <w:rPr>
                <w:rFonts w:hint="eastAsia"/>
              </w:rPr>
              <w:t>发现老鼠痕迹，用粘鼠板扑捉，白蚁虫子用灭虫剂清理仓库</w:t>
            </w:r>
          </w:p>
        </w:tc>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spacing w:line="240" w:lineRule="auto"/>
            </w:pPr>
          </w:p>
        </w:tc>
      </w:tr>
    </w:tbl>
    <w:p>
      <w:pPr>
        <w:spacing w:before="0" w:after="0" w:line="240" w:lineRule="auto"/>
        <w:ind w:firstLine="0" w:firstLineChars="0"/>
        <w:jc w:val="left"/>
      </w:pPr>
      <w:r>
        <w:rPr>
          <w:b/>
          <w:bCs/>
        </w:rPr>
        <w:br w:type="page"/>
      </w:r>
    </w:p>
    <w:p>
      <w:pPr>
        <w:pStyle w:val="5"/>
        <w:bidi w:val="0"/>
      </w:pPr>
      <w:bookmarkStart w:id="537" w:name="_Toc117181909"/>
      <w:bookmarkStart w:id="538" w:name="_Toc4727"/>
      <w:bookmarkStart w:id="539" w:name="_Toc118293278"/>
      <w:bookmarkStart w:id="540" w:name="_Toc116121500"/>
      <w:r>
        <w:rPr>
          <w:rFonts w:hint="eastAsia"/>
          <w:lang w:val="en-US" w:eastAsia="zh-CN"/>
        </w:rPr>
        <w:t>六、</w:t>
      </w:r>
      <w:r>
        <w:rPr>
          <w:rFonts w:hint="eastAsia"/>
        </w:rPr>
        <w:t>项目运输突发意外应急预案</w:t>
      </w:r>
      <w:bookmarkEnd w:id="537"/>
      <w:bookmarkEnd w:id="538"/>
      <w:bookmarkEnd w:id="539"/>
      <w:bookmarkEnd w:id="540"/>
    </w:p>
    <w:p>
      <w:pPr>
        <w:pStyle w:val="6"/>
        <w:bidi w:val="0"/>
      </w:pPr>
      <w:bookmarkStart w:id="541" w:name="_Toc20860"/>
      <w:bookmarkStart w:id="542" w:name="_Toc116121501"/>
      <w:bookmarkStart w:id="543" w:name="_Toc118293279"/>
      <w:r>
        <w:rPr>
          <w:rFonts w:hint="eastAsia"/>
          <w:lang w:val="en-US" w:eastAsia="zh-CN"/>
        </w:rPr>
        <w:t>（一）</w:t>
      </w:r>
      <w:r>
        <w:rPr>
          <w:rFonts w:hint="eastAsia"/>
        </w:rPr>
        <w:t>运输过程自然灾害应急预案</w:t>
      </w:r>
      <w:bookmarkEnd w:id="541"/>
      <w:bookmarkEnd w:id="542"/>
      <w:bookmarkEnd w:id="543"/>
    </w:p>
    <w:p>
      <w:pPr>
        <w:ind w:firstLine="480"/>
      </w:pPr>
      <w:r>
        <w:rPr>
          <w:rFonts w:hint="eastAsia"/>
          <w:lang w:eastAsia="zh-CN"/>
        </w:rPr>
        <w:t>（</w:t>
      </w:r>
      <w:r>
        <w:rPr>
          <w:rFonts w:hint="eastAsia"/>
          <w:lang w:val="en-US" w:eastAsia="zh-CN"/>
        </w:rPr>
        <w:t>一</w:t>
      </w:r>
      <w:r>
        <w:rPr>
          <w:rFonts w:hint="eastAsia"/>
          <w:lang w:eastAsia="zh-CN"/>
        </w:rPr>
        <w:t>）</w:t>
      </w:r>
      <w:r>
        <w:t>做好应急运输保障工作，在发生自然灾害、突发性事件时，要服从县级以上人民政府或者交通主管部门的统一调度、指挥。</w:t>
      </w:r>
    </w:p>
    <w:p>
      <w:pPr>
        <w:ind w:firstLine="480"/>
      </w:pPr>
      <w:r>
        <w:rPr>
          <w:rFonts w:hint="eastAsia"/>
          <w:lang w:eastAsia="zh-CN"/>
        </w:rPr>
        <w:t>（</w:t>
      </w:r>
      <w:r>
        <w:rPr>
          <w:rFonts w:hint="eastAsia"/>
          <w:lang w:val="en-US" w:eastAsia="zh-CN"/>
        </w:rPr>
        <w:t>二</w:t>
      </w:r>
      <w:r>
        <w:rPr>
          <w:rFonts w:hint="eastAsia"/>
          <w:lang w:eastAsia="zh-CN"/>
        </w:rPr>
        <w:t>）</w:t>
      </w:r>
      <w:r>
        <w:t>报告：遇有自然灾害、突发性事件发生，应立即在最短时间内逐级向交通主管部门报告（在异地遇有自然灾害、突发性事件的应同时向当地人民政府和交通主管部门报告）。</w:t>
      </w:r>
    </w:p>
    <w:p>
      <w:pPr>
        <w:ind w:firstLine="480"/>
      </w:pPr>
      <w:r>
        <w:rPr>
          <w:rFonts w:hint="eastAsia"/>
          <w:lang w:eastAsia="zh-CN"/>
        </w:rPr>
        <w:t>（</w:t>
      </w:r>
      <w:r>
        <w:rPr>
          <w:rFonts w:hint="eastAsia"/>
          <w:lang w:val="en-US" w:eastAsia="zh-CN"/>
        </w:rPr>
        <w:t>三</w:t>
      </w:r>
      <w:r>
        <w:rPr>
          <w:rFonts w:hint="eastAsia"/>
          <w:lang w:eastAsia="zh-CN"/>
        </w:rPr>
        <w:t>）</w:t>
      </w:r>
      <w:r>
        <w:t>接受应急运输任务后，运输车辆、人员必须整合待命，在规定时间内到达指定地点集合，且必须由道路运输经营者亲自带队。</w:t>
      </w:r>
    </w:p>
    <w:p>
      <w:pPr>
        <w:ind w:firstLine="480"/>
      </w:pPr>
      <w:r>
        <w:rPr>
          <w:rFonts w:hint="eastAsia"/>
          <w:lang w:eastAsia="zh-CN"/>
        </w:rPr>
        <w:t>（</w:t>
      </w:r>
      <w:r>
        <w:rPr>
          <w:rFonts w:hint="eastAsia"/>
          <w:lang w:val="en-US" w:eastAsia="zh-CN"/>
        </w:rPr>
        <w:t>四</w:t>
      </w:r>
      <w:r>
        <w:rPr>
          <w:rFonts w:hint="eastAsia"/>
          <w:lang w:eastAsia="zh-CN"/>
        </w:rPr>
        <w:t>）</w:t>
      </w:r>
      <w:r>
        <w:t>执行应急运输任务时，运输车辆及参运驾驶人员要遵守应急预案的有关规定，服从交通主管部门的统一调度、指挥，遇事主动请示、汇报，协调解决好各项工作事务。</w:t>
      </w:r>
    </w:p>
    <w:p>
      <w:pPr>
        <w:ind w:firstLine="480"/>
      </w:pPr>
      <w:r>
        <w:rPr>
          <w:rFonts w:hint="eastAsia"/>
          <w:lang w:eastAsia="zh-CN"/>
        </w:rPr>
        <w:t>（</w:t>
      </w:r>
      <w:r>
        <w:rPr>
          <w:rFonts w:hint="eastAsia"/>
          <w:lang w:val="en-US" w:eastAsia="zh-CN"/>
        </w:rPr>
        <w:t>五</w:t>
      </w:r>
      <w:r>
        <w:rPr>
          <w:rFonts w:hint="eastAsia"/>
          <w:lang w:eastAsia="zh-CN"/>
        </w:rPr>
        <w:t>）</w:t>
      </w:r>
      <w:r>
        <w:t>完成应急运输任务后，必须向各有关部门汇报任务完成情况，及时做好车辆维护、保修，总结经验，提高应急应变能力和处置能力。</w:t>
      </w:r>
    </w:p>
    <w:p>
      <w:pPr>
        <w:ind w:firstLine="480"/>
      </w:pPr>
      <w:r>
        <w:rPr>
          <w:rFonts w:hint="eastAsia"/>
          <w:lang w:eastAsia="zh-CN"/>
        </w:rPr>
        <w:t>（</w:t>
      </w:r>
      <w:r>
        <w:rPr>
          <w:rFonts w:hint="eastAsia"/>
          <w:lang w:val="en-US" w:eastAsia="zh-CN"/>
        </w:rPr>
        <w:t>六</w:t>
      </w:r>
      <w:r>
        <w:rPr>
          <w:rFonts w:hint="eastAsia"/>
          <w:lang w:eastAsia="zh-CN"/>
        </w:rPr>
        <w:t>）</w:t>
      </w:r>
      <w:r>
        <w:t>根据应急运输保障工作的需要，做好相关应急物资的储备，完成交通主管部门交给的其他运输任务。</w:t>
      </w:r>
    </w:p>
    <w:p>
      <w:pPr>
        <w:spacing w:before="0" w:after="0" w:line="240" w:lineRule="auto"/>
        <w:ind w:firstLine="0" w:firstLineChars="0"/>
        <w:jc w:val="left"/>
      </w:pPr>
      <w:r>
        <w:br w:type="page"/>
      </w:r>
    </w:p>
    <w:p>
      <w:pPr>
        <w:pStyle w:val="6"/>
        <w:bidi w:val="0"/>
      </w:pPr>
      <w:bookmarkStart w:id="544" w:name="_Toc17364"/>
      <w:bookmarkStart w:id="545" w:name="_Toc116121502"/>
      <w:bookmarkStart w:id="546" w:name="_Toc118293280"/>
      <w:r>
        <w:rPr>
          <w:rFonts w:hint="eastAsia"/>
          <w:lang w:val="en-US" w:eastAsia="zh-CN"/>
        </w:rPr>
        <w:t>（二）</w:t>
      </w:r>
      <w:r>
        <w:rPr>
          <w:rFonts w:hint="eastAsia"/>
        </w:rPr>
        <w:t>运输过程交通事故应急预案</w:t>
      </w:r>
      <w:bookmarkEnd w:id="544"/>
      <w:bookmarkEnd w:id="545"/>
      <w:bookmarkEnd w:id="546"/>
    </w:p>
    <w:p>
      <w:pPr>
        <w:ind w:firstLine="480"/>
        <w:rPr>
          <w:b/>
          <w:bCs/>
        </w:rPr>
      </w:pPr>
      <w:r>
        <w:rPr>
          <w:rFonts w:hint="eastAsia"/>
          <w:b/>
          <w:bCs/>
          <w:lang w:eastAsia="zh-CN"/>
        </w:rPr>
        <w:t>（</w:t>
      </w:r>
      <w:r>
        <w:rPr>
          <w:rFonts w:hint="eastAsia"/>
          <w:b/>
          <w:bCs/>
          <w:lang w:val="en-US" w:eastAsia="zh-CN"/>
        </w:rPr>
        <w:t>一</w:t>
      </w:r>
      <w:r>
        <w:rPr>
          <w:rFonts w:hint="eastAsia"/>
          <w:b/>
          <w:bCs/>
          <w:lang w:eastAsia="zh-CN"/>
        </w:rPr>
        <w:t>）</w:t>
      </w:r>
      <w:r>
        <w:rPr>
          <w:b/>
          <w:bCs/>
        </w:rPr>
        <w:t>应急原则：</w:t>
      </w:r>
    </w:p>
    <w:p>
      <w:pPr>
        <w:ind w:firstLine="480"/>
      </w:pPr>
      <w:r>
        <w:rPr>
          <w:rFonts w:hint="eastAsia"/>
          <w:lang w:val="en-US" w:eastAsia="zh-CN"/>
        </w:rPr>
        <w:t>1、</w:t>
      </w:r>
      <w:r>
        <w:t>执行预案而不唯预案原则：应急预案是根据发生交通事故可能造成的影响而预先制定的方案，在实际操作中，要根据实际情况灵活进行调整。</w:t>
      </w:r>
    </w:p>
    <w:p>
      <w:pPr>
        <w:ind w:firstLine="480"/>
      </w:pPr>
      <w:r>
        <w:rPr>
          <w:rFonts w:hint="eastAsia"/>
          <w:lang w:val="en-US" w:eastAsia="zh-CN"/>
        </w:rPr>
        <w:t>2、</w:t>
      </w:r>
      <w:r>
        <w:t>先救人后抢物原则：应急救援应体现以人为本的宗旨，始终把人放在第一位，当发生交通事故后，应当首先救人，当确保所有能够救援的人都已经得到妥善救援后，方可以实施救援物资和设备的方案。</w:t>
      </w:r>
    </w:p>
    <w:p>
      <w:pPr>
        <w:ind w:firstLine="480"/>
      </w:pPr>
      <w:r>
        <w:rPr>
          <w:rFonts w:hint="eastAsia"/>
          <w:lang w:val="en-US" w:eastAsia="zh-CN"/>
        </w:rPr>
        <w:t>3、</w:t>
      </w:r>
      <w:r>
        <w:t>分工协作原则：应急小组成员应牢记分工，按小组行动，服从指挥。</w:t>
      </w:r>
    </w:p>
    <w:p>
      <w:pPr>
        <w:ind w:firstLine="480"/>
        <w:rPr>
          <w:b/>
          <w:bCs/>
        </w:rPr>
      </w:pPr>
      <w:r>
        <w:rPr>
          <w:rFonts w:hint="eastAsia"/>
          <w:b/>
          <w:bCs/>
          <w:lang w:eastAsia="zh-CN"/>
        </w:rPr>
        <w:t>（</w:t>
      </w:r>
      <w:r>
        <w:rPr>
          <w:rFonts w:hint="eastAsia"/>
          <w:b/>
          <w:bCs/>
          <w:lang w:val="en-US" w:eastAsia="zh-CN"/>
        </w:rPr>
        <w:t>二</w:t>
      </w:r>
      <w:r>
        <w:rPr>
          <w:rFonts w:hint="eastAsia"/>
          <w:b/>
          <w:bCs/>
          <w:lang w:eastAsia="zh-CN"/>
        </w:rPr>
        <w:t>）</w:t>
      </w:r>
      <w:r>
        <w:rPr>
          <w:b/>
          <w:bCs/>
        </w:rPr>
        <w:t>应急响应：</w:t>
      </w:r>
    </w:p>
    <w:p>
      <w:pPr>
        <w:ind w:firstLine="480"/>
      </w:pPr>
      <w:r>
        <w:rPr>
          <w:rFonts w:hint="eastAsia"/>
          <w:lang w:val="en-US" w:eastAsia="zh-CN"/>
        </w:rPr>
        <w:t>1、</w:t>
      </w:r>
      <w:r>
        <w:t>当发生交通事故后，根据应急程序，应急救援小组在得到有关通知后立即作出应急响应，保证在最短时间内赶到事发地点，积极采取措施控制事态的发展，并及时向各级应急领导小组报告。</w:t>
      </w:r>
    </w:p>
    <w:p>
      <w:pPr>
        <w:ind w:firstLine="480"/>
      </w:pPr>
      <w:r>
        <w:rPr>
          <w:rFonts w:hint="eastAsia"/>
          <w:lang w:val="en-US" w:eastAsia="zh-CN"/>
        </w:rPr>
        <w:t>2、</w:t>
      </w:r>
      <w:r>
        <w:t>在救援中要千方百计防止事故扩大，减少人员伤亡和财产损失。</w:t>
      </w:r>
    </w:p>
    <w:p>
      <w:pPr>
        <w:ind w:firstLine="480"/>
      </w:pPr>
      <w:r>
        <w:rPr>
          <w:rFonts w:hint="eastAsia"/>
          <w:lang w:val="en-US" w:eastAsia="zh-CN"/>
        </w:rPr>
        <w:t>3、</w:t>
      </w:r>
      <w:r>
        <w:t>严格执行有关救援规程和规定，严禁救援过程中的违章指挥和冒险作业，避免救护中的伤亡和财产损失。</w:t>
      </w:r>
    </w:p>
    <w:p>
      <w:pPr>
        <w:ind w:firstLine="480"/>
      </w:pPr>
      <w:r>
        <w:rPr>
          <w:rFonts w:hint="eastAsia"/>
          <w:lang w:val="en-US" w:eastAsia="zh-CN"/>
        </w:rPr>
        <w:t>4、</w:t>
      </w:r>
      <w:r>
        <w:t>在应急响应过程中要积极联系各方，以求获得各方的支持和协助，必要时向兄弟单位和地方求助。</w:t>
      </w:r>
    </w:p>
    <w:p>
      <w:pPr>
        <w:ind w:firstLine="480"/>
      </w:pPr>
      <w:r>
        <w:rPr>
          <w:rFonts w:hint="eastAsia"/>
          <w:lang w:val="en-US" w:eastAsia="zh-CN"/>
        </w:rPr>
        <w:t>5、</w:t>
      </w:r>
      <w:r>
        <w:t>事故及紧急情况得到遏制后，注意保护事故现场，不得故意破坏事故现场，毁灭有关证据，并按相关规定开展事故调查处理，一般事故，由事故发生单位将事故调查处理意见上报指挥部。</w:t>
      </w:r>
    </w:p>
    <w:p>
      <w:pPr>
        <w:ind w:firstLine="480"/>
        <w:rPr>
          <w:b/>
          <w:bCs/>
        </w:rPr>
      </w:pPr>
      <w:r>
        <w:rPr>
          <w:rFonts w:hint="eastAsia"/>
          <w:b/>
          <w:bCs/>
          <w:lang w:eastAsia="zh-CN"/>
        </w:rPr>
        <w:t>（</w:t>
      </w:r>
      <w:r>
        <w:rPr>
          <w:rFonts w:hint="eastAsia"/>
          <w:b/>
          <w:bCs/>
          <w:lang w:val="en-US" w:eastAsia="zh-CN"/>
        </w:rPr>
        <w:t>三</w:t>
      </w:r>
      <w:r>
        <w:rPr>
          <w:rFonts w:hint="eastAsia"/>
          <w:b/>
          <w:bCs/>
          <w:lang w:eastAsia="zh-CN"/>
        </w:rPr>
        <w:t>）</w:t>
      </w:r>
      <w:r>
        <w:rPr>
          <w:b/>
          <w:bCs/>
        </w:rPr>
        <w:t>应急措施：</w:t>
      </w:r>
    </w:p>
    <w:p>
      <w:pPr>
        <w:ind w:firstLine="480"/>
      </w:pPr>
      <w:r>
        <w:rPr>
          <w:rFonts w:hint="eastAsia"/>
          <w:lang w:val="en-US" w:eastAsia="zh-CN"/>
        </w:rPr>
        <w:t>1、</w:t>
      </w:r>
      <w:r>
        <w:t>保护事故现场：</w:t>
      </w:r>
    </w:p>
    <w:p>
      <w:pPr>
        <w:ind w:firstLine="480"/>
      </w:pPr>
      <w:r>
        <w:rPr>
          <w:rFonts w:hint="eastAsia"/>
          <w:lang w:eastAsia="zh-CN"/>
        </w:rPr>
        <w:t>（</w:t>
      </w:r>
      <w:r>
        <w:rPr>
          <w:rFonts w:hint="eastAsia"/>
          <w:lang w:val="en-US" w:eastAsia="zh-CN"/>
        </w:rPr>
        <w:t>1</w:t>
      </w:r>
      <w:r>
        <w:rPr>
          <w:rFonts w:hint="eastAsia"/>
          <w:lang w:eastAsia="zh-CN"/>
        </w:rPr>
        <w:t>）</w:t>
      </w:r>
      <w:r>
        <w:rPr>
          <w:rFonts w:hint="eastAsia"/>
        </w:rPr>
        <w:t>防火灭火、排除隐患：交通事故发生后，现场或救援人员应尽快将仍在转动的发动机熄火，切断电源，封闭油箱以防着火，对已发生的火灾要立即用车上和过往车辆上的灭火器扑灭，同时严禁在事故现场内燃火、用火，出事车辆的车轮下，应放置石块之类的障碍物以防止滑坡，对车上处于危险状况的货物应及时排除或转移。</w:t>
      </w:r>
    </w:p>
    <w:p>
      <w:pPr>
        <w:ind w:firstLine="480"/>
      </w:pPr>
      <w:r>
        <w:rPr>
          <w:rFonts w:hint="eastAsia"/>
          <w:lang w:eastAsia="zh-CN"/>
        </w:rPr>
        <w:t>（</w:t>
      </w:r>
      <w:r>
        <w:rPr>
          <w:rFonts w:hint="eastAsia"/>
          <w:lang w:val="en-US" w:eastAsia="zh-CN"/>
        </w:rPr>
        <w:t>2</w:t>
      </w:r>
      <w:r>
        <w:rPr>
          <w:rFonts w:hint="eastAsia"/>
          <w:lang w:eastAsia="zh-CN"/>
        </w:rPr>
        <w:t>）</w:t>
      </w:r>
      <w:r>
        <w:rPr>
          <w:rFonts w:hint="eastAsia"/>
        </w:rPr>
        <w:t>保护现场、协助勘查：对现场内的尸体及各种散落物和痕迹应立刻严加保护，不许被随意挪动或擦掉，必须移走的尸体、伤员或危险物品，须做好标记，画上体位线，对如血迹之类易于消失的痕迹应加盖保护物等。现场勘查人员赶到后，负责保护现场的人员应主动介绍情况，对挪动情况加以详细说明，协助进行现场勘查。</w:t>
      </w:r>
    </w:p>
    <w:p>
      <w:pPr>
        <w:ind w:firstLine="480"/>
      </w:pPr>
      <w:r>
        <w:rPr>
          <w:rFonts w:hint="eastAsia"/>
          <w:lang w:eastAsia="zh-CN"/>
        </w:rPr>
        <w:t>（</w:t>
      </w:r>
      <w:r>
        <w:rPr>
          <w:rFonts w:hint="eastAsia"/>
          <w:lang w:val="en-US" w:eastAsia="zh-CN"/>
        </w:rPr>
        <w:t>3</w:t>
      </w:r>
      <w:r>
        <w:rPr>
          <w:rFonts w:hint="eastAsia"/>
          <w:lang w:eastAsia="zh-CN"/>
        </w:rPr>
        <w:t>）</w:t>
      </w:r>
      <w:r>
        <w:rPr>
          <w:rFonts w:hint="eastAsia"/>
        </w:rPr>
        <w:t>维护现场秩序、保护公私财物：肇事车辆装载的货物和死伤人员失落遗留的财物，应专门派人在做好标记的前提下统一收管登记，防止坏人趁火打劫、捣乱、制造事端。</w:t>
      </w:r>
    </w:p>
    <w:p>
      <w:pPr>
        <w:ind w:firstLine="480"/>
      </w:pPr>
      <w:r>
        <w:rPr>
          <w:rFonts w:hint="eastAsia"/>
          <w:lang w:eastAsia="zh-CN"/>
        </w:rPr>
        <w:t>（</w:t>
      </w:r>
      <w:r>
        <w:rPr>
          <w:rFonts w:hint="eastAsia"/>
          <w:lang w:val="en-US" w:eastAsia="zh-CN"/>
        </w:rPr>
        <w:t>4</w:t>
      </w:r>
      <w:r>
        <w:rPr>
          <w:rFonts w:hint="eastAsia"/>
          <w:lang w:eastAsia="zh-CN"/>
        </w:rPr>
        <w:t>）</w:t>
      </w:r>
      <w:r>
        <w:rPr>
          <w:rFonts w:hint="eastAsia"/>
        </w:rPr>
        <w:t>协助疏导交通、维护交通秩序：交通事故现场常占据一定路面，加上场外围观群众的堵塞，会严重影响交通安全与畅通，应组织人员协助交通干警疏散围观群众，打通车行道，指挥密集的过往车辆，对无需停留使用的车辆应令其尽快开走。</w:t>
      </w:r>
    </w:p>
    <w:p>
      <w:pPr>
        <w:ind w:firstLine="480"/>
      </w:pPr>
      <w:r>
        <w:rPr>
          <w:rFonts w:hint="eastAsia"/>
          <w:lang w:val="en-US" w:eastAsia="zh-CN"/>
        </w:rPr>
        <w:t>2、</w:t>
      </w:r>
      <w:r>
        <w:t>组织呼救、报案救援：指挥小组或临时指挥小组应尽快派出可靠人员，利用手中最有效的交通工具和通信器材向附近的公安交警管理部门、医疗急救部门发出紧急呼救和救援信息，以求尽早得到救援和协助。</w:t>
      </w:r>
    </w:p>
    <w:p>
      <w:pPr>
        <w:ind w:firstLine="480"/>
      </w:pPr>
      <w:r>
        <w:rPr>
          <w:rFonts w:hint="eastAsia"/>
          <w:lang w:val="en-US" w:eastAsia="zh-CN"/>
        </w:rPr>
        <w:t>3、</w:t>
      </w:r>
      <w:r>
        <w:t>周密组织抢救和转运伤员：现场救护就是事故现场采取一系列紧急有效措施，挽救伤员生命，防止伤情恶化，减轻疼痛，预防并发症，并迅速妥善地把伤员护送到医院。</w:t>
      </w:r>
    </w:p>
    <w:p>
      <w:pPr>
        <w:ind w:firstLine="480"/>
      </w:pPr>
      <w:r>
        <w:rPr>
          <w:rFonts w:hint="eastAsia"/>
          <w:lang w:val="en-US" w:eastAsia="zh-CN"/>
        </w:rPr>
        <w:t>4、</w:t>
      </w:r>
      <w:r>
        <w:t>处理善后、汇报情况：事故现场抢救结束，伤亡人员转运完毕后，指挥小组或临时指挥小组应将现场集中看管的物品移交给有关部门，并代表全体参与救护的人员向政府部门和赶到现场的公安交通管理部门领导介绍情况、汇报工作。</w:t>
      </w:r>
    </w:p>
    <w:p>
      <w:pPr>
        <w:spacing w:before="0" w:after="0" w:line="240" w:lineRule="auto"/>
        <w:ind w:firstLine="0" w:firstLineChars="0"/>
        <w:jc w:val="left"/>
      </w:pPr>
      <w:r>
        <w:br w:type="page"/>
      </w:r>
    </w:p>
    <w:p>
      <w:pPr>
        <w:pStyle w:val="6"/>
        <w:bidi w:val="0"/>
      </w:pPr>
      <w:bookmarkStart w:id="547" w:name="_Toc116121503"/>
      <w:bookmarkStart w:id="548" w:name="_Toc118293281"/>
      <w:bookmarkStart w:id="549" w:name="_Toc31047"/>
      <w:r>
        <w:rPr>
          <w:rFonts w:hint="eastAsia"/>
          <w:lang w:val="en-US" w:eastAsia="zh-CN"/>
        </w:rPr>
        <w:t>（三）</w:t>
      </w:r>
      <w:r>
        <w:rPr>
          <w:rFonts w:hint="eastAsia"/>
        </w:rPr>
        <w:t>运输车辆突发起火应急预案</w:t>
      </w:r>
      <w:bookmarkEnd w:id="547"/>
      <w:bookmarkEnd w:id="548"/>
      <w:bookmarkEnd w:id="549"/>
    </w:p>
    <w:p>
      <w:pPr>
        <w:ind w:firstLine="480"/>
        <w:rPr>
          <w:b/>
          <w:bCs/>
        </w:rPr>
      </w:pPr>
      <w:r>
        <w:rPr>
          <w:rFonts w:hint="eastAsia"/>
          <w:b/>
          <w:bCs/>
        </w:rPr>
        <w:t>（一）起火原因分析</w:t>
      </w:r>
    </w:p>
    <w:p>
      <w:pPr>
        <w:ind w:firstLine="480"/>
      </w:pPr>
      <w:r>
        <w:t>1</w:t>
      </w:r>
      <w:r>
        <w:rPr>
          <w:rFonts w:hint="eastAsia"/>
          <w:lang w:eastAsia="zh-CN"/>
        </w:rPr>
        <w:t>、</w:t>
      </w:r>
      <w:r>
        <w:t>内部电气短路：常见的现象为电线相接连或相碰撞，电流突然增大，导致电线表面绝缘层燃烧引起火灾。造成内部短路原因有以下几种：</w:t>
      </w:r>
    </w:p>
    <w:p>
      <w:pPr>
        <w:ind w:firstLine="480"/>
      </w:pPr>
      <w:r>
        <w:rPr>
          <w:rFonts w:hint="eastAsia"/>
        </w:rPr>
        <w:t>（</w:t>
      </w:r>
      <w:r>
        <w:t>1）车辆的绝缘电线电缆不符合车辆自身的环境和特定要求，车辆在驾驶时因震动、腐蚀或者局部高温而失去绝缘能力引起短路。</w:t>
      </w:r>
    </w:p>
    <w:p>
      <w:pPr>
        <w:ind w:firstLine="480"/>
      </w:pPr>
      <w:r>
        <w:rPr>
          <w:rFonts w:hint="eastAsia"/>
        </w:rPr>
        <w:t>（</w:t>
      </w:r>
      <w:r>
        <w:t>2）因电线固定强度不够和布线不合理，导致长时间的摩擦或在机械力的作用下断落相接触、碰撞。</w:t>
      </w:r>
    </w:p>
    <w:p>
      <w:pPr>
        <w:ind w:firstLine="480"/>
      </w:pPr>
      <w:r>
        <w:rPr>
          <w:rFonts w:hint="eastAsia"/>
        </w:rPr>
        <w:t>（</w:t>
      </w:r>
      <w:r>
        <w:t>3）未按照指定位置设置电源线造成短路。</w:t>
      </w:r>
    </w:p>
    <w:p>
      <w:pPr>
        <w:ind w:firstLine="480"/>
      </w:pPr>
      <w:r>
        <w:rPr>
          <w:rFonts w:hint="eastAsia"/>
        </w:rPr>
        <w:t>（</w:t>
      </w:r>
      <w:r>
        <w:t>4）人为错误接线导致短路。</w:t>
      </w:r>
    </w:p>
    <w:p>
      <w:pPr>
        <w:ind w:firstLine="480"/>
      </w:pPr>
      <w:r>
        <w:t>2</w:t>
      </w:r>
      <w:r>
        <w:rPr>
          <w:rFonts w:hint="eastAsia"/>
          <w:lang w:eastAsia="zh-CN"/>
        </w:rPr>
        <w:t>、</w:t>
      </w:r>
      <w:r>
        <w:t>内部器件过热或者产生高温引起火灾：车辆电器线路接点连接不牢靠，导致局部电阻过大产生高温使导线或接点熔化，引燃周围的可燃物，例如发电机接线柱因连接不牢靠产生高温，引燃周围的杂物、油污发生火灾等。</w:t>
      </w:r>
    </w:p>
    <w:p>
      <w:pPr>
        <w:ind w:firstLine="480"/>
      </w:pPr>
      <w:r>
        <w:t>3</w:t>
      </w:r>
      <w:r>
        <w:rPr>
          <w:rFonts w:hint="eastAsia"/>
          <w:lang w:eastAsia="zh-CN"/>
        </w:rPr>
        <w:t>、</w:t>
      </w:r>
      <w:r>
        <w:t>油路系统故障引发火灾：车辆大多以汽油或者柴油作为燃料，使其在内燃机内燃烧产生动能，驱动车辆行驶，汽油及柴油极易燃烧，所以车辆油路发生故障极易引起火灾的发生，油路系统故障引起火灾的原因主要有以下几种：</w:t>
      </w:r>
    </w:p>
    <w:p>
      <w:pPr>
        <w:ind w:firstLine="480"/>
      </w:pPr>
      <w:r>
        <w:rPr>
          <w:rFonts w:hint="eastAsia"/>
        </w:rPr>
        <w:t>（</w:t>
      </w:r>
      <w:r>
        <w:t>1）气缸内燃油不充分燃烧引起火灾充入发动机的混合气体过浓或气缸窜油时，燃油在发动机气缸内不能完全充分燃烧，排放时排气管排出浓烟火星，若地面上或排气管上方有油污或其他易燃物品就可能引起火灾。</w:t>
      </w:r>
    </w:p>
    <w:p>
      <w:pPr>
        <w:ind w:firstLine="480"/>
      </w:pPr>
      <w:r>
        <w:rPr>
          <w:rFonts w:hint="eastAsia"/>
        </w:rPr>
        <w:t>（</w:t>
      </w:r>
      <w:r>
        <w:t>2）输油管路接口松动或管路破损漏油引起火灾：车辆供油系统主要有油箱、油管、油泵和化油器等部件组成，在车辆使用过程中会由于腐蚀、碰撞、震动、老化等原因出现管路接头松动，油路破损开裂等现象，使燃油泄露，与空气形成爆炸性气体，遇到明火或接触电气线路火花极易发生燃烧或爆炸，若此时泄漏不止，势必造成严重的火灾事故。</w:t>
      </w:r>
    </w:p>
    <w:p>
      <w:pPr>
        <w:ind w:firstLine="480"/>
      </w:pPr>
      <w:r>
        <w:t>4</w:t>
      </w:r>
      <w:r>
        <w:rPr>
          <w:rFonts w:hint="eastAsia"/>
          <w:lang w:eastAsia="zh-CN"/>
        </w:rPr>
        <w:t>、</w:t>
      </w:r>
      <w:r>
        <w:t>机械变形：车辆发生撞车或翻车所引起的机械变形可能导致车辆油路系统破损及电路短路而引起火灾，其具体原因有以下几种：</w:t>
      </w:r>
    </w:p>
    <w:p>
      <w:pPr>
        <w:ind w:firstLine="480"/>
      </w:pPr>
      <w:r>
        <w:rPr>
          <w:rFonts w:hint="eastAsia"/>
        </w:rPr>
        <w:t>（</w:t>
      </w:r>
      <w:r>
        <w:t>1）撞车后，易使车体油箱、油泵、油管破裂，造成喷油，遇发动机高温或电火花即可起火。</w:t>
      </w:r>
    </w:p>
    <w:p>
      <w:pPr>
        <w:ind w:firstLine="480"/>
      </w:pPr>
      <w:r>
        <w:rPr>
          <w:rFonts w:hint="eastAsia"/>
        </w:rPr>
        <w:t>（</w:t>
      </w:r>
      <w:r>
        <w:t>2）高速行驶的车辆发生碰撞时，由于冲击力比较大，从而导致供油系统直接发生碰撞损坏，造成爆炸起火。</w:t>
      </w:r>
    </w:p>
    <w:p>
      <w:pPr>
        <w:ind w:firstLine="480"/>
      </w:pPr>
      <w:r>
        <w:rPr>
          <w:rFonts w:hint="eastAsia"/>
        </w:rPr>
        <w:t>（</w:t>
      </w:r>
      <w:r>
        <w:t>3）车辆撞击后，其外壳发生变形极易使车辆本身的电气线路绝缘破损，从而导致车辆电气线路短路引起火灾。</w:t>
      </w:r>
    </w:p>
    <w:p>
      <w:pPr>
        <w:ind w:firstLine="480"/>
      </w:pPr>
      <w:r>
        <w:rPr>
          <w:rFonts w:hint="eastAsia"/>
        </w:rPr>
        <w:t>（</w:t>
      </w:r>
      <w:r>
        <w:t>4）运载化学危险品等不稳定物质因撞击起火。</w:t>
      </w:r>
    </w:p>
    <w:p>
      <w:pPr>
        <w:ind w:firstLine="480"/>
      </w:pPr>
      <w:r>
        <w:rPr>
          <w:rFonts w:hint="eastAsia"/>
        </w:rPr>
        <w:t>（</w:t>
      </w:r>
      <w:r>
        <w:t>5）因受撞击，车内易燃物遇发动机高温或接触高温的排气管而起火。</w:t>
      </w:r>
    </w:p>
    <w:p>
      <w:pPr>
        <w:ind w:firstLine="480"/>
      </w:pPr>
      <w:r>
        <w:t>5</w:t>
      </w:r>
      <w:r>
        <w:rPr>
          <w:rFonts w:hint="eastAsia"/>
          <w:lang w:eastAsia="zh-CN"/>
        </w:rPr>
        <w:t>、</w:t>
      </w:r>
      <w:r>
        <w:t>机械摩擦：常见原因具体如下：</w:t>
      </w:r>
    </w:p>
    <w:p>
      <w:pPr>
        <w:ind w:firstLine="480"/>
      </w:pPr>
      <w:r>
        <w:rPr>
          <w:rFonts w:hint="eastAsia"/>
        </w:rPr>
        <w:t>（</w:t>
      </w:r>
      <w:r>
        <w:t>1）轮胎起火：由车辆轮胎引起火灾根据车辆轮胎构成材料的理化性质和以往火灾事故分析，轮胎起火的主要原因具体如下：</w:t>
      </w:r>
    </w:p>
    <w:p>
      <w:pPr>
        <w:ind w:firstLine="480"/>
      </w:pPr>
      <w:r>
        <w:rPr>
          <w:rFonts w:hint="eastAsia"/>
        </w:rPr>
        <w:t>①由于轮胎在超标准负荷情况下长时间运行，内部积热引起自燃起火。</w:t>
      </w:r>
    </w:p>
    <w:p>
      <w:pPr>
        <w:ind w:firstLine="480"/>
      </w:pPr>
      <w:r>
        <w:rPr>
          <w:rFonts w:hint="eastAsia"/>
        </w:rPr>
        <w:t>②由于刹车咬死，刹车片不灵，高速运转后摩擦产生高温，传递给轮胎，也易引起轮胎受热自燃。</w:t>
      </w:r>
    </w:p>
    <w:p>
      <w:pPr>
        <w:ind w:firstLine="480"/>
      </w:pPr>
      <w:r>
        <w:rPr>
          <w:rFonts w:hint="eastAsia"/>
        </w:rPr>
        <w:t>（</w:t>
      </w:r>
      <w:r>
        <w:t>2）由发动机润滑系统引起火灾：车辆的发动机润滑系统缺油，机件相互接触并相对运动，摩擦产生高温，当触及燃油等可燃物时引起火灾，发动机内轴承、活塞、汽缸壁、齿轮箱因磨损或制造上的缺陷，也会导致过度的摩擦生热，最后导致车辆起火。</w:t>
      </w:r>
    </w:p>
    <w:p>
      <w:pPr>
        <w:ind w:firstLine="480"/>
        <w:rPr>
          <w:b/>
          <w:bCs/>
        </w:rPr>
      </w:pPr>
      <w:r>
        <w:rPr>
          <w:rFonts w:hint="eastAsia"/>
          <w:b/>
          <w:bCs/>
        </w:rPr>
        <w:t>（二）应急措施</w:t>
      </w:r>
    </w:p>
    <w:p>
      <w:pPr>
        <w:ind w:firstLine="480"/>
      </w:pPr>
      <w:r>
        <w:t>1</w:t>
      </w:r>
      <w:r>
        <w:rPr>
          <w:rFonts w:hint="eastAsia"/>
          <w:lang w:eastAsia="zh-CN"/>
        </w:rPr>
        <w:t>、</w:t>
      </w:r>
      <w:r>
        <w:t>按照快速就近原则出动消防力量，缩短到达火场的时间，就近力量部署，争取早到场，是我们灭火的一条原则，对交通道路而言，尤其是在高速公路等偏远地区，没有室外消火栓，没有天然水池，最早出水就是水罐消防车上载的水，因此日常就要做好应急准备工作。交通道路都分了不同的地段，各地段的长度不一，不能死板地拘泥于哪个地段车辆火灾就由管辖该地段消防救援部门去灭火，而应从整体上予以考虑，加强各消防救援队联系、协作、配合。确定距火场最近的消防力量作为第一出动，以缩短到达火场的时间，争取早出水，尽快扑灭火灾。</w:t>
      </w:r>
    </w:p>
    <w:p>
      <w:pPr>
        <w:ind w:firstLine="480"/>
      </w:pPr>
      <w:r>
        <w:t>2</w:t>
      </w:r>
      <w:r>
        <w:rPr>
          <w:rFonts w:hint="eastAsia"/>
          <w:lang w:eastAsia="zh-CN"/>
        </w:rPr>
        <w:t>、</w:t>
      </w:r>
      <w:r>
        <w:t>迅速疏散、抢救被困人员：当多辆车相撞发生火灾时，车身变形、车门损坏常造成座舱内人员无法脱身，消防员要根据现场具体情况，可在喷雾水流保护下利用吊车、切割机等设备尽快救出被困人员。</w:t>
      </w:r>
    </w:p>
    <w:p>
      <w:pPr>
        <w:ind w:firstLine="480"/>
      </w:pPr>
      <w:r>
        <w:t>3</w:t>
      </w:r>
      <w:r>
        <w:rPr>
          <w:rFonts w:hint="eastAsia"/>
          <w:lang w:eastAsia="zh-CN"/>
        </w:rPr>
        <w:t>、</w:t>
      </w:r>
      <w:r>
        <w:t>控制火势扩大，尽快扑灭火灾：在车辆火灾的扑灭过程中，也应本着先控制后消灭的原则，考虑到受水源限制要争取速战速决，对较大的火场要注意控制火势，保护未燃车辆，主要是对车辆的油箱、轮胎利用水流冷却。因为行驶的车辆停驶后，随着通风条件的下降、轮胎因摩擦所蓄积的热量导致轮胎温度的不断升高，往往引起轮胎自燃或爆炸，威胁消防员的生命安全。</w:t>
      </w:r>
    </w:p>
    <w:p>
      <w:pPr>
        <w:ind w:firstLine="480"/>
      </w:pPr>
      <w:r>
        <w:t>4</w:t>
      </w:r>
      <w:r>
        <w:rPr>
          <w:rFonts w:hint="eastAsia"/>
          <w:lang w:eastAsia="zh-CN"/>
        </w:rPr>
        <w:t>、</w:t>
      </w:r>
      <w:r>
        <w:t>抢救伤员，清理现场，向有关部门汇报相关情况：一旦在车辆起火事故中发生了烧烫伤事故，如属于轻度受伤可利用自救常识及时进行救治，如发生较严重的烧烫伤事故应立即送往最近的医院处理救治。</w:t>
      </w:r>
    </w:p>
    <w:p>
      <w:pPr>
        <w:ind w:firstLine="480"/>
        <w:rPr>
          <w:b/>
          <w:bCs/>
        </w:rPr>
      </w:pPr>
      <w:r>
        <w:rPr>
          <w:rFonts w:hint="eastAsia"/>
          <w:b/>
          <w:bCs/>
        </w:rPr>
        <w:t>（三）预防措施</w:t>
      </w:r>
    </w:p>
    <w:p>
      <w:pPr>
        <w:ind w:firstLine="480"/>
      </w:pPr>
      <w:r>
        <w:t>1</w:t>
      </w:r>
      <w:r>
        <w:rPr>
          <w:rFonts w:hint="eastAsia"/>
          <w:lang w:eastAsia="zh-CN"/>
        </w:rPr>
        <w:t>、</w:t>
      </w:r>
      <w:r>
        <w:t>驾驶员要定期对车辆进行安全检查，特别要注意检查点火开关、蓄电池等大电流的电器件接线柱、导线的连接、绝缘等是否可靠，经常检查发动机及底盘是否有漏油现象。</w:t>
      </w:r>
    </w:p>
    <w:p>
      <w:pPr>
        <w:ind w:firstLine="480"/>
      </w:pPr>
      <w:r>
        <w:t>2</w:t>
      </w:r>
      <w:r>
        <w:rPr>
          <w:rFonts w:hint="eastAsia"/>
          <w:lang w:eastAsia="zh-CN"/>
        </w:rPr>
        <w:t>、</w:t>
      </w:r>
      <w:r>
        <w:t>防止电线短路，闻到胶皮臭味或仪表台附近冒烟时应迅速靠边停车熄火，断开全车总电源开关，查找原因排除故障，防止发动机回火，不违章操作。</w:t>
      </w:r>
    </w:p>
    <w:p>
      <w:pPr>
        <w:ind w:firstLine="480"/>
      </w:pPr>
      <w:r>
        <w:t>3</w:t>
      </w:r>
      <w:r>
        <w:rPr>
          <w:rFonts w:hint="eastAsia"/>
          <w:lang w:eastAsia="zh-CN"/>
        </w:rPr>
        <w:t>、</w:t>
      </w:r>
      <w:r>
        <w:t>日常生活中的打火机、摩丝等也是构成车辆火灾的危险品，不能放在车内容易被太阳光线聚焦的部位。</w:t>
      </w:r>
    </w:p>
    <w:p>
      <w:pPr>
        <w:ind w:firstLine="480"/>
      </w:pPr>
      <w:r>
        <w:t>4</w:t>
      </w:r>
      <w:r>
        <w:rPr>
          <w:rFonts w:hint="eastAsia"/>
          <w:lang w:eastAsia="zh-CN"/>
        </w:rPr>
        <w:t>、</w:t>
      </w:r>
      <w:r>
        <w:t>保持发动机舱整洁，不要积有太多的污垢。</w:t>
      </w:r>
    </w:p>
    <w:p>
      <w:pPr>
        <w:spacing w:before="0" w:after="0" w:line="240" w:lineRule="auto"/>
        <w:ind w:firstLine="0" w:firstLineChars="0"/>
        <w:jc w:val="left"/>
      </w:pPr>
      <w:r>
        <w:br w:type="page"/>
      </w:r>
    </w:p>
    <w:p>
      <w:pPr>
        <w:pStyle w:val="6"/>
        <w:bidi w:val="0"/>
      </w:pPr>
      <w:bookmarkStart w:id="550" w:name="_Toc118293282"/>
      <w:bookmarkStart w:id="551" w:name="_Toc116121504"/>
      <w:bookmarkStart w:id="552" w:name="_Toc9068"/>
      <w:r>
        <w:rPr>
          <w:rFonts w:hint="eastAsia"/>
          <w:lang w:val="en-US" w:eastAsia="zh-CN"/>
        </w:rPr>
        <w:t>（四）</w:t>
      </w:r>
      <w:r>
        <w:rPr>
          <w:rFonts w:hint="eastAsia"/>
        </w:rPr>
        <w:t>运输过程其他事件应急措施</w:t>
      </w:r>
      <w:bookmarkEnd w:id="550"/>
      <w:bookmarkEnd w:id="551"/>
      <w:bookmarkEnd w:id="552"/>
    </w:p>
    <w:p>
      <w:pPr>
        <w:ind w:firstLine="480"/>
        <w:rPr>
          <w:b/>
          <w:bCs/>
        </w:rPr>
      </w:pPr>
      <w:r>
        <w:rPr>
          <w:rFonts w:hint="eastAsia"/>
          <w:b/>
          <w:bCs/>
        </w:rPr>
        <w:t>（一）天气突变应急措施</w:t>
      </w:r>
    </w:p>
    <w:p>
      <w:pPr>
        <w:ind w:firstLine="480"/>
      </w:pPr>
      <w:r>
        <w:rPr>
          <w:rFonts w:hint="eastAsia"/>
        </w:rPr>
        <w:t>如在运输作业期间天气突变，如大暴雨暴雪等情况时，及时对货物进行遮盖并对车辆采取防滑措施，保证货物安全运抵指定地点。</w:t>
      </w:r>
    </w:p>
    <w:p>
      <w:pPr>
        <w:ind w:firstLine="480"/>
        <w:rPr>
          <w:b/>
          <w:bCs/>
        </w:rPr>
      </w:pPr>
      <w:r>
        <w:rPr>
          <w:rFonts w:hint="eastAsia"/>
          <w:b/>
          <w:bCs/>
        </w:rPr>
        <w:t>（二）遭遇盗窃应急措施</w:t>
      </w:r>
    </w:p>
    <w:p>
      <w:pPr>
        <w:ind w:firstLine="480"/>
      </w:pPr>
      <w:r>
        <w:rPr>
          <w:rFonts w:hint="eastAsia"/>
        </w:rPr>
        <w:t>运输过程中或抵达目的地后发现现金或货物被盗，驾驶员或随车人员应就近向当地公安机关报案，同时报告本单位领导；在公安人员到来之前保护好现场，公安机关现场勘查结束后，清点核对被盗现金或货物数目，协助公安机关调查取证工作。</w:t>
      </w:r>
    </w:p>
    <w:p>
      <w:pPr>
        <w:ind w:firstLine="480"/>
        <w:rPr>
          <w:b/>
          <w:bCs/>
        </w:rPr>
      </w:pPr>
      <w:r>
        <w:rPr>
          <w:rFonts w:hint="eastAsia"/>
          <w:b/>
          <w:bCs/>
        </w:rPr>
        <w:t>（三）抢劫事故应急措施</w:t>
      </w:r>
    </w:p>
    <w:p>
      <w:pPr>
        <w:ind w:firstLine="480"/>
      </w:pPr>
      <w:r>
        <w:rPr>
          <w:rFonts w:hint="eastAsia"/>
        </w:rPr>
        <w:t>运输过程中发生抢劫事件时，驾驶员及随车人员应保持冷静，避免过激行为，伺机发出呼救信号或拨打</w:t>
      </w:r>
      <w:r>
        <w:t>110报警电话，在确保人身安全情况下，尽量拖延时间争取救援。若抢劫行为已经发生，有人员伤亡应立即救助伤者，同时保护好犯罪现场，配合公安部门做好现场勘查工作，积极提供犯罪嫌疑人特征线索协助破案。</w:t>
      </w:r>
    </w:p>
    <w:p>
      <w:pPr>
        <w:ind w:firstLine="480"/>
        <w:rPr>
          <w:b/>
          <w:bCs/>
        </w:rPr>
      </w:pPr>
      <w:r>
        <w:rPr>
          <w:rFonts w:hint="eastAsia"/>
          <w:b/>
          <w:bCs/>
        </w:rPr>
        <w:t>（四）道路紧急施工应急措施</w:t>
      </w:r>
    </w:p>
    <w:p>
      <w:pPr>
        <w:ind w:firstLine="480"/>
      </w:pPr>
      <w:r>
        <w:rPr>
          <w:rFonts w:hint="eastAsia"/>
        </w:rPr>
        <w:t>我公司将在货物运输经过的路线进行反复勘察，并在设备启运前再一次确定道路状况，掌握运输路线的详细资料。如遇到难以完全避免因道路紧急开挖施工导致的通行受阻情况，现场经理应及时采取补救措施，协调内外部资源，及时提出运输路线整改方案，确保运输顺利通行。</w:t>
      </w:r>
    </w:p>
    <w:p>
      <w:pPr>
        <w:ind w:firstLine="480"/>
        <w:rPr>
          <w:b/>
          <w:bCs/>
        </w:rPr>
      </w:pPr>
      <w:r>
        <w:rPr>
          <w:rFonts w:hint="eastAsia"/>
          <w:b/>
          <w:bCs/>
        </w:rPr>
        <w:t>（五）道路运输高峰期应急措施</w:t>
      </w:r>
    </w:p>
    <w:p>
      <w:pPr>
        <w:ind w:firstLine="480"/>
      </w:pPr>
      <w:r>
        <w:rPr>
          <w:rFonts w:hint="eastAsia"/>
        </w:rPr>
        <w:t>在货物运输过程中遇到交通堵塞情况，服从当地交通主管部门的协调指挥，加强交通管制。如遇集市或重大集会，根据实际情况改变运输计划或更改运输路线，保证顺利通过；</w:t>
      </w:r>
    </w:p>
    <w:p>
      <w:pPr>
        <w:ind w:firstLine="480"/>
        <w:rPr>
          <w:b/>
          <w:bCs/>
        </w:rPr>
      </w:pPr>
      <w:r>
        <w:rPr>
          <w:rFonts w:hint="eastAsia"/>
          <w:b/>
          <w:bCs/>
        </w:rPr>
        <w:t>（六）货损、货差应急预案</w:t>
      </w:r>
    </w:p>
    <w:p>
      <w:pPr>
        <w:ind w:firstLine="480"/>
      </w:pPr>
      <w:r>
        <w:rPr>
          <w:rFonts w:hint="eastAsia"/>
        </w:rPr>
        <w:t>如遇此类异常情况发生时，则为我公司重大责任事故，为此将按重特大事故应急处理方案：</w:t>
      </w:r>
    </w:p>
    <w:p>
      <w:pPr>
        <w:ind w:firstLine="480"/>
      </w:pPr>
      <w:r>
        <w:t>1</w:t>
      </w:r>
      <w:r>
        <w:rPr>
          <w:rFonts w:hint="eastAsia"/>
          <w:lang w:eastAsia="zh-CN"/>
        </w:rPr>
        <w:t>、</w:t>
      </w:r>
      <w:r>
        <w:t>立即将情况报告采购人，取得合理处置。</w:t>
      </w:r>
    </w:p>
    <w:p>
      <w:pPr>
        <w:ind w:firstLine="480"/>
      </w:pPr>
      <w:r>
        <w:t>2</w:t>
      </w:r>
      <w:r>
        <w:rPr>
          <w:rFonts w:hint="eastAsia"/>
          <w:lang w:eastAsia="zh-CN"/>
        </w:rPr>
        <w:t>、</w:t>
      </w:r>
      <w:r>
        <w:t>由我公司技术安全部门牵头，组成赔付工作小组。</w:t>
      </w:r>
    </w:p>
    <w:p>
      <w:pPr>
        <w:ind w:firstLine="480"/>
      </w:pPr>
      <w:r>
        <w:t>3</w:t>
      </w:r>
      <w:r>
        <w:rPr>
          <w:rFonts w:hint="eastAsia"/>
          <w:lang w:eastAsia="zh-CN"/>
        </w:rPr>
        <w:t>、</w:t>
      </w:r>
      <w:r>
        <w:t>根据托运方指令，派驾驶技能优秀的驾驶员火速重装货物。</w:t>
      </w:r>
    </w:p>
    <w:p>
      <w:pPr>
        <w:ind w:firstLine="480"/>
      </w:pPr>
      <w:r>
        <w:t>4</w:t>
      </w:r>
      <w:r>
        <w:rPr>
          <w:rFonts w:hint="eastAsia"/>
          <w:lang w:eastAsia="zh-CN"/>
        </w:rPr>
        <w:t>、</w:t>
      </w:r>
      <w:r>
        <w:t>如货物在现场装车中出现货损、货差，协助采购单位取得商检、保险公司的相关证明，确保采购单位利益。</w:t>
      </w:r>
    </w:p>
    <w:p>
      <w:pPr>
        <w:rPr>
          <w:rFonts w:hint="eastAsia"/>
          <w:lang w:val="en-US" w:eastAsia="zh-CN"/>
        </w:rPr>
      </w:pPr>
      <w:bookmarkStart w:id="553" w:name="_Toc116121505"/>
      <w:bookmarkStart w:id="554" w:name="_Toc117181910"/>
      <w:bookmarkStart w:id="555" w:name="_Toc118293283"/>
      <w:r>
        <w:rPr>
          <w:rFonts w:hint="eastAsia"/>
          <w:lang w:val="en-US" w:eastAsia="zh-CN"/>
        </w:rPr>
        <w:br w:type="page"/>
      </w:r>
    </w:p>
    <w:p>
      <w:pPr>
        <w:pStyle w:val="4"/>
        <w:bidi w:val="0"/>
      </w:pPr>
      <w:bookmarkStart w:id="556" w:name="_Toc13746"/>
      <w:r>
        <w:rPr>
          <w:rFonts w:hint="eastAsia"/>
          <w:lang w:val="en-US" w:eastAsia="zh-CN"/>
        </w:rPr>
        <w:t xml:space="preserve">第九节  </w:t>
      </w:r>
      <w:r>
        <w:rPr>
          <w:rFonts w:hint="eastAsia"/>
        </w:rPr>
        <w:t>违约处罚措施</w:t>
      </w:r>
      <w:bookmarkEnd w:id="553"/>
      <w:bookmarkEnd w:id="554"/>
      <w:bookmarkEnd w:id="555"/>
      <w:bookmarkEnd w:id="556"/>
    </w:p>
    <w:p>
      <w:pPr>
        <w:pStyle w:val="55"/>
        <w:numPr>
          <w:ilvl w:val="0"/>
          <w:numId w:val="0"/>
        </w:numPr>
        <w:ind w:left="0" w:firstLine="420" w:firstLineChars="0"/>
      </w:pPr>
      <w:r>
        <w:rPr>
          <w:rFonts w:hint="eastAsia" w:cs="Times New Roman"/>
          <w:kern w:val="2"/>
          <w:sz w:val="28"/>
          <w:szCs w:val="20"/>
          <w:lang w:val="en-US" w:eastAsia="zh-CN" w:bidi="ar-SA"/>
        </w:rPr>
        <w:t>（一）</w:t>
      </w:r>
      <w:r>
        <w:rPr>
          <w:rFonts w:hint="eastAsia"/>
        </w:rPr>
        <w:t>执行相关的国家颁布执行的相关法律法规、规程规范及标准。</w:t>
      </w:r>
    </w:p>
    <w:p>
      <w:pPr>
        <w:pStyle w:val="55"/>
        <w:numPr>
          <w:ilvl w:val="0"/>
          <w:numId w:val="0"/>
        </w:numPr>
        <w:ind w:left="0" w:firstLine="420" w:firstLineChars="0"/>
      </w:pPr>
      <w:r>
        <w:rPr>
          <w:rFonts w:hint="eastAsia" w:cs="Times New Roman"/>
          <w:kern w:val="2"/>
          <w:sz w:val="28"/>
          <w:szCs w:val="20"/>
          <w:lang w:val="en-US" w:eastAsia="zh-CN" w:bidi="ar-SA"/>
        </w:rPr>
        <w:t>（二）</w:t>
      </w:r>
      <w:r>
        <w:rPr>
          <w:rFonts w:hint="eastAsia"/>
        </w:rPr>
        <w:t>我公司在提供货物时，若因自身原因造成进度、质量或货物损失，由我公司承担全部损失，并按采购人管理制度进行处罚。</w:t>
      </w:r>
    </w:p>
    <w:p>
      <w:pPr>
        <w:pStyle w:val="55"/>
        <w:numPr>
          <w:ilvl w:val="0"/>
          <w:numId w:val="0"/>
        </w:numPr>
        <w:ind w:left="0" w:firstLine="420" w:firstLineChars="0"/>
      </w:pPr>
      <w:r>
        <w:rPr>
          <w:rFonts w:hint="eastAsia" w:cs="Times New Roman"/>
          <w:kern w:val="2"/>
          <w:sz w:val="28"/>
          <w:szCs w:val="20"/>
          <w:lang w:val="en-US" w:eastAsia="zh-CN" w:bidi="ar-SA"/>
        </w:rPr>
        <w:t>（三）</w:t>
      </w:r>
      <w:r>
        <w:rPr>
          <w:rFonts w:hint="eastAsia"/>
        </w:rPr>
        <w:t>若公司提供货物时不服从采购人的管理制度或绩效考核不合格，采购人有权将我公司清退出库。</w:t>
      </w:r>
    </w:p>
    <w:p>
      <w:pPr>
        <w:pStyle w:val="55"/>
        <w:numPr>
          <w:ilvl w:val="0"/>
          <w:numId w:val="0"/>
        </w:numPr>
        <w:ind w:left="0" w:firstLine="420" w:firstLineChars="0"/>
      </w:pPr>
      <w:r>
        <w:rPr>
          <w:rFonts w:hint="eastAsia" w:cs="Times New Roman"/>
          <w:kern w:val="2"/>
          <w:sz w:val="28"/>
          <w:szCs w:val="20"/>
          <w:lang w:val="en-US" w:eastAsia="zh-CN" w:bidi="ar-SA"/>
        </w:rPr>
        <w:t>（四）</w:t>
      </w:r>
      <w:r>
        <w:rPr>
          <w:rFonts w:hint="eastAsia"/>
        </w:rPr>
        <w:t>合同签订后我单位将按照成交人投标文件中所投货物、服务进行验收，一旦发现虚假应标行为，可取消该我单位的成交资格，并保留追究其法律责任的权利。</w:t>
      </w:r>
    </w:p>
    <w:p>
      <w:pPr>
        <w:pStyle w:val="55"/>
        <w:numPr>
          <w:ilvl w:val="0"/>
          <w:numId w:val="0"/>
        </w:numPr>
        <w:ind w:left="0" w:firstLine="420" w:firstLineChars="0"/>
        <w:rPr>
          <w:b/>
          <w:bCs/>
        </w:rPr>
      </w:pPr>
      <w:r>
        <w:rPr>
          <w:rFonts w:hint="eastAsia"/>
          <w:lang w:val="en-US" w:eastAsia="zh-CN"/>
        </w:rPr>
        <w:t>（五）</w:t>
      </w:r>
      <w:r>
        <w:rPr>
          <w:rFonts w:hint="eastAsia"/>
        </w:rPr>
        <w:t>合同签订后，若我方因自身原因未按上述条款约定履行合同、未能在本合同约定期限内完成合同约定的所有工作内容和移交成果资料，我方须按逾期天数向甲方每天支付合同总价款5%的违约金。</w:t>
      </w:r>
    </w:p>
    <w:p>
      <w:pPr>
        <w:pStyle w:val="55"/>
        <w:numPr>
          <w:ilvl w:val="0"/>
          <w:numId w:val="0"/>
        </w:numPr>
        <w:ind w:left="0" w:firstLine="420" w:firstLineChars="0"/>
      </w:pPr>
      <w:r>
        <w:rPr>
          <w:rFonts w:hint="eastAsia" w:cs="Times New Roman"/>
          <w:kern w:val="2"/>
          <w:sz w:val="28"/>
          <w:szCs w:val="20"/>
          <w:lang w:val="en-US" w:eastAsia="zh-CN" w:bidi="ar-SA"/>
        </w:rPr>
        <w:t>（六）</w:t>
      </w:r>
      <w:r>
        <w:rPr>
          <w:rFonts w:hint="eastAsia"/>
        </w:rPr>
        <w:t>我方在履行合同过程中，因疏忽、失职、过错等故意或者过失原因给甲方造成损失或侵害，包括甲方本身的财产损失及法律责任和甲方对任何第三方的财产损失及法律责任等，我方承担全部的赔偿责任。</w:t>
      </w:r>
    </w:p>
    <w:p>
      <w:pPr>
        <w:pStyle w:val="55"/>
        <w:numPr>
          <w:ilvl w:val="0"/>
          <w:numId w:val="0"/>
        </w:numPr>
        <w:ind w:left="0" w:firstLine="420" w:firstLineChars="0"/>
      </w:pPr>
      <w:r>
        <w:rPr>
          <w:rFonts w:hint="eastAsia" w:cs="Times New Roman"/>
          <w:kern w:val="2"/>
          <w:sz w:val="28"/>
          <w:szCs w:val="20"/>
          <w:lang w:val="en-US" w:eastAsia="zh-CN" w:bidi="ar-SA"/>
        </w:rPr>
        <w:t>（七）</w:t>
      </w:r>
      <w:r>
        <w:rPr>
          <w:rFonts w:hint="eastAsia"/>
        </w:rPr>
        <w:t>由于我方原因造成返工，需进行再次验收所产生的费用及由此给甲方造成的损失由我方承担。</w:t>
      </w:r>
    </w:p>
    <w:p>
      <w:pPr>
        <w:pStyle w:val="55"/>
        <w:numPr>
          <w:ilvl w:val="0"/>
          <w:numId w:val="0"/>
        </w:numPr>
        <w:ind w:left="0" w:firstLine="420" w:firstLineChars="0"/>
      </w:pPr>
      <w:r>
        <w:rPr>
          <w:rFonts w:hint="eastAsia" w:cs="Times New Roman"/>
          <w:kern w:val="2"/>
          <w:sz w:val="28"/>
          <w:szCs w:val="20"/>
          <w:lang w:val="en-US" w:eastAsia="zh-CN" w:bidi="ar-SA"/>
        </w:rPr>
        <w:t>（八）</w:t>
      </w:r>
      <w:r>
        <w:rPr>
          <w:rFonts w:hint="eastAsia"/>
        </w:rPr>
        <w:t>如遇不可抗力的因素而影响生产周期和供货时间时，我方将与需方协商解决。</w:t>
      </w:r>
    </w:p>
    <w:p>
      <w:pPr>
        <w:pStyle w:val="55"/>
        <w:numPr>
          <w:ilvl w:val="0"/>
          <w:numId w:val="0"/>
        </w:numPr>
        <w:ind w:left="0" w:firstLine="420" w:firstLineChars="0"/>
      </w:pPr>
      <w:r>
        <w:rPr>
          <w:rFonts w:hint="eastAsia" w:cs="Times New Roman"/>
          <w:kern w:val="2"/>
          <w:sz w:val="28"/>
          <w:szCs w:val="20"/>
          <w:lang w:val="en-US" w:eastAsia="zh-CN" w:bidi="ar-SA"/>
        </w:rPr>
        <w:t>（九）</w:t>
      </w:r>
      <w:r>
        <w:rPr>
          <w:rFonts w:hint="eastAsia"/>
        </w:rPr>
        <w:t>若我单位不按期履行合同，并经采购方提示后5日内仍不履行合同的，采购方有权解除合同，我单位承担相应的法律责任。</w:t>
      </w:r>
    </w:p>
    <w:p>
      <w:pPr>
        <w:pStyle w:val="55"/>
        <w:numPr>
          <w:ilvl w:val="0"/>
          <w:numId w:val="0"/>
        </w:numPr>
        <w:ind w:left="0" w:firstLine="420" w:firstLineChars="0"/>
      </w:pPr>
      <w:r>
        <w:rPr>
          <w:rFonts w:hint="eastAsia" w:cs="Times New Roman"/>
          <w:kern w:val="2"/>
          <w:sz w:val="28"/>
          <w:szCs w:val="20"/>
          <w:lang w:val="en-US" w:eastAsia="zh-CN" w:bidi="ar-SA"/>
        </w:rPr>
        <w:t>（十）</w:t>
      </w:r>
      <w:r>
        <w:rPr>
          <w:rFonts w:hint="eastAsia"/>
        </w:rPr>
        <w:t>我单位保证所投产品必须是全新的，且非假冒伪劣产品，产品质量满足国家、行业相关标准、规范及采购人要求。我单位保证采购人不受到第三方关于侵犯知识产权及专利权、商标权或工业设计权等知识产权方面的指控，任何第三方如果提出此方面指控均与采购人无关，我单位承担由此可能发生的一切法律责任、费用和后果；若采购人因此而遭受损失，还须承担赔偿责任。</w:t>
      </w:r>
    </w:p>
    <w:p>
      <w:pPr>
        <w:pStyle w:val="55"/>
        <w:numPr>
          <w:ilvl w:val="0"/>
          <w:numId w:val="0"/>
        </w:numPr>
        <w:ind w:left="0" w:firstLine="420" w:firstLineChars="0"/>
      </w:pPr>
      <w:r>
        <w:rPr>
          <w:rFonts w:hint="eastAsia" w:cs="Times New Roman"/>
          <w:kern w:val="2"/>
          <w:sz w:val="28"/>
          <w:szCs w:val="20"/>
          <w:lang w:val="en-US" w:eastAsia="zh-CN" w:bidi="ar-SA"/>
        </w:rPr>
        <w:t>（十一）</w:t>
      </w:r>
      <w:r>
        <w:rPr>
          <w:rFonts w:hint="eastAsia"/>
        </w:rPr>
        <w:t>我单位保证所提供的资料都是真实有效的，若发现我单位通过编制虚假资料、私刻公章等其他欺骗方式谋取中标，一经查实，采购人将根据法定流程取消其中标资格，并上报财政部门作出行政处罚，所产生的一切法律责任由我单位承担。</w:t>
      </w:r>
    </w:p>
    <w:p>
      <w:pPr>
        <w:pStyle w:val="55"/>
        <w:numPr>
          <w:ilvl w:val="0"/>
          <w:numId w:val="0"/>
        </w:numPr>
        <w:ind w:left="0" w:firstLine="420" w:firstLineChars="0"/>
      </w:pPr>
      <w:r>
        <w:rPr>
          <w:rFonts w:hint="eastAsia" w:cs="Times New Roman"/>
          <w:kern w:val="2"/>
          <w:sz w:val="28"/>
          <w:szCs w:val="20"/>
          <w:lang w:val="en-US" w:eastAsia="zh-CN" w:bidi="ar-SA"/>
        </w:rPr>
        <w:t>（十二）</w:t>
      </w:r>
      <w:r>
        <w:rPr>
          <w:rFonts w:hint="eastAsia"/>
        </w:rPr>
        <w:t>我单位建立完善质量管理体系，不断提升质量管理水平和产品质量水平，保证产品质量符合国家有关产品标准，具备应当具备的使用性能，不存在危及人体健康、人身财产安全的不合理的危险。</w:t>
      </w:r>
    </w:p>
    <w:p>
      <w:pPr>
        <w:pStyle w:val="55"/>
        <w:numPr>
          <w:ilvl w:val="0"/>
          <w:numId w:val="0"/>
        </w:numPr>
        <w:ind w:left="0" w:firstLine="420" w:firstLineChars="0"/>
      </w:pPr>
      <w:r>
        <w:rPr>
          <w:rFonts w:hint="eastAsia" w:cs="Times New Roman"/>
          <w:kern w:val="2"/>
          <w:sz w:val="28"/>
          <w:szCs w:val="20"/>
          <w:lang w:val="en-US" w:eastAsia="zh-CN" w:bidi="ar-SA"/>
        </w:rPr>
        <w:t>（十三）</w:t>
      </w:r>
      <w:r>
        <w:rPr>
          <w:rFonts w:hint="eastAsia"/>
        </w:rPr>
        <w:t>我单位建立完善质量诚信体系，加强自律，保证产品的标识内容全面、真实、可靠；保证不生产国家明令淘汰的产品，不伪造产品产地，不伪造或冒用厂名、厂址及质量标志，不掺杂掺假、以次充好、以假充真，不以不合格产品冒充合格产品；不短斤缺两。发现质量问题，及时报告，妥善处理。</w:t>
      </w:r>
    </w:p>
    <w:p>
      <w:pPr>
        <w:pStyle w:val="55"/>
        <w:numPr>
          <w:ilvl w:val="0"/>
          <w:numId w:val="0"/>
        </w:numPr>
        <w:ind w:left="0" w:firstLine="420" w:firstLineChars="0"/>
      </w:pPr>
      <w:r>
        <w:rPr>
          <w:rFonts w:hint="eastAsia" w:cs="Times New Roman"/>
          <w:kern w:val="2"/>
          <w:sz w:val="28"/>
          <w:szCs w:val="20"/>
          <w:lang w:val="en-US" w:eastAsia="zh-CN" w:bidi="ar-SA"/>
        </w:rPr>
        <w:t>（十四）</w:t>
      </w:r>
      <w:r>
        <w:rPr>
          <w:rFonts w:hint="eastAsia"/>
        </w:rPr>
        <w:t>我单位保证出厂的产品均按有关国家标准生产和检验，不合格的产品决不出厂。保证严格履行、兑现产品三包，严格执行国家化肥工业产品售后服务有关规定，对本单位产品自发货日起的保质期为一年，若买方能够证实产品本身确有材料或加工缺陷，并向本单位提出书面申请，本单位将有质量问题的产品免费召回，更换或按订货价全额退款。</w:t>
      </w:r>
    </w:p>
    <w:p>
      <w:pPr>
        <w:pStyle w:val="55"/>
        <w:numPr>
          <w:ilvl w:val="0"/>
          <w:numId w:val="0"/>
        </w:numPr>
        <w:ind w:left="0" w:firstLine="420" w:firstLineChars="0"/>
      </w:pPr>
      <w:r>
        <w:rPr>
          <w:rFonts w:hint="eastAsia" w:cs="Times New Roman"/>
          <w:kern w:val="2"/>
          <w:sz w:val="28"/>
          <w:szCs w:val="20"/>
          <w:lang w:val="en-US" w:eastAsia="zh-CN" w:bidi="ar-SA"/>
        </w:rPr>
        <w:t>（十五）</w:t>
      </w:r>
      <w:r>
        <w:rPr>
          <w:rFonts w:hint="eastAsia"/>
        </w:rPr>
        <w:t>用户对我单位产品提出质量异议，本单位保证在接到用户提出异议后24小时内作出处理意见。若需现场解决的，保证派出专业技术服务人员，并做到质量问题不解决服务人员不撤离。对每件用户反馈的产品质量问题及处理结果我厂将予以存档。</w:t>
      </w:r>
    </w:p>
    <w:p>
      <w:pPr>
        <w:pStyle w:val="55"/>
        <w:numPr>
          <w:ilvl w:val="0"/>
          <w:numId w:val="0"/>
        </w:numPr>
        <w:ind w:left="0" w:firstLine="420" w:firstLineChars="0"/>
      </w:pPr>
      <w:r>
        <w:rPr>
          <w:rFonts w:hint="eastAsia" w:cs="Times New Roman"/>
          <w:kern w:val="2"/>
          <w:sz w:val="28"/>
          <w:szCs w:val="20"/>
          <w:lang w:val="en-US" w:eastAsia="zh-CN" w:bidi="ar-SA"/>
        </w:rPr>
        <w:t>（十六）</w:t>
      </w:r>
      <w:r>
        <w:rPr>
          <w:rFonts w:hint="eastAsia"/>
        </w:rPr>
        <w:t>除发生不可抗力事实外，我单位所交产品与合同标准不相符合的，甲方有权拒收；逾期交货将向甲方每日偿付合同总额千分之一的滞纳金。因我方不能按期交付产品或与合同标准不符使甲方造成经济损失的应依法赔偿。</w:t>
      </w:r>
    </w:p>
    <w:p>
      <w:pPr>
        <w:pStyle w:val="55"/>
        <w:numPr>
          <w:ilvl w:val="0"/>
          <w:numId w:val="0"/>
        </w:numPr>
        <w:ind w:left="0" w:firstLine="420" w:firstLineChars="0"/>
        <w:rPr>
          <w:rFonts w:hint="eastAsia" w:ascii="Times New Roman" w:hAnsi="Times New Roman" w:eastAsia="宋体" w:cs="Times New Roman"/>
          <w:kern w:val="2"/>
          <w:sz w:val="28"/>
          <w:szCs w:val="24"/>
          <w:lang w:val="en-US" w:eastAsia="zh-CN" w:bidi="ar-SA"/>
        </w:rPr>
      </w:pPr>
      <w:r>
        <w:rPr>
          <w:rFonts w:hint="eastAsia" w:cs="Times New Roman"/>
          <w:kern w:val="2"/>
          <w:sz w:val="28"/>
          <w:szCs w:val="20"/>
          <w:lang w:val="en-US" w:eastAsia="zh-CN" w:bidi="ar-SA"/>
        </w:rPr>
        <w:t>（十七）</w:t>
      </w:r>
      <w:r>
        <w:rPr>
          <w:rFonts w:hint="eastAsia"/>
        </w:rPr>
        <w:t>因我方原因未能按投标文件所报的交货期交货时（不可抗</w:t>
      </w:r>
      <w:r>
        <w:rPr>
          <w:rFonts w:hint="eastAsia" w:ascii="Times New Roman" w:hAnsi="Times New Roman" w:eastAsia="宋体" w:cs="Times New Roman"/>
          <w:kern w:val="2"/>
          <w:sz w:val="28"/>
          <w:szCs w:val="24"/>
          <w:lang w:val="en-US" w:eastAsia="zh-CN" w:bidi="ar-SA"/>
        </w:rPr>
        <w:t>力除外），我方愿按下述比例向买方支付违约金:</w:t>
      </w:r>
    </w:p>
    <w:p>
      <w:pPr>
        <w:ind w:firstLine="482"/>
        <w:rPr>
          <w:rFonts w:hint="eastAsia"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迟交1～4周，每周支付迟交货物合同总金额的0.5％；</w:t>
      </w:r>
    </w:p>
    <w:p>
      <w:pPr>
        <w:ind w:firstLine="482"/>
        <w:rPr>
          <w:rFonts w:hint="eastAsia"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迟交5～8周，每周支付迟交货物合同总金额的1％；</w:t>
      </w:r>
    </w:p>
    <w:p>
      <w:pPr>
        <w:ind w:firstLine="482"/>
        <w:rPr>
          <w:rFonts w:hint="eastAsia"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迟交9周以上，每周支付迟交货物合同总金额的1.5％；</w:t>
      </w:r>
    </w:p>
    <w:p>
      <w:pPr>
        <w:ind w:firstLine="482"/>
        <w:rPr>
          <w:rFonts w:hint="eastAsia" w:ascii="Times New Roman" w:hAns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迟交货物的违约金总额不超过合同总价的10％。我方支付迟交违约金，并不解除我方按照合同继续交货的义务。</w:t>
      </w:r>
    </w:p>
    <w:p>
      <w:pPr>
        <w:ind w:firstLine="480"/>
      </w:pPr>
      <w:r>
        <w:rPr>
          <w:rFonts w:hint="eastAsia" w:ascii="Times New Roman" w:hAnsi="Times New Roman" w:eastAsia="宋体" w:cs="Times New Roman"/>
          <w:kern w:val="2"/>
          <w:sz w:val="28"/>
          <w:szCs w:val="24"/>
          <w:lang w:val="en-US" w:eastAsia="zh-CN" w:bidi="ar-SA"/>
        </w:rPr>
        <w:t>我公司将严格按照国家标准要求把好产</w:t>
      </w:r>
      <w:r>
        <w:rPr>
          <w:rFonts w:hint="eastAsia"/>
        </w:rPr>
        <w:t>品质量关，通过对原辅材料、发酵过程、半成品、成品的层层检验把关，确保产品质量。并按国家标准组织生产和进行验收，产品的各项理化性能指标均达到标准要求，质量稳定可靠。</w:t>
      </w:r>
    </w:p>
    <w:p>
      <w:pPr>
        <w:ind w:firstLine="480"/>
      </w:pPr>
      <w:r>
        <w:rPr>
          <w:rFonts w:hint="eastAsia"/>
        </w:rPr>
        <w:t>采购人可组织专业人员会同我单位依据采购合同、招标文件、该批产品检验报告和技术质量标准等有关资料共同验收。我单位应物送达时，要提供有资质的检测单位出具的货物检测报告和送货清单，送货清单上注明送货人、数量、日期、车牌号码等信息。货物送达后，采购人组织相关人员对货物进行验收并随机抽样送检（委托有资质的检测机构进行检测），检测费用由我单位负责。我单位应保证送达货物质量符合采购要求，若出现送检样品质量不符合货物采购质量要求的，对所送货物判定为不合格产品，采购人有权中止合同，不予退还履约保证金，由此所产生的一切损失由我单位自行承担。</w:t>
      </w:r>
    </w:p>
    <w:bookmarkEnd w:id="213"/>
    <w:bookmarkEnd w:id="214"/>
    <w:bookmarkEnd w:id="215"/>
    <w:bookmarkEnd w:id="216"/>
    <w:p>
      <w:pPr>
        <w:rPr>
          <w:rFonts w:hint="eastAsia"/>
          <w:lang w:val="en-US" w:eastAsia="zh-CN"/>
        </w:rPr>
      </w:pPr>
      <w:bookmarkStart w:id="557" w:name="_Toc118293285"/>
      <w:r>
        <w:rPr>
          <w:rFonts w:hint="eastAsia"/>
          <w:lang w:val="en-US" w:eastAsia="zh-CN"/>
        </w:rPr>
        <w:br w:type="page"/>
      </w:r>
    </w:p>
    <w:p>
      <w:pPr>
        <w:pStyle w:val="3"/>
        <w:bidi w:val="0"/>
      </w:pPr>
      <w:bookmarkStart w:id="558" w:name="_Toc15409"/>
      <w:r>
        <w:rPr>
          <w:rFonts w:hint="eastAsia"/>
          <w:lang w:val="en-US" w:eastAsia="zh-CN"/>
        </w:rPr>
        <w:t xml:space="preserve">第二章  </w:t>
      </w:r>
      <w:r>
        <w:rPr>
          <w:rFonts w:hint="eastAsia"/>
        </w:rPr>
        <w:t>质量承诺及保证措施</w:t>
      </w:r>
      <w:bookmarkEnd w:id="557"/>
      <w:bookmarkEnd w:id="558"/>
    </w:p>
    <w:p>
      <w:pPr>
        <w:pStyle w:val="4"/>
        <w:bidi w:val="0"/>
      </w:pPr>
      <w:bookmarkStart w:id="559" w:name="_Ref118206326"/>
      <w:bookmarkStart w:id="560" w:name="_Ref118206329"/>
      <w:bookmarkStart w:id="561" w:name="_Toc118223532"/>
      <w:bookmarkStart w:id="562" w:name="_Toc25202"/>
      <w:bookmarkStart w:id="563" w:name="_Toc118293286"/>
      <w:bookmarkStart w:id="564" w:name="_Toc116924293"/>
      <w:bookmarkStart w:id="565" w:name="_Toc105600323"/>
      <w:r>
        <w:rPr>
          <w:rFonts w:hint="eastAsia"/>
          <w:lang w:val="en-US" w:eastAsia="zh-CN"/>
        </w:rPr>
        <w:t xml:space="preserve">第一节  </w:t>
      </w:r>
      <w:r>
        <w:t>质量</w:t>
      </w:r>
      <w:bookmarkEnd w:id="559"/>
      <w:bookmarkEnd w:id="560"/>
      <w:bookmarkEnd w:id="561"/>
      <w:r>
        <w:rPr>
          <w:rFonts w:hint="eastAsia"/>
        </w:rPr>
        <w:t>承诺</w:t>
      </w:r>
      <w:bookmarkEnd w:id="562"/>
      <w:bookmarkEnd w:id="563"/>
    </w:p>
    <w:p>
      <w:pPr>
        <w:ind w:firstLine="480"/>
        <w:rPr>
          <w:rFonts w:hint="eastAsia"/>
        </w:rPr>
      </w:pPr>
      <w:bookmarkStart w:id="566" w:name="_Hlk90645409"/>
      <w:r>
        <w:rPr>
          <w:rFonts w:hint="eastAsia"/>
        </w:rPr>
        <w:t>我公司承诺在本项目供货期间，严格按照下述承诺履行：</w:t>
      </w:r>
    </w:p>
    <w:p>
      <w:pPr>
        <w:ind w:firstLine="480"/>
        <w:rPr>
          <w:rFonts w:hint="eastAsia"/>
        </w:rPr>
      </w:pPr>
      <w:r>
        <w:rPr>
          <w:rFonts w:hint="eastAsia"/>
        </w:rPr>
        <w:t>我公司承诺：</w:t>
      </w:r>
    </w:p>
    <w:p>
      <w:pPr>
        <w:ind w:firstLine="480"/>
        <w:rPr>
          <w:rFonts w:hint="eastAsia"/>
        </w:rPr>
      </w:pPr>
      <w:r>
        <w:rPr>
          <w:rFonts w:hint="default"/>
          <w:lang w:val="en-US" w:eastAsia="zh-CN"/>
        </w:rPr>
        <w:t>（</w:t>
      </w:r>
      <w:r>
        <w:rPr>
          <w:rFonts w:hint="eastAsia"/>
          <w:lang w:val="en-US" w:eastAsia="zh-CN"/>
        </w:rPr>
        <w:t>一</w:t>
      </w:r>
      <w:r>
        <w:rPr>
          <w:rFonts w:hint="default"/>
          <w:lang w:val="en-US" w:eastAsia="zh-CN"/>
        </w:rPr>
        <w:t>）</w:t>
      </w:r>
      <w:r>
        <w:rPr>
          <w:rFonts w:hint="eastAsia"/>
        </w:rPr>
        <w:t>我单位保证所提供产品完全符合：单位所投产品产品采购符合农业行业NY884-2012《生物有机肥》标准的生物有机肥，生物有机肥原料为植物源，杜绝使用水库、河道、池塘和有机城市垃圾等作为原料，不存在添加“褐煤”“畜禽粪便”的情况，确保重金属含量不超标，长期使用无残留、无毒、无副作用。</w:t>
      </w:r>
    </w:p>
    <w:p>
      <w:pPr>
        <w:ind w:firstLine="480"/>
        <w:rPr>
          <w:rFonts w:hint="eastAsia"/>
        </w:rPr>
      </w:pPr>
      <w:r>
        <w:rPr>
          <w:rFonts w:hint="default"/>
          <w:lang w:val="en-US" w:eastAsia="zh-CN"/>
        </w:rPr>
        <w:t>（</w:t>
      </w:r>
      <w:r>
        <w:rPr>
          <w:rFonts w:hint="eastAsia"/>
          <w:lang w:val="en-US" w:eastAsia="zh-CN"/>
        </w:rPr>
        <w:t>二</w:t>
      </w:r>
      <w:r>
        <w:rPr>
          <w:rFonts w:hint="default"/>
          <w:lang w:val="en-US" w:eastAsia="zh-CN"/>
        </w:rPr>
        <w:t>）</w:t>
      </w:r>
      <w:r>
        <w:rPr>
          <w:rFonts w:hint="eastAsia"/>
        </w:rPr>
        <w:t>我单位承诺所供应肥料出现质量问题时，违约金额6000元/次。</w:t>
      </w:r>
    </w:p>
    <w:p>
      <w:pPr>
        <w:ind w:firstLine="480"/>
        <w:rPr>
          <w:rFonts w:hint="eastAsia"/>
        </w:rPr>
      </w:pPr>
      <w:r>
        <w:rPr>
          <w:rFonts w:hint="default"/>
          <w:lang w:val="en-US" w:eastAsia="zh-CN"/>
        </w:rPr>
        <w:t>（</w:t>
      </w:r>
      <w:r>
        <w:rPr>
          <w:rFonts w:hint="eastAsia"/>
          <w:lang w:val="en-US" w:eastAsia="zh-CN"/>
        </w:rPr>
        <w:t>三</w:t>
      </w:r>
      <w:r>
        <w:rPr>
          <w:rFonts w:hint="default"/>
          <w:lang w:val="en-US" w:eastAsia="zh-CN"/>
        </w:rPr>
        <w:t>）</w:t>
      </w:r>
      <w:r>
        <w:rPr>
          <w:rFonts w:hint="eastAsia"/>
        </w:rPr>
        <w:t>本产品确保对任何作物、无论任何施用方法、均不出现烧根、烧苗、现象若均权威机构认定出现烧根、烧苗、作物减产等现象，我公司愿意承担由此带来的所有经济损失。</w:t>
      </w:r>
    </w:p>
    <w:p>
      <w:pPr>
        <w:ind w:firstLine="480"/>
        <w:rPr>
          <w:rFonts w:hint="eastAsia"/>
        </w:rPr>
      </w:pPr>
      <w:r>
        <w:rPr>
          <w:rFonts w:hint="default"/>
          <w:lang w:val="en-US" w:eastAsia="zh-CN"/>
        </w:rPr>
        <w:t>（</w:t>
      </w:r>
      <w:r>
        <w:rPr>
          <w:rFonts w:hint="eastAsia"/>
          <w:lang w:val="en-US" w:eastAsia="zh-CN"/>
        </w:rPr>
        <w:t>四</w:t>
      </w:r>
      <w:r>
        <w:rPr>
          <w:rFonts w:hint="default"/>
          <w:lang w:val="en-US" w:eastAsia="zh-CN"/>
        </w:rPr>
        <w:t>）</w:t>
      </w:r>
      <w:r>
        <w:rPr>
          <w:rFonts w:hint="eastAsia"/>
        </w:rPr>
        <w:t>本产品为绝对环保产品，如因施用本产品导致环境污染、农田面源污染等问题，我公司愿意承担一切带来的后果。</w:t>
      </w:r>
    </w:p>
    <w:p>
      <w:pPr>
        <w:ind w:firstLine="480"/>
        <w:rPr>
          <w:rFonts w:hint="eastAsia"/>
        </w:rPr>
      </w:pPr>
      <w:r>
        <w:rPr>
          <w:rFonts w:hint="default"/>
          <w:lang w:val="en-US" w:eastAsia="zh-CN"/>
        </w:rPr>
        <w:t>（</w:t>
      </w:r>
      <w:r>
        <w:rPr>
          <w:rFonts w:hint="eastAsia"/>
          <w:lang w:val="en-US" w:eastAsia="zh-CN"/>
        </w:rPr>
        <w:t>五</w:t>
      </w:r>
      <w:r>
        <w:rPr>
          <w:rFonts w:hint="default"/>
          <w:lang w:val="en-US" w:eastAsia="zh-CN"/>
        </w:rPr>
        <w:t>）</w:t>
      </w:r>
      <w:r>
        <w:rPr>
          <w:rFonts w:hint="eastAsia"/>
        </w:rPr>
        <w:t>施用本产品的作物与不施用本产品的作物根系明显发达、长势优于未施用的作物。本产品</w:t>
      </w:r>
      <w:bookmarkStart w:id="567" w:name="_Hlk107822336"/>
      <w:r>
        <w:rPr>
          <w:rFonts w:hint="eastAsia"/>
        </w:rPr>
        <w:t>农业行业NY884-2012《生物有机肥》标准的生物有机肥标准</w:t>
      </w:r>
      <w:bookmarkEnd w:id="567"/>
      <w:r>
        <w:rPr>
          <w:rFonts w:hint="eastAsia"/>
        </w:rPr>
        <w:t>。</w:t>
      </w:r>
    </w:p>
    <w:p>
      <w:pPr>
        <w:ind w:firstLine="480"/>
        <w:rPr>
          <w:rFonts w:hint="eastAsia"/>
        </w:rPr>
      </w:pPr>
      <w:r>
        <w:rPr>
          <w:rFonts w:hint="default"/>
          <w:lang w:val="en-US" w:eastAsia="zh-CN"/>
        </w:rPr>
        <w:t>（</w:t>
      </w:r>
      <w:r>
        <w:rPr>
          <w:rFonts w:hint="eastAsia"/>
          <w:lang w:val="en-US" w:eastAsia="zh-CN"/>
        </w:rPr>
        <w:t>六</w:t>
      </w:r>
      <w:r>
        <w:rPr>
          <w:rFonts w:hint="default"/>
          <w:lang w:val="en-US" w:eastAsia="zh-CN"/>
        </w:rPr>
        <w:t>）</w:t>
      </w:r>
      <w:r>
        <w:rPr>
          <w:rFonts w:hint="eastAsia"/>
        </w:rPr>
        <w:t>产品质量我公司所产品质量农业行业NY884-2012《生物有机肥》标准的生物有机肥标准。我单位所供的生物有机肥原料为植物源，杜绝使用水库、河道、池塘和有机城市垃圾等作为原料，不存在添加“褐煤”“畜禽粪便”的情况，确保重金属含量不超标，长期使用无残留、无毒、无副作用。同时提供有机肥原料配方供评标委员会查验。</w:t>
      </w:r>
    </w:p>
    <w:p>
      <w:pPr>
        <w:ind w:firstLine="480"/>
        <w:rPr>
          <w:rFonts w:hint="eastAsia"/>
        </w:rPr>
      </w:pPr>
      <w:r>
        <w:rPr>
          <w:rFonts w:hint="default"/>
          <w:lang w:val="en-US" w:eastAsia="zh-CN"/>
        </w:rPr>
        <w:t>（</w:t>
      </w:r>
      <w:r>
        <w:rPr>
          <w:rFonts w:hint="eastAsia"/>
          <w:lang w:val="en-US" w:eastAsia="zh-CN"/>
        </w:rPr>
        <w:t>七</w:t>
      </w:r>
      <w:r>
        <w:rPr>
          <w:rFonts w:hint="default"/>
          <w:lang w:val="en-US" w:eastAsia="zh-CN"/>
        </w:rPr>
        <w:t>）</w:t>
      </w:r>
      <w:r>
        <w:rPr>
          <w:rFonts w:hint="eastAsia"/>
        </w:rPr>
        <w:t>包装要求：40kg/袋。做到统一标识、统一质量、统一包装、统一运送。有机肥料中的重金属含量、蛔虫卵死亡率和大肠杆菌值指标农业行业NY884-2012《生物有机肥》标准的有机肥产品；</w:t>
      </w:r>
    </w:p>
    <w:p>
      <w:pPr>
        <w:ind w:firstLine="480"/>
        <w:rPr>
          <w:rFonts w:hint="eastAsia"/>
        </w:rPr>
      </w:pPr>
      <w:r>
        <w:rPr>
          <w:rFonts w:hint="eastAsia"/>
        </w:rPr>
        <w:t>有机肥料包装袋上应注明:产品名称、商标、有机质含量、总养分含量、净重、标准号、登记证号、企业名称、厂址。</w:t>
      </w:r>
    </w:p>
    <w:p>
      <w:pPr>
        <w:ind w:firstLine="480"/>
        <w:rPr>
          <w:rFonts w:hint="eastAsia"/>
        </w:rPr>
      </w:pPr>
      <w:r>
        <w:rPr>
          <w:rFonts w:hint="default"/>
          <w:lang w:val="en-US" w:eastAsia="zh-CN"/>
        </w:rPr>
        <w:t>（</w:t>
      </w:r>
      <w:r>
        <w:rPr>
          <w:rFonts w:hint="eastAsia"/>
          <w:lang w:val="en-US" w:eastAsia="zh-CN"/>
        </w:rPr>
        <w:t>八</w:t>
      </w:r>
      <w:r>
        <w:rPr>
          <w:rFonts w:hint="default"/>
          <w:lang w:val="en-US" w:eastAsia="zh-CN"/>
        </w:rPr>
        <w:t>）</w:t>
      </w:r>
      <w:r>
        <w:rPr>
          <w:rFonts w:hint="eastAsia"/>
        </w:rPr>
        <w:t>逾期交货违约金：1000元/天（非我单位原因造成的除外）。</w:t>
      </w:r>
    </w:p>
    <w:p>
      <w:pPr>
        <w:ind w:firstLine="480"/>
        <w:rPr>
          <w:rFonts w:hint="eastAsia"/>
        </w:rPr>
      </w:pPr>
      <w:r>
        <w:rPr>
          <w:rFonts w:hint="default"/>
          <w:lang w:val="en-US" w:eastAsia="zh-CN"/>
        </w:rPr>
        <w:t>（</w:t>
      </w:r>
      <w:r>
        <w:rPr>
          <w:rFonts w:hint="eastAsia"/>
          <w:lang w:val="en-US" w:eastAsia="zh-CN"/>
        </w:rPr>
        <w:t>九</w:t>
      </w:r>
      <w:r>
        <w:rPr>
          <w:rFonts w:hint="default"/>
          <w:lang w:val="en-US" w:eastAsia="zh-CN"/>
        </w:rPr>
        <w:t>）</w:t>
      </w:r>
      <w:r>
        <w:rPr>
          <w:rFonts w:hint="eastAsia"/>
        </w:rPr>
        <w:t>我单位保证按照投标文件中明确的相关承诺及产品质量进行供货，采购人也按相同的标准进行验收。采购人有权对产品进行抽检，若发现存在检测结果与投标文件承诺不一致的，视为我单位质量违约，采购人拒签合同并追究我单位因此造成的损失及责任。其投标保证金不予退还，并向行政监管部门提交不良行为记录。给采购人造成的损失超过投标保证金数额的，我单位还应当对超过部分予以赔偿。在合同签订以后，采购人根据行业标准进行供货。并按采购人要求配送到约定的交货地点。</w:t>
      </w:r>
    </w:p>
    <w:p>
      <w:pPr>
        <w:ind w:firstLine="480"/>
        <w:rPr>
          <w:rFonts w:hint="eastAsia"/>
        </w:rPr>
      </w:pPr>
      <w:r>
        <w:rPr>
          <w:rFonts w:hint="default"/>
          <w:lang w:val="en-US" w:eastAsia="zh-CN"/>
        </w:rPr>
        <w:t>（</w:t>
      </w:r>
      <w:r>
        <w:rPr>
          <w:rFonts w:hint="eastAsia"/>
          <w:lang w:val="en-US" w:eastAsia="zh-CN"/>
        </w:rPr>
        <w:t>十</w:t>
      </w:r>
      <w:r>
        <w:rPr>
          <w:rFonts w:hint="default"/>
          <w:lang w:val="en-US" w:eastAsia="zh-CN"/>
        </w:rPr>
        <w:t>）</w:t>
      </w:r>
      <w:r>
        <w:rPr>
          <w:rFonts w:hint="eastAsia"/>
        </w:rPr>
        <w:t>验收标准：</w:t>
      </w:r>
    </w:p>
    <w:p>
      <w:pPr>
        <w:ind w:firstLine="480"/>
        <w:rPr>
          <w:rFonts w:hint="eastAsia"/>
        </w:rPr>
      </w:pPr>
      <w:r>
        <w:rPr>
          <w:rFonts w:hint="default"/>
          <w:lang w:val="en-US" w:eastAsia="zh-CN"/>
        </w:rPr>
        <w:t></w:t>
      </w:r>
      <w:r>
        <w:rPr>
          <w:rFonts w:hint="eastAsia"/>
        </w:rPr>
        <w:t>外包装验收：无破损，无污染，包装完好。</w:t>
      </w:r>
    </w:p>
    <w:p>
      <w:pPr>
        <w:ind w:firstLine="480"/>
        <w:rPr>
          <w:rFonts w:hint="eastAsia"/>
        </w:rPr>
      </w:pPr>
      <w:r>
        <w:rPr>
          <w:rFonts w:hint="default"/>
          <w:lang w:val="en-US" w:eastAsia="zh-CN"/>
        </w:rPr>
        <w:t></w:t>
      </w:r>
      <w:r>
        <w:rPr>
          <w:rFonts w:hint="eastAsia"/>
        </w:rPr>
        <w:t>标签标识验收：标识清楚，符合国家有关法律法规及质监部门的质检报告。</w:t>
      </w:r>
    </w:p>
    <w:p>
      <w:pPr>
        <w:ind w:firstLine="480"/>
        <w:rPr>
          <w:rFonts w:hint="eastAsia"/>
        </w:rPr>
      </w:pPr>
      <w:r>
        <w:rPr>
          <w:rFonts w:hint="default"/>
          <w:lang w:val="en-US" w:eastAsia="zh-CN"/>
        </w:rPr>
        <w:t></w:t>
      </w:r>
      <w:r>
        <w:rPr>
          <w:rFonts w:hint="eastAsia"/>
        </w:rPr>
        <w:t>开袋抽样送检验收。</w:t>
      </w:r>
    </w:p>
    <w:p>
      <w:pPr>
        <w:ind w:firstLine="480"/>
        <w:rPr>
          <w:rFonts w:hint="eastAsia"/>
        </w:rPr>
      </w:pPr>
      <w:r>
        <w:rPr>
          <w:rFonts w:hint="default"/>
          <w:lang w:val="en-US" w:eastAsia="zh-CN"/>
        </w:rPr>
        <w:t></w:t>
      </w:r>
      <w:r>
        <w:rPr>
          <w:rFonts w:hint="eastAsia"/>
        </w:rPr>
        <w:t>货物运输到指定地点后，我单位会向采购方提供随货同行的相关合格证书，由采购人进行验收；卸货及有关费用我单位负责；同时由采购人抽取的样品送到具有检测资质的单位进行检测（检测费用由我单位负责）。</w:t>
      </w:r>
    </w:p>
    <w:p>
      <w:pPr>
        <w:ind w:firstLine="480"/>
        <w:rPr>
          <w:rFonts w:hint="eastAsia"/>
        </w:rPr>
      </w:pPr>
      <w:r>
        <w:rPr>
          <w:rFonts w:hint="default"/>
          <w:lang w:val="en-US" w:eastAsia="zh-CN"/>
        </w:rPr>
        <w:t>（</w:t>
      </w:r>
      <w:r>
        <w:rPr>
          <w:rFonts w:hint="eastAsia"/>
          <w:lang w:val="en-US" w:eastAsia="zh-CN"/>
        </w:rPr>
        <w:t>十一</w:t>
      </w:r>
      <w:r>
        <w:rPr>
          <w:rFonts w:hint="default"/>
          <w:lang w:val="en-US" w:eastAsia="zh-CN"/>
        </w:rPr>
        <w:t>）</w:t>
      </w:r>
      <w:r>
        <w:rPr>
          <w:rFonts w:hint="eastAsia"/>
        </w:rPr>
        <w:t>产品质量违约：</w:t>
      </w:r>
    </w:p>
    <w:p>
      <w:pPr>
        <w:ind w:firstLine="480"/>
        <w:rPr>
          <w:rFonts w:hint="eastAsia"/>
        </w:rPr>
      </w:pPr>
      <w:bookmarkStart w:id="568" w:name="_Hlk85102223"/>
      <w:r>
        <w:rPr>
          <w:rFonts w:hint="default"/>
          <w:lang w:val="en-US" w:eastAsia="zh-CN"/>
        </w:rPr>
        <w:t></w:t>
      </w:r>
      <w:r>
        <w:rPr>
          <w:rFonts w:hint="eastAsia"/>
        </w:rPr>
        <w:t>交货质量抽检不合格违约：10000元/次，如果发生两次交货质量抽检不合格的，采购人有权单方面无责任终止合同并追究我单位因此造成的损失及责任。</w:t>
      </w:r>
      <w:bookmarkEnd w:id="568"/>
    </w:p>
    <w:p>
      <w:pPr>
        <w:ind w:firstLine="480"/>
        <w:rPr>
          <w:rFonts w:hint="eastAsia"/>
        </w:rPr>
      </w:pPr>
      <w:bookmarkStart w:id="569" w:name="_Hlk85102294"/>
      <w:r>
        <w:rPr>
          <w:rFonts w:hint="default"/>
          <w:lang w:val="en-US" w:eastAsia="zh-CN"/>
        </w:rPr>
        <w:t></w:t>
      </w:r>
      <w:r>
        <w:rPr>
          <w:rFonts w:hint="eastAsia"/>
        </w:rPr>
        <w:t>产品质量不合格违约：如因我单位所供货品本身质量问题，造成烂根死树、严重污染等情况经招标人核实的，视为产品质量不合格违约，采购人有权单方面无责任终止合同并追究我单位因此造成的损失及责任</w:t>
      </w:r>
      <w:bookmarkEnd w:id="569"/>
      <w:r>
        <w:rPr>
          <w:rFonts w:hint="eastAsia"/>
        </w:rPr>
        <w:t>。</w:t>
      </w:r>
    </w:p>
    <w:p>
      <w:pPr>
        <w:ind w:firstLine="480"/>
        <w:rPr>
          <w:rFonts w:hint="eastAsia"/>
        </w:rPr>
      </w:pPr>
      <w:r>
        <w:rPr>
          <w:rFonts w:hint="default"/>
          <w:lang w:val="en-US" w:eastAsia="zh-CN"/>
        </w:rPr>
        <w:t></w:t>
      </w:r>
      <w:r>
        <w:rPr>
          <w:rFonts w:hint="eastAsia"/>
        </w:rPr>
        <w:t>我单位自行承担退换货产生的一切费用（非中标人自身原因造成的除外）。</w:t>
      </w:r>
    </w:p>
    <w:p>
      <w:pPr>
        <w:ind w:firstLine="480"/>
        <w:rPr>
          <w:rFonts w:hint="eastAsia"/>
        </w:rPr>
      </w:pPr>
      <w:r>
        <w:rPr>
          <w:rFonts w:hint="default"/>
          <w:lang w:val="en-US" w:eastAsia="zh-CN"/>
        </w:rPr>
        <w:t>（</w:t>
      </w:r>
      <w:r>
        <w:rPr>
          <w:rFonts w:hint="eastAsia"/>
          <w:lang w:val="en-US" w:eastAsia="zh-CN"/>
        </w:rPr>
        <w:t>十二</w:t>
      </w:r>
      <w:r>
        <w:rPr>
          <w:rFonts w:hint="default"/>
          <w:lang w:val="en-US" w:eastAsia="zh-CN"/>
        </w:rPr>
        <w:t>）</w:t>
      </w:r>
      <w:r>
        <w:rPr>
          <w:rFonts w:hint="eastAsia"/>
        </w:rPr>
        <w:t>我单位保证所供产品都是全新、原产、未使用过的、正宗品牌产品，承诺不用假冒及伪劣产品替代；所有产品在运输和现场保管过程中，根据标准（执行现行的国家标准、行业标准、企业标准）有关要求，有完善的保护措施和包装要求，使产品不受二次搬运、潮湿、剥蚀或其它方式的任何损坏。包装结构坚固，表面清晰的标明合同号、产品名称、到达地址、发货地址、日期和其它标记。如出现上述质量问题买方有权退货；如造成直接经济损失，买方可要求我司给予赔偿。我司所提供的投标产品均为原厂制造的经检验合格证的全新产品，否则由我司承担因此产生的一切后果。</w:t>
      </w:r>
    </w:p>
    <w:p>
      <w:pPr>
        <w:ind w:firstLine="480"/>
        <w:rPr>
          <w:rFonts w:hint="eastAsia"/>
        </w:rPr>
      </w:pPr>
      <w:r>
        <w:rPr>
          <w:rFonts w:hint="default"/>
          <w:lang w:val="en-US" w:eastAsia="zh-CN"/>
        </w:rPr>
        <w:t>（</w:t>
      </w:r>
      <w:r>
        <w:rPr>
          <w:rFonts w:hint="eastAsia"/>
          <w:lang w:val="en-US" w:eastAsia="zh-CN"/>
        </w:rPr>
        <w:t>十三</w:t>
      </w:r>
      <w:r>
        <w:rPr>
          <w:rFonts w:hint="default"/>
          <w:lang w:val="en-US" w:eastAsia="zh-CN"/>
        </w:rPr>
        <w:t>）</w:t>
      </w:r>
      <w:r>
        <w:rPr>
          <w:rFonts w:hint="eastAsia"/>
        </w:rPr>
        <w:t>在规定的质量保证期内，对由于设计、工艺或材料的缺陷而造成的作物缺陷或故障负责；除合同中另有规定外，出现上述情况，在收到用户通知后1天内，免费更换有缺陷的产品；对造成损失的，同意按相关规定赔偿及负违约责任；</w:t>
      </w:r>
    </w:p>
    <w:p>
      <w:pPr>
        <w:ind w:firstLine="480"/>
        <w:rPr>
          <w:rFonts w:hint="eastAsia"/>
        </w:rPr>
      </w:pPr>
      <w:r>
        <w:rPr>
          <w:rFonts w:hint="default"/>
          <w:lang w:val="en-US" w:eastAsia="zh-CN"/>
        </w:rPr>
        <w:t>（</w:t>
      </w:r>
      <w:r>
        <w:rPr>
          <w:rFonts w:hint="eastAsia"/>
          <w:lang w:val="en-US" w:eastAsia="zh-CN"/>
        </w:rPr>
        <w:t>十四</w:t>
      </w:r>
      <w:r>
        <w:rPr>
          <w:rFonts w:hint="default"/>
          <w:lang w:val="en-US" w:eastAsia="zh-CN"/>
        </w:rPr>
        <w:t>）</w:t>
      </w:r>
      <w:r>
        <w:rPr>
          <w:rFonts w:hint="eastAsia"/>
        </w:rPr>
        <w:t>我司承诺不以少充多、不以旧充新，不以劣充优，不以假充真；不提供降低产品等级标准或存在缺陷的产品。</w:t>
      </w:r>
    </w:p>
    <w:p>
      <w:pPr>
        <w:ind w:firstLine="480"/>
        <w:rPr>
          <w:rFonts w:hint="eastAsia"/>
        </w:rPr>
      </w:pPr>
      <w:r>
        <w:rPr>
          <w:rFonts w:hint="default"/>
          <w:lang w:val="en-US" w:eastAsia="zh-CN"/>
        </w:rPr>
        <w:t>（</w:t>
      </w:r>
      <w:r>
        <w:rPr>
          <w:rFonts w:hint="eastAsia"/>
          <w:lang w:val="en-US" w:eastAsia="zh-CN"/>
        </w:rPr>
        <w:t>十五</w:t>
      </w:r>
      <w:r>
        <w:rPr>
          <w:rFonts w:hint="default"/>
          <w:lang w:val="en-US" w:eastAsia="zh-CN"/>
        </w:rPr>
        <w:t>）</w:t>
      </w:r>
      <w:r>
        <w:rPr>
          <w:rFonts w:hint="eastAsia"/>
        </w:rPr>
        <w:t>我司承诺实行严格的“三包”服务，并做出提供更有利于维护消费者合法权益，严于国家三包规定的服务承诺。</w:t>
      </w:r>
    </w:p>
    <w:p>
      <w:pPr>
        <w:ind w:firstLine="480"/>
        <w:rPr>
          <w:rFonts w:hint="eastAsia"/>
        </w:rPr>
      </w:pPr>
      <w:r>
        <w:rPr>
          <w:rFonts w:hint="default"/>
          <w:lang w:val="en-US" w:eastAsia="zh-CN"/>
        </w:rPr>
        <w:t>（</w:t>
      </w:r>
      <w:r>
        <w:rPr>
          <w:rFonts w:hint="eastAsia"/>
          <w:lang w:val="en-US" w:eastAsia="zh-CN"/>
        </w:rPr>
        <w:t>十六</w:t>
      </w:r>
      <w:r>
        <w:rPr>
          <w:rFonts w:hint="default"/>
          <w:lang w:val="en-US" w:eastAsia="zh-CN"/>
        </w:rPr>
        <w:t>）</w:t>
      </w:r>
      <w:r>
        <w:rPr>
          <w:rFonts w:hint="eastAsia"/>
        </w:rPr>
        <w:t>我司保证提供的投标产品的技术性能、综合质量的稳定性和可靠性；保证提供的投标产品符合国家质量、技术、环保、安全等相关法律、法规和政策要求及商检标准。</w:t>
      </w:r>
    </w:p>
    <w:p>
      <w:pPr>
        <w:ind w:firstLine="480"/>
        <w:rPr>
          <w:rFonts w:hint="eastAsia"/>
        </w:rPr>
      </w:pPr>
      <w:r>
        <w:rPr>
          <w:rFonts w:hint="default"/>
          <w:lang w:val="en-US" w:eastAsia="zh-CN"/>
        </w:rPr>
        <w:t>（</w:t>
      </w:r>
      <w:r>
        <w:rPr>
          <w:rFonts w:hint="eastAsia"/>
          <w:lang w:val="en-US" w:eastAsia="zh-CN"/>
        </w:rPr>
        <w:t>十七</w:t>
      </w:r>
      <w:r>
        <w:rPr>
          <w:rFonts w:hint="default"/>
          <w:lang w:val="en-US" w:eastAsia="zh-CN"/>
        </w:rPr>
        <w:t>）</w:t>
      </w:r>
      <w:r>
        <w:rPr>
          <w:rFonts w:hint="eastAsia"/>
        </w:rPr>
        <w:t>我司承诺提供具备资质的第三方出具的产品的出厂检验报告、合格证书。</w:t>
      </w:r>
    </w:p>
    <w:p>
      <w:pPr>
        <w:ind w:firstLine="480"/>
        <w:rPr>
          <w:rFonts w:hint="eastAsia"/>
        </w:rPr>
      </w:pPr>
      <w:r>
        <w:rPr>
          <w:rFonts w:hint="default"/>
          <w:lang w:val="en-US" w:eastAsia="zh-CN"/>
        </w:rPr>
        <w:t>（</w:t>
      </w:r>
      <w:r>
        <w:rPr>
          <w:rFonts w:hint="eastAsia"/>
          <w:lang w:val="en-US" w:eastAsia="zh-CN"/>
        </w:rPr>
        <w:t>十八</w:t>
      </w:r>
      <w:r>
        <w:rPr>
          <w:rFonts w:hint="default"/>
          <w:lang w:val="en-US" w:eastAsia="zh-CN"/>
        </w:rPr>
        <w:t>）</w:t>
      </w:r>
      <w:r>
        <w:rPr>
          <w:rFonts w:hint="eastAsia"/>
        </w:rPr>
        <w:t>质保期届满后，如采购方需要，持续为项目所供应的货物提供一切服务，确保产品质量合格，按采购方要求保质保量按时完成供货。</w:t>
      </w:r>
    </w:p>
    <w:p>
      <w:pPr>
        <w:ind w:firstLine="480"/>
        <w:rPr>
          <w:rFonts w:hint="eastAsia"/>
        </w:rPr>
      </w:pPr>
      <w:r>
        <w:rPr>
          <w:rFonts w:hint="default"/>
          <w:lang w:val="en-US" w:eastAsia="zh-CN"/>
        </w:rPr>
        <w:t>（</w:t>
      </w:r>
      <w:r>
        <w:rPr>
          <w:rFonts w:hint="eastAsia"/>
          <w:lang w:val="en-US" w:eastAsia="zh-CN"/>
        </w:rPr>
        <w:t>十九</w:t>
      </w:r>
      <w:r>
        <w:rPr>
          <w:rFonts w:hint="default"/>
          <w:lang w:val="en-US" w:eastAsia="zh-CN"/>
        </w:rPr>
        <w:t>）</w:t>
      </w:r>
      <w:r>
        <w:rPr>
          <w:rFonts w:hint="eastAsia"/>
        </w:rPr>
        <w:t>我单位保证所供产品严格按照招标文件及采购方要求进行供货，保证所供产品不低于招标文件及采购方要求。</w:t>
      </w:r>
    </w:p>
    <w:p>
      <w:pPr>
        <w:ind w:firstLine="480"/>
        <w:rPr>
          <w:rFonts w:hint="eastAsia"/>
        </w:rPr>
      </w:pPr>
      <w:r>
        <w:rPr>
          <w:rFonts w:hint="default"/>
          <w:lang w:val="en-US" w:eastAsia="zh-CN"/>
        </w:rPr>
        <w:t>（</w:t>
      </w:r>
      <w:r>
        <w:rPr>
          <w:rFonts w:hint="eastAsia"/>
          <w:lang w:val="en-US" w:eastAsia="zh-CN"/>
        </w:rPr>
        <w:t>二十</w:t>
      </w:r>
      <w:r>
        <w:rPr>
          <w:rFonts w:hint="default"/>
          <w:lang w:val="en-US" w:eastAsia="zh-CN"/>
        </w:rPr>
        <w:t>）</w:t>
      </w:r>
      <w:r>
        <w:rPr>
          <w:rFonts w:hint="eastAsia"/>
        </w:rPr>
        <w:t>我单位保证在采购人的监督下进行货物配送及分发，提供现场照片、货物验收表等资料，并承担相关费用。</w:t>
      </w:r>
    </w:p>
    <w:p>
      <w:pPr>
        <w:ind w:firstLine="480"/>
        <w:rPr>
          <w:rFonts w:hint="eastAsia"/>
        </w:rPr>
      </w:pPr>
      <w:r>
        <w:rPr>
          <w:rFonts w:hint="default"/>
          <w:lang w:val="en-US" w:eastAsia="zh-CN"/>
        </w:rPr>
        <w:t>（</w:t>
      </w:r>
      <w:r>
        <w:rPr>
          <w:rFonts w:hint="eastAsia"/>
          <w:lang w:val="en-US" w:eastAsia="zh-CN"/>
        </w:rPr>
        <w:t>二十一</w:t>
      </w:r>
      <w:r>
        <w:rPr>
          <w:rFonts w:hint="default"/>
          <w:lang w:val="en-US" w:eastAsia="zh-CN"/>
        </w:rPr>
        <w:t>）</w:t>
      </w:r>
      <w:r>
        <w:rPr>
          <w:rFonts w:hint="eastAsia"/>
        </w:rPr>
        <w:t>若我单位有幸中标，中标后，采购人组织考察组对我单位进行实地察看，若我单位原料库存量，发酵车间、生产能力等实际情况与响应文件不符，视为违约，并取消中标资格。采购人组织察看所产生的相关费用由采购人自行承担。</w:t>
      </w:r>
    </w:p>
    <w:p>
      <w:pPr>
        <w:ind w:firstLine="480"/>
        <w:rPr>
          <w:rFonts w:hint="eastAsia"/>
        </w:rPr>
      </w:pPr>
      <w:r>
        <w:rPr>
          <w:rFonts w:hint="default"/>
          <w:lang w:val="en-US" w:eastAsia="zh-CN"/>
        </w:rPr>
        <w:t>（</w:t>
      </w:r>
      <w:r>
        <w:rPr>
          <w:rFonts w:hint="eastAsia"/>
          <w:lang w:val="en-US" w:eastAsia="zh-CN"/>
        </w:rPr>
        <w:t>二十二</w:t>
      </w:r>
      <w:r>
        <w:rPr>
          <w:rFonts w:hint="default"/>
          <w:lang w:val="en-US" w:eastAsia="zh-CN"/>
        </w:rPr>
        <w:t>）</w:t>
      </w:r>
      <w:r>
        <w:rPr>
          <w:rFonts w:hint="eastAsia"/>
        </w:rPr>
        <w:t>若我单位有幸中标，中标后，我单位绝不会委托其他企业代其生产，若有违反，视为违约，并取消中标资格。</w:t>
      </w:r>
    </w:p>
    <w:p>
      <w:pPr>
        <w:ind w:firstLine="480"/>
        <w:rPr>
          <w:rFonts w:hint="eastAsia"/>
        </w:rPr>
      </w:pPr>
      <w:r>
        <w:rPr>
          <w:rFonts w:hint="default"/>
          <w:lang w:val="en-US" w:eastAsia="zh-CN"/>
        </w:rPr>
        <w:t>（</w:t>
      </w:r>
      <w:r>
        <w:rPr>
          <w:rFonts w:hint="eastAsia"/>
          <w:lang w:val="en-US" w:eastAsia="zh-CN"/>
        </w:rPr>
        <w:t>二十三</w:t>
      </w:r>
      <w:r>
        <w:rPr>
          <w:rFonts w:hint="default"/>
          <w:lang w:val="en-US" w:eastAsia="zh-CN"/>
        </w:rPr>
        <w:t>）</w:t>
      </w:r>
      <w:r>
        <w:rPr>
          <w:rFonts w:hint="eastAsia"/>
        </w:rPr>
        <w:t>若我单位有幸中标，中标后，采购人将随机指定相关人员对产品生产过程进行定期或不定期检查。</w:t>
      </w:r>
    </w:p>
    <w:p>
      <w:pPr>
        <w:ind w:firstLine="480"/>
        <w:rPr>
          <w:rFonts w:hint="eastAsia"/>
        </w:rPr>
      </w:pPr>
      <w:r>
        <w:rPr>
          <w:rFonts w:hint="default"/>
          <w:lang w:val="en-US" w:eastAsia="zh-CN"/>
        </w:rPr>
        <w:t>（</w:t>
      </w:r>
      <w:r>
        <w:rPr>
          <w:rFonts w:hint="eastAsia"/>
          <w:lang w:val="en-US" w:eastAsia="zh-CN"/>
        </w:rPr>
        <w:t>二十四</w:t>
      </w:r>
      <w:r>
        <w:rPr>
          <w:rFonts w:hint="default"/>
          <w:lang w:val="en-US" w:eastAsia="zh-CN"/>
        </w:rPr>
        <w:t>）</w:t>
      </w:r>
      <w:r>
        <w:rPr>
          <w:rFonts w:hint="eastAsia"/>
        </w:rPr>
        <w:t>供货过程中，采购人将可将我单位所供的产品随机抽样一次，送到采购人指定的有资质的第三方检测机构检测，检测结果若未达到本次采购需求，采购人有权不予验收，送检过程中产生的一切费用由我单位承担。</w:t>
      </w:r>
    </w:p>
    <w:p>
      <w:pPr>
        <w:ind w:firstLine="480"/>
        <w:rPr>
          <w:rFonts w:hint="eastAsia"/>
        </w:rPr>
      </w:pPr>
      <w:r>
        <w:rPr>
          <w:rFonts w:hint="default"/>
          <w:lang w:val="en-US" w:eastAsia="zh-CN"/>
        </w:rPr>
        <w:t>（</w:t>
      </w:r>
      <w:r>
        <w:rPr>
          <w:rFonts w:hint="eastAsia"/>
          <w:lang w:val="en-US" w:eastAsia="zh-CN"/>
        </w:rPr>
        <w:t>二十五</w:t>
      </w:r>
      <w:r>
        <w:rPr>
          <w:rFonts w:hint="default"/>
          <w:lang w:val="en-US" w:eastAsia="zh-CN"/>
        </w:rPr>
        <w:t>）</w:t>
      </w:r>
      <w:r>
        <w:rPr>
          <w:rFonts w:hint="eastAsia"/>
        </w:rPr>
        <w:t>我单位保证向采购方提供最新的第三方检测机构出具的有机肥检验报告。</w:t>
      </w:r>
    </w:p>
    <w:p>
      <w:pPr>
        <w:ind w:firstLine="480"/>
        <w:rPr>
          <w:rFonts w:hint="eastAsia"/>
        </w:rPr>
      </w:pPr>
      <w:r>
        <w:rPr>
          <w:rFonts w:hint="default"/>
          <w:lang w:val="en-US" w:eastAsia="zh-CN"/>
        </w:rPr>
        <w:t>（</w:t>
      </w:r>
      <w:r>
        <w:rPr>
          <w:rFonts w:hint="eastAsia"/>
          <w:lang w:val="en-US" w:eastAsia="zh-CN"/>
        </w:rPr>
        <w:t>二十六</w:t>
      </w:r>
      <w:r>
        <w:rPr>
          <w:rFonts w:hint="default"/>
          <w:lang w:val="en-US" w:eastAsia="zh-CN"/>
        </w:rPr>
        <w:t>）</w:t>
      </w:r>
      <w:r>
        <w:rPr>
          <w:rFonts w:hint="eastAsia"/>
        </w:rPr>
        <w:t>我单位严格按照招标文件及采购方要求的产品技术参数，保证提供产品完全符合或优于采购方的技术规格参数，我方供应产品技术参数如下：</w:t>
      </w:r>
    </w:p>
    <w:p>
      <w:pPr>
        <w:ind w:firstLine="480"/>
        <w:rPr>
          <w:rFonts w:hint="eastAsia"/>
        </w:rPr>
      </w:pPr>
      <w:r>
        <w:rPr>
          <w:rFonts w:hint="eastAsia"/>
        </w:rPr>
        <w:t>1</w:t>
      </w:r>
      <w:r>
        <w:rPr>
          <w:rFonts w:hint="eastAsia"/>
          <w:lang w:eastAsia="zh-CN"/>
        </w:rPr>
        <w:t>、</w:t>
      </w:r>
      <w:r>
        <w:rPr>
          <w:rFonts w:hint="eastAsia"/>
        </w:rPr>
        <w:t>生物有机肥：按NY884_2012的标准执行</w:t>
      </w:r>
    </w:p>
    <w:tbl>
      <w:tblPr>
        <w:tblStyle w:val="34"/>
        <w:tblW w:w="83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5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1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b/>
                <w:color w:val="000000"/>
                <w:kern w:val="0"/>
                <w14:textOutline w14:w="11112" w14:cap="flat" w14:cmpd="sng" w14:algn="ctr">
                  <w14:solidFill>
                    <w14:schemeClr w14:val="accent2"/>
                  </w14:solidFill>
                  <w14:prstDash w14:val="solid"/>
                  <w14:round/>
                </w14:textOutline>
              </w:rPr>
            </w:pPr>
            <w:r>
              <w:rPr>
                <w:rFonts w:hint="eastAsia"/>
                <w:b/>
                <w:bCs w:val="0"/>
              </w:rPr>
              <w:t>生物有机肥产品技术指标要求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项目</w:t>
            </w:r>
          </w:p>
        </w:tc>
        <w:tc>
          <w:tcPr>
            <w:tcW w:w="51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有效活菌数</w:t>
            </w:r>
            <w:r>
              <w:rPr>
                <w:rFonts w:hint="eastAsia"/>
                <w:color w:val="000000"/>
                <w:kern w:val="0"/>
                <w:lang w:eastAsia="zh-CN"/>
              </w:rPr>
              <w:t>（</w:t>
            </w:r>
            <w:r>
              <w:rPr>
                <w:rFonts w:hint="eastAsia"/>
                <w:color w:val="000000"/>
                <w:kern w:val="0"/>
              </w:rPr>
              <w:t>cfu</w:t>
            </w:r>
            <w:r>
              <w:rPr>
                <w:rFonts w:hint="eastAsia"/>
                <w:color w:val="000000"/>
                <w:kern w:val="0"/>
                <w:lang w:eastAsia="zh-CN"/>
              </w:rPr>
              <w:t>）</w:t>
            </w:r>
            <w:r>
              <w:rPr>
                <w:rFonts w:hint="eastAsia"/>
                <w:color w:val="000000"/>
                <w:kern w:val="0"/>
              </w:rPr>
              <w:t>，亿/g</w:t>
            </w:r>
          </w:p>
        </w:tc>
        <w:tc>
          <w:tcPr>
            <w:tcW w:w="51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w:t>
            </w:r>
            <w:r>
              <w:rPr>
                <w:color w:val="000000"/>
                <w:kern w:val="0"/>
              </w:rPr>
              <w:t>0.2亿/g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有机质（以干基计），%</w:t>
            </w:r>
          </w:p>
        </w:tc>
        <w:tc>
          <w:tcPr>
            <w:tcW w:w="51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w:t>
            </w:r>
            <w:r>
              <w:rPr>
                <w:color w:val="000000"/>
                <w:kern w:val="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水分，%</w:t>
            </w:r>
          </w:p>
        </w:tc>
        <w:tc>
          <w:tcPr>
            <w:tcW w:w="51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w:t>
            </w:r>
            <w:r>
              <w:rPr>
                <w:color w:val="000000"/>
                <w:kern w:val="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pH值</w:t>
            </w:r>
          </w:p>
        </w:tc>
        <w:tc>
          <w:tcPr>
            <w:tcW w:w="51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color w:val="000000"/>
                <w:kern w:val="0"/>
              </w:rPr>
              <w:t>5.5-8.5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粪大肠菌群数，个/g</w:t>
            </w:r>
          </w:p>
        </w:tc>
        <w:tc>
          <w:tcPr>
            <w:tcW w:w="51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w:t>
            </w:r>
            <w:r>
              <w:rPr>
                <w:color w:val="000000"/>
                <w:kern w:val="0"/>
              </w:rPr>
              <w:t>100个/g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蛔虫卵死亡率，%</w:t>
            </w:r>
          </w:p>
        </w:tc>
        <w:tc>
          <w:tcPr>
            <w:tcW w:w="51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w:t>
            </w:r>
            <w:r>
              <w:rPr>
                <w:color w:val="000000"/>
                <w:kern w:val="0"/>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总</w:t>
            </w:r>
            <w:r>
              <w:rPr>
                <w:color w:val="000000"/>
                <w:kern w:val="0"/>
              </w:rPr>
              <w:t>AS</w:t>
            </w:r>
          </w:p>
        </w:tc>
        <w:tc>
          <w:tcPr>
            <w:tcW w:w="51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w:t>
            </w:r>
            <w:r>
              <w:rPr>
                <w:color w:val="000000"/>
                <w:kern w:val="0"/>
              </w:rPr>
              <w:t>15mg/kg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总</w:t>
            </w:r>
            <w:r>
              <w:rPr>
                <w:color w:val="000000"/>
                <w:kern w:val="0"/>
              </w:rPr>
              <w:t>Cd</w:t>
            </w:r>
          </w:p>
        </w:tc>
        <w:tc>
          <w:tcPr>
            <w:tcW w:w="51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w:t>
            </w:r>
            <w:r>
              <w:rPr>
                <w:color w:val="000000"/>
                <w:kern w:val="0"/>
              </w:rPr>
              <w:t>3mg/kg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总</w:t>
            </w:r>
            <w:r>
              <w:rPr>
                <w:color w:val="000000"/>
                <w:kern w:val="0"/>
              </w:rPr>
              <w:t>Pb</w:t>
            </w:r>
          </w:p>
        </w:tc>
        <w:tc>
          <w:tcPr>
            <w:tcW w:w="51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color w:val="000000"/>
                <w:kern w:val="0"/>
              </w:rPr>
              <w:t>≤50mg/kg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总</w:t>
            </w:r>
            <w:r>
              <w:rPr>
                <w:color w:val="000000"/>
                <w:kern w:val="0"/>
              </w:rPr>
              <w:t>Cr</w:t>
            </w:r>
          </w:p>
        </w:tc>
        <w:tc>
          <w:tcPr>
            <w:tcW w:w="51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color w:val="000000"/>
                <w:kern w:val="0"/>
              </w:rPr>
              <w:t>150mg/kg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总</w:t>
            </w:r>
            <w:r>
              <w:rPr>
                <w:color w:val="000000"/>
                <w:kern w:val="0"/>
              </w:rPr>
              <w:t>Hg</w:t>
            </w:r>
          </w:p>
        </w:tc>
        <w:tc>
          <w:tcPr>
            <w:tcW w:w="51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w:t>
            </w:r>
            <w:r>
              <w:rPr>
                <w:color w:val="000000"/>
                <w:kern w:val="0"/>
              </w:rPr>
              <w:t>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种子发芽成活率</w:t>
            </w:r>
          </w:p>
        </w:tc>
        <w:tc>
          <w:tcPr>
            <w:tcW w:w="51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w:t>
            </w:r>
            <w:r>
              <w:rPr>
                <w:color w:val="000000"/>
                <w:kern w:val="0"/>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规格</w:t>
            </w:r>
          </w:p>
        </w:tc>
        <w:tc>
          <w:tcPr>
            <w:tcW w:w="51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color w:val="000000"/>
                <w:kern w:val="0"/>
              </w:rPr>
              <w:t>40kg/袋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有效期，月</w:t>
            </w:r>
          </w:p>
        </w:tc>
        <w:tc>
          <w:tcPr>
            <w:tcW w:w="51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color w:val="000000"/>
                <w:kern w:val="0"/>
              </w:rPr>
              <w:t>12</w:t>
            </w:r>
          </w:p>
        </w:tc>
      </w:tr>
    </w:tbl>
    <w:p>
      <w:pPr>
        <w:ind w:firstLine="480"/>
        <w:rPr>
          <w:rFonts w:hint="eastAsia"/>
        </w:rPr>
      </w:pPr>
      <w:r>
        <w:rPr>
          <w:rFonts w:hint="eastAsia"/>
          <w:lang w:val="en-US" w:eastAsia="zh-CN"/>
        </w:rPr>
        <w:t>2、</w:t>
      </w:r>
      <w:r>
        <w:rPr>
          <w:rFonts w:hint="eastAsia"/>
        </w:rPr>
        <w:t>生物有机肥原料为植物源，杜绝使用水库、河道、池塘和有机城市垃圾等作为原料，不存在添加“褐煤”“畜禽粪便”的情况，确保重金属含量不超标，长期使用无残留、无毒、无副作用。</w:t>
      </w:r>
    </w:p>
    <w:p>
      <w:pPr>
        <w:ind w:firstLine="480"/>
        <w:rPr>
          <w:rFonts w:hint="eastAsia"/>
        </w:rPr>
      </w:pPr>
      <w:r>
        <w:rPr>
          <w:rFonts w:hint="eastAsia"/>
        </w:rPr>
        <w:t>3、业主方可组织专家到生产企业现场考察并随机对原材料及成品取样，合格后再签订供货合同。</w:t>
      </w:r>
      <w:bookmarkEnd w:id="566"/>
    </w:p>
    <w:p>
      <w:pPr>
        <w:ind w:firstLine="480"/>
        <w:rPr>
          <w:rFonts w:hint="eastAsia"/>
        </w:rPr>
      </w:pPr>
      <w:r>
        <w:rPr>
          <w:rFonts w:hint="eastAsia"/>
        </w:rPr>
        <w:br w:type="page"/>
      </w:r>
    </w:p>
    <w:p>
      <w:pPr>
        <w:pStyle w:val="4"/>
        <w:bidi w:val="0"/>
      </w:pPr>
      <w:bookmarkStart w:id="570" w:name="_Ref118206381"/>
      <w:bookmarkStart w:id="571" w:name="_Toc118293294"/>
      <w:bookmarkStart w:id="572" w:name="_Toc11621"/>
      <w:bookmarkStart w:id="573" w:name="_Ref118206388"/>
      <w:bookmarkStart w:id="574" w:name="_Toc116121532"/>
      <w:bookmarkStart w:id="575" w:name="_Toc107845199"/>
      <w:bookmarkStart w:id="576" w:name="_Ref118206379"/>
      <w:bookmarkStart w:id="577" w:name="_Toc118223534"/>
      <w:r>
        <w:rPr>
          <w:rFonts w:hint="eastAsia"/>
          <w:lang w:val="en-US" w:eastAsia="zh-CN"/>
        </w:rPr>
        <w:t xml:space="preserve">第二节  </w:t>
      </w:r>
      <w:r>
        <w:rPr>
          <w:rFonts w:hint="eastAsia"/>
        </w:rPr>
        <w:t>质量保证措施</w:t>
      </w:r>
      <w:bookmarkEnd w:id="570"/>
      <w:bookmarkEnd w:id="571"/>
      <w:bookmarkEnd w:id="572"/>
      <w:bookmarkEnd w:id="573"/>
      <w:bookmarkEnd w:id="574"/>
      <w:bookmarkEnd w:id="575"/>
      <w:bookmarkEnd w:id="576"/>
      <w:bookmarkEnd w:id="577"/>
    </w:p>
    <w:p>
      <w:pPr>
        <w:pStyle w:val="5"/>
        <w:bidi w:val="0"/>
      </w:pPr>
      <w:bookmarkStart w:id="578" w:name="_Toc4762"/>
      <w:bookmarkStart w:id="579" w:name="_Toc107845200"/>
      <w:bookmarkStart w:id="580" w:name="_Toc116121533"/>
      <w:bookmarkStart w:id="581" w:name="_Toc106727892"/>
      <w:bookmarkStart w:id="582" w:name="_Toc105600328"/>
      <w:bookmarkStart w:id="583" w:name="_Toc118293295"/>
      <w:r>
        <w:rPr>
          <w:rFonts w:hint="eastAsia"/>
          <w:lang w:val="en-US" w:eastAsia="zh-CN"/>
        </w:rPr>
        <w:t>一、</w:t>
      </w:r>
      <w:r>
        <w:rPr>
          <w:rFonts w:hint="eastAsia"/>
        </w:rPr>
        <w:t>质量管理制度和质量保障目标</w:t>
      </w:r>
      <w:bookmarkEnd w:id="578"/>
      <w:bookmarkEnd w:id="579"/>
      <w:bookmarkEnd w:id="580"/>
      <w:bookmarkEnd w:id="581"/>
      <w:bookmarkEnd w:id="582"/>
      <w:bookmarkEnd w:id="583"/>
    </w:p>
    <w:p>
      <w:pPr>
        <w:ind w:firstLine="480"/>
      </w:pPr>
      <w:r>
        <w:rPr>
          <w:rFonts w:hint="eastAsia"/>
        </w:rPr>
        <w:t>我公司提供的货物是我公司生产的合格产品，符合国家规定的相关质量标准，满足招标文件中的技术要求。</w:t>
      </w:r>
    </w:p>
    <w:p>
      <w:pPr>
        <w:ind w:firstLine="480"/>
      </w:pPr>
      <w:r>
        <w:rPr>
          <w:rFonts w:hint="eastAsia"/>
        </w:rPr>
        <w:t>在送到使用单位时，货物的外包装完整，且货物的表面无划伤、破损现象。并提供货物的合格证、说明书及其它配套资料等。</w:t>
      </w:r>
    </w:p>
    <w:p>
      <w:pPr>
        <w:pStyle w:val="6"/>
        <w:bidi w:val="0"/>
      </w:pPr>
      <w:bookmarkStart w:id="584" w:name="_Toc21314"/>
      <w:r>
        <w:rPr>
          <w:rFonts w:hint="eastAsia"/>
          <w:lang w:eastAsia="zh-CN"/>
        </w:rPr>
        <w:t>（</w:t>
      </w:r>
      <w:r>
        <w:rPr>
          <w:rFonts w:hint="eastAsia"/>
          <w:lang w:val="en-US" w:eastAsia="zh-CN"/>
        </w:rPr>
        <w:t>一</w:t>
      </w:r>
      <w:r>
        <w:rPr>
          <w:rFonts w:hint="eastAsia"/>
          <w:lang w:eastAsia="zh-CN"/>
        </w:rPr>
        <w:t>）</w:t>
      </w:r>
      <w:r>
        <w:rPr>
          <w:rFonts w:hint="eastAsia"/>
        </w:rPr>
        <w:t>提供合格的产品</w:t>
      </w:r>
      <w:bookmarkEnd w:id="584"/>
    </w:p>
    <w:p>
      <w:pPr>
        <w:ind w:firstLine="480"/>
      </w:pPr>
      <w:r>
        <w:rPr>
          <w:rFonts w:hint="eastAsia"/>
        </w:rPr>
        <w:t>我方按照采购人提供的供应计划（包括调整计划）及要求的品种和数量向采购人提供满足本合同技术规定要求的质量合格、全新的货物。对于采购急需的货物我方承诺采取其他有力措施以保证供货的及时性，因此所发生的所有费用由我方自己承担。</w:t>
      </w:r>
    </w:p>
    <w:p>
      <w:pPr>
        <w:pStyle w:val="6"/>
        <w:bidi w:val="0"/>
      </w:pPr>
      <w:bookmarkStart w:id="585" w:name="_Toc14629"/>
      <w:r>
        <w:rPr>
          <w:rFonts w:hint="eastAsia"/>
          <w:lang w:val="en-US" w:eastAsia="zh-CN"/>
        </w:rPr>
        <w:t>（二）</w:t>
      </w:r>
      <w:r>
        <w:rPr>
          <w:rFonts w:hint="eastAsia"/>
        </w:rPr>
        <w:t>不合格产品的处理</w:t>
      </w:r>
      <w:bookmarkEnd w:id="585"/>
    </w:p>
    <w:p>
      <w:pPr>
        <w:ind w:firstLine="480"/>
      </w:pPr>
      <w:r>
        <w:rPr>
          <w:rFonts w:hint="eastAsia"/>
        </w:rPr>
        <w:t>采购人在交货地点有权随时抽检我方交货产品的质量，如发现质量不符合本合同规定，采购人有权拒收货物、拒付合同价款，并追究卖方由此造成的经济损失。我方供应货物的质量指标不符合合同规定的质量标准，我方自行处理并承担由此所发生的全部费用。在质保期内，合同货物出现质量问题，经维修后仍然出现同样质量问题，我方予以无偿更换。质量保修期内，我方未能按采购人要求修复出现的缺陷，采购人有权另行委托其他单位修复，由此发生的费用，由我方自己承担。</w:t>
      </w:r>
    </w:p>
    <w:p>
      <w:pPr>
        <w:pStyle w:val="6"/>
        <w:bidi w:val="0"/>
      </w:pPr>
      <w:bookmarkStart w:id="586" w:name="_Toc26069"/>
      <w:r>
        <w:rPr>
          <w:rFonts w:hint="eastAsia"/>
          <w:lang w:val="en-US" w:eastAsia="zh-CN"/>
        </w:rPr>
        <w:t>（三）</w:t>
      </w:r>
      <w:r>
        <w:rPr>
          <w:rFonts w:hint="eastAsia"/>
        </w:rPr>
        <w:t>包装、运输</w:t>
      </w:r>
      <w:bookmarkEnd w:id="586"/>
    </w:p>
    <w:p>
      <w:pPr>
        <w:ind w:firstLine="480"/>
      </w:pPr>
      <w:r>
        <w:rPr>
          <w:rFonts w:hint="eastAsia"/>
        </w:rPr>
        <w:t>我方交付的所有合同货物均符合相关储运指示标志的规定，按照国家有关部门最新的规定进行装载，满足运输、能承受水平受力、垂直受力、多次搬运、装卸、防潮、防震、防碎等包装要求。我方按照合同货物的特点，按需要分别加上防霉、防腐蚀、防冻、防盗的保护措施，以便合同货物在没有任何损坏和腐蚀的情况下安全地运抵合同货物现场。</w:t>
      </w:r>
    </w:p>
    <w:p>
      <w:pPr>
        <w:ind w:firstLine="480"/>
      </w:pPr>
      <w:r>
        <w:rPr>
          <w:rFonts w:hint="eastAsia"/>
        </w:rPr>
        <w:t>合同货物装载前，我方应负责按部进行检查清理，不留异物，并保证货物干净。接到供货通知后，将及时安排公司车辆进行货物装运，在装运货物时做到安全文明，严格货物规格，尽量避免发生差错带来损失，如用敞篷车装载完毕必须绑扎牢固并加盖防雨篷布遮盖，货物在运输时均办理货物保险，并督促驾驶人员必须按照运输合同规定按时将产品安全、迅速、准确无误和保质保量地运交到用户指定的卸货地点。我方认真执行产品贮存、运输规程，避免长时间燥晒，运输中注意遮盖位置、捆绑方法，避免货物被污染。</w:t>
      </w:r>
    </w:p>
    <w:p>
      <w:pPr>
        <w:ind w:firstLine="480"/>
      </w:pPr>
      <w:r>
        <w:rPr>
          <w:rFonts w:hint="eastAsia"/>
        </w:rPr>
        <w:t>根据合同产品的特点和在运输中的不同要求，我方应在合同货物包装物外表明确标注货物的仓储保管要求，包装物外表的标注应清晰、牢固、防水、耐磨。</w:t>
      </w:r>
    </w:p>
    <w:p>
      <w:pPr>
        <w:ind w:firstLine="480"/>
      </w:pPr>
      <w:r>
        <w:rPr>
          <w:rFonts w:hint="eastAsia"/>
        </w:rPr>
        <w:t>如果我方未提出明确要求或采购人按我方要求进行仓储保管，合同货物在保管期间发生损坏的，我方承担由于修理或更换损坏的合同货物而发生的一切费用。若因我方车辆限制或调配原因无法运输而由买方车辆承运部分，则我方按市场价格向买方支付运输费用。</w:t>
      </w:r>
    </w:p>
    <w:p>
      <w:pPr>
        <w:widowControl/>
        <w:spacing w:before="0" w:after="0" w:line="240" w:lineRule="auto"/>
        <w:ind w:firstLine="0" w:firstLineChars="0"/>
        <w:jc w:val="left"/>
      </w:pPr>
      <w:r>
        <w:br w:type="page"/>
      </w:r>
    </w:p>
    <w:p>
      <w:pPr>
        <w:pStyle w:val="5"/>
        <w:bidi w:val="0"/>
      </w:pPr>
      <w:bookmarkStart w:id="587" w:name="_Toc118293296"/>
      <w:bookmarkStart w:id="588" w:name="_Toc744"/>
      <w:bookmarkStart w:id="589" w:name="_Toc116121534"/>
      <w:bookmarkStart w:id="590" w:name="_Toc106727893"/>
      <w:bookmarkStart w:id="591" w:name="_Toc107845201"/>
      <w:bookmarkStart w:id="592" w:name="_Toc105600329"/>
      <w:r>
        <w:rPr>
          <w:rFonts w:hint="eastAsia"/>
          <w:lang w:val="en-US" w:eastAsia="zh-CN"/>
        </w:rPr>
        <w:t>二、</w:t>
      </w:r>
      <w:r>
        <w:rPr>
          <w:rFonts w:hint="eastAsia"/>
        </w:rPr>
        <w:t>质量保证措施</w:t>
      </w:r>
      <w:bookmarkEnd w:id="587"/>
      <w:bookmarkEnd w:id="588"/>
      <w:bookmarkEnd w:id="589"/>
      <w:bookmarkEnd w:id="590"/>
      <w:bookmarkEnd w:id="591"/>
      <w:bookmarkEnd w:id="592"/>
    </w:p>
    <w:p>
      <w:pPr>
        <w:ind w:firstLine="480"/>
      </w:pPr>
      <w:r>
        <w:rPr>
          <w:rFonts w:hint="eastAsia"/>
        </w:rPr>
        <w:t>我公司将严格按照国家标准要求把好产品质量关，通过对原辅材料、发酵过程、半成品、成品的层层检验把关，确保产品质量。并按国家标准组织生产和进行验收，产品的各项理化性能指标均达到标准要求，质量稳定可靠。具体质量保障目标如下：</w:t>
      </w:r>
    </w:p>
    <w:p>
      <w:pPr>
        <w:ind w:firstLine="480"/>
      </w:pPr>
      <w:r>
        <w:rPr>
          <w:rFonts w:hint="eastAsia"/>
        </w:rPr>
        <w:t>（</w:t>
      </w:r>
      <w:r>
        <w:rPr>
          <w:rFonts w:hint="eastAsia"/>
          <w:lang w:val="en-US" w:eastAsia="zh-CN"/>
        </w:rPr>
        <w:t>一</w:t>
      </w:r>
      <w:r>
        <w:rPr>
          <w:rFonts w:hint="eastAsia"/>
        </w:rPr>
        <w:t>）严格遵守国家《产品质量法》、《计量法》、《标准化法》、《消费者权益保护-法》等相关法律、法规的规定，牢固树立产品质量主体责任意识，自觉履行法定义务，对我单位生产的产品质量负责。</w:t>
      </w:r>
    </w:p>
    <w:p>
      <w:pPr>
        <w:ind w:firstLine="480"/>
      </w:pPr>
      <w:r>
        <w:rPr>
          <w:rFonts w:hint="eastAsia"/>
        </w:rPr>
        <w:t>（</w:t>
      </w:r>
      <w:r>
        <w:rPr>
          <w:rFonts w:hint="eastAsia"/>
          <w:lang w:val="en-US" w:eastAsia="zh-CN"/>
        </w:rPr>
        <w:t>二</w:t>
      </w:r>
      <w:r>
        <w:rPr>
          <w:rFonts w:hint="eastAsia"/>
        </w:rPr>
        <w:t>）依法取得相关产品生产经营资质。</w:t>
      </w:r>
    </w:p>
    <w:p>
      <w:pPr>
        <w:ind w:firstLine="480"/>
      </w:pPr>
      <w:r>
        <w:rPr>
          <w:rFonts w:hint="eastAsia"/>
        </w:rPr>
        <w:t>（</w:t>
      </w:r>
      <w:r>
        <w:rPr>
          <w:rFonts w:hint="eastAsia"/>
          <w:lang w:val="en-US" w:eastAsia="zh-CN"/>
        </w:rPr>
        <w:t>三</w:t>
      </w:r>
      <w:r>
        <w:rPr>
          <w:rFonts w:hint="eastAsia"/>
        </w:rPr>
        <w:t>）建立完善质量管理体系，不断提升质量管理水平和产品质量水平，保证产品质量符合国家有关产品标准，具备应当具备的使用性能，不存在危及人体健康、人身财产安全的不合理的危险。</w:t>
      </w:r>
    </w:p>
    <w:p>
      <w:pPr>
        <w:ind w:firstLine="480"/>
      </w:pPr>
      <w:r>
        <w:rPr>
          <w:rFonts w:hint="eastAsia"/>
        </w:rPr>
        <w:t>（</w:t>
      </w:r>
      <w:r>
        <w:rPr>
          <w:rFonts w:hint="eastAsia"/>
          <w:lang w:val="en-US" w:eastAsia="zh-CN"/>
        </w:rPr>
        <w:t>四</w:t>
      </w:r>
      <w:r>
        <w:rPr>
          <w:rFonts w:hint="eastAsia"/>
        </w:rPr>
        <w:t>）建立完善产品质量检测体系，提高产品质量检验检测能力，严格原料进厂查验制度和成品出厂检验制度，保证产品经检验合格后出厂。</w:t>
      </w:r>
    </w:p>
    <w:p>
      <w:pPr>
        <w:ind w:firstLine="480"/>
      </w:pPr>
      <w:r>
        <w:rPr>
          <w:rFonts w:hint="eastAsia"/>
        </w:rPr>
        <w:t>（</w:t>
      </w:r>
      <w:r>
        <w:rPr>
          <w:rFonts w:hint="eastAsia"/>
          <w:lang w:val="en-US" w:eastAsia="zh-CN"/>
        </w:rPr>
        <w:t>五</w:t>
      </w:r>
      <w:r>
        <w:rPr>
          <w:rFonts w:hint="eastAsia"/>
        </w:rPr>
        <w:t>）建立完善产品质量溯源制度，明确质量相关人员岗位责任，建立和保存产品生产记录和销售台帐，保证产品质量问题的可溯性。</w:t>
      </w:r>
    </w:p>
    <w:p>
      <w:pPr>
        <w:ind w:firstLine="480"/>
      </w:pPr>
      <w:r>
        <w:rPr>
          <w:rFonts w:hint="eastAsia"/>
        </w:rPr>
        <w:t>（</w:t>
      </w:r>
      <w:r>
        <w:rPr>
          <w:rFonts w:hint="eastAsia"/>
          <w:lang w:val="en-US" w:eastAsia="zh-CN"/>
        </w:rPr>
        <w:t>六</w:t>
      </w:r>
      <w:r>
        <w:rPr>
          <w:rFonts w:hint="eastAsia"/>
        </w:rPr>
        <w:t>）产品配发检验合格证书和适量使用说明书，以确保用户能正确使用我单位产品。</w:t>
      </w:r>
    </w:p>
    <w:p>
      <w:pPr>
        <w:ind w:firstLine="480"/>
      </w:pPr>
      <w:r>
        <w:rPr>
          <w:rFonts w:hint="eastAsia"/>
        </w:rPr>
        <w:t>（</w:t>
      </w:r>
      <w:r>
        <w:rPr>
          <w:rFonts w:hint="eastAsia"/>
          <w:lang w:val="en-US" w:eastAsia="zh-CN"/>
        </w:rPr>
        <w:t>七</w:t>
      </w:r>
      <w:r>
        <w:rPr>
          <w:rFonts w:hint="eastAsia"/>
        </w:rPr>
        <w:t>）我单位保证出厂的产品均按有关国家标准生产和检验，不合格的产品决不出厂。保证严格履行、兑现产品三包，严格执行国家化肥工业产品售后服务有关规定，对本单位产品自发货日起的保质期为一年，若买方能够证实产品本身确有材料或加工缺陷，并向本单位提出书面申请，本单位将有质量问题的产品免费召回，更换或按订货价全额退款。</w:t>
      </w:r>
    </w:p>
    <w:p>
      <w:pPr>
        <w:ind w:firstLine="480"/>
      </w:pPr>
      <w:r>
        <w:rPr>
          <w:rFonts w:hint="eastAsia"/>
        </w:rPr>
        <w:t>（</w:t>
      </w:r>
      <w:r>
        <w:rPr>
          <w:rFonts w:hint="eastAsia"/>
          <w:lang w:val="en-US" w:eastAsia="zh-CN"/>
        </w:rPr>
        <w:t>八</w:t>
      </w:r>
      <w:r>
        <w:rPr>
          <w:rFonts w:hint="eastAsia"/>
        </w:rPr>
        <w:t>）用户对我单位产品提出质量异议，本单位保证在接到用户提出异议后24小时内作出处理意见。若需现场解决的，保证派出专业技术服务人员，并做到质量问题不解决服务人员不撤离。对每件用户反馈的产品质量问题及处理结果我厂将予以存档。</w:t>
      </w:r>
    </w:p>
    <w:p>
      <w:pPr>
        <w:ind w:firstLine="480"/>
      </w:pPr>
      <w:r>
        <w:rPr>
          <w:rFonts w:hint="eastAsia"/>
        </w:rPr>
        <w:t>（</w:t>
      </w:r>
      <w:r>
        <w:rPr>
          <w:rFonts w:hint="eastAsia"/>
          <w:lang w:val="en-US" w:eastAsia="zh-CN"/>
        </w:rPr>
        <w:t>九</w:t>
      </w:r>
      <w:r>
        <w:rPr>
          <w:rFonts w:hint="eastAsia"/>
        </w:rPr>
        <w:t>）建立完善质量诚信体系，加强自律，保证产品的标识内容全面、真实、可靠；保证不生产国家明令淘汰的产品，不伪造产品产地，不伪造或冒用厂名、厂址及质量标志，不掺杂掺假、以次充好、以假充真，不以不合格产品冒充合格产品；不短斤缺两。发现质量问题，及时报告，妥善处理。</w:t>
      </w:r>
    </w:p>
    <w:p>
      <w:pPr>
        <w:ind w:firstLine="480"/>
      </w:pPr>
      <w:r>
        <w:rPr>
          <w:rFonts w:hint="eastAsia"/>
        </w:rPr>
        <w:t>（</w:t>
      </w:r>
      <w:r>
        <w:rPr>
          <w:rFonts w:hint="eastAsia"/>
          <w:lang w:val="en-US" w:eastAsia="zh-CN"/>
        </w:rPr>
        <w:t>十</w:t>
      </w:r>
      <w:r>
        <w:rPr>
          <w:rFonts w:hint="eastAsia"/>
        </w:rPr>
        <w:t>）建立完善售后服务制度，接受消费者的产品质量查询，严格落实“三包”规定，妥善处理消费者的投诉和建议，依法履行赔偿义务。</w:t>
      </w:r>
    </w:p>
    <w:p>
      <w:pPr>
        <w:ind w:firstLine="480"/>
      </w:pPr>
      <w:r>
        <w:rPr>
          <w:rFonts w:hint="eastAsia"/>
        </w:rPr>
        <w:t>（</w:t>
      </w:r>
      <w:r>
        <w:rPr>
          <w:rFonts w:hint="eastAsia"/>
          <w:lang w:val="en-US" w:eastAsia="zh-CN"/>
        </w:rPr>
        <w:t>十一</w:t>
      </w:r>
      <w:r>
        <w:rPr>
          <w:rFonts w:hint="eastAsia"/>
        </w:rPr>
        <w:t>）接受群众、媒体和质监部门的监督，积极配合质监部门依法进行的产品质量监督检查和日常监管。</w:t>
      </w:r>
    </w:p>
    <w:p>
      <w:pPr>
        <w:pStyle w:val="5"/>
        <w:bidi w:val="0"/>
      </w:pPr>
      <w:bookmarkStart w:id="593" w:name="_Toc116121535"/>
      <w:bookmarkStart w:id="594" w:name="_Toc107845202"/>
      <w:bookmarkStart w:id="595" w:name="_Toc118293297"/>
      <w:bookmarkStart w:id="596" w:name="_Toc106727894"/>
      <w:bookmarkStart w:id="597" w:name="_Toc18359"/>
      <w:bookmarkStart w:id="598" w:name="_Toc105600330"/>
      <w:r>
        <w:rPr>
          <w:rFonts w:hint="eastAsia"/>
          <w:lang w:val="en-US" w:eastAsia="zh-CN"/>
        </w:rPr>
        <w:t>三、</w:t>
      </w:r>
      <w:r>
        <w:rPr>
          <w:rFonts w:hint="eastAsia"/>
        </w:rPr>
        <w:t>产品质量控制技术和措施</w:t>
      </w:r>
      <w:bookmarkEnd w:id="593"/>
      <w:bookmarkEnd w:id="594"/>
      <w:bookmarkEnd w:id="595"/>
      <w:bookmarkEnd w:id="596"/>
      <w:bookmarkEnd w:id="597"/>
      <w:bookmarkEnd w:id="598"/>
    </w:p>
    <w:p>
      <w:pPr>
        <w:ind w:firstLine="480"/>
        <w:rPr>
          <w:rFonts w:hint="eastAsia"/>
        </w:rPr>
      </w:pPr>
      <w:r>
        <w:rPr>
          <w:rFonts w:hint="eastAsia"/>
          <w:lang w:eastAsia="zh-CN"/>
        </w:rPr>
        <w:t>（</w:t>
      </w:r>
      <w:r>
        <w:rPr>
          <w:rFonts w:hint="eastAsia"/>
          <w:lang w:val="en-US" w:eastAsia="zh-CN"/>
        </w:rPr>
        <w:t>一</w:t>
      </w:r>
      <w:r>
        <w:rPr>
          <w:rFonts w:hint="eastAsia"/>
          <w:lang w:eastAsia="zh-CN"/>
        </w:rPr>
        <w:t>）</w:t>
      </w:r>
      <w:r>
        <w:rPr>
          <w:rFonts w:hint="eastAsia"/>
        </w:rPr>
        <w:t>为保证产品质量，保证产品的高可靠性和先进，选用优质原料，按已取得认证的ISO9001质量体系标准，对原、辅材料的采购和验收进行严格控制，做到每批原、辅材料检验合格后方可入库。</w:t>
      </w:r>
    </w:p>
    <w:p>
      <w:pPr>
        <w:ind w:firstLine="480"/>
        <w:rPr>
          <w:rFonts w:hint="eastAsia"/>
        </w:rPr>
      </w:pPr>
      <w:r>
        <w:rPr>
          <w:rFonts w:hint="eastAsia"/>
          <w:lang w:eastAsia="zh-CN"/>
        </w:rPr>
        <w:t>（</w:t>
      </w:r>
      <w:r>
        <w:rPr>
          <w:rFonts w:hint="eastAsia"/>
          <w:lang w:val="en-US" w:eastAsia="zh-CN"/>
        </w:rPr>
        <w:t>二</w:t>
      </w:r>
      <w:r>
        <w:rPr>
          <w:rFonts w:hint="eastAsia"/>
          <w:lang w:eastAsia="zh-CN"/>
        </w:rPr>
        <w:t>）</w:t>
      </w:r>
      <w:r>
        <w:rPr>
          <w:rFonts w:hint="eastAsia"/>
        </w:rPr>
        <w:t>严格按ISO9001质量体系标准要求，对产品生产工序及工艺流程严格控制，并对每步进行初步检验，复检合格后方可进入下一道工序流程生产。</w:t>
      </w:r>
    </w:p>
    <w:p>
      <w:pPr>
        <w:ind w:firstLine="480"/>
        <w:rPr>
          <w:rFonts w:hint="eastAsia"/>
        </w:rPr>
      </w:pPr>
      <w:r>
        <w:rPr>
          <w:rFonts w:hint="eastAsia"/>
          <w:lang w:eastAsia="zh-CN"/>
        </w:rPr>
        <w:t>（</w:t>
      </w:r>
      <w:r>
        <w:rPr>
          <w:rFonts w:hint="eastAsia"/>
          <w:lang w:val="en-US" w:eastAsia="zh-CN"/>
        </w:rPr>
        <w:t>三</w:t>
      </w:r>
      <w:r>
        <w:rPr>
          <w:rFonts w:hint="eastAsia"/>
          <w:lang w:eastAsia="zh-CN"/>
        </w:rPr>
        <w:t>）</w:t>
      </w:r>
      <w:r>
        <w:rPr>
          <w:rFonts w:hint="eastAsia"/>
        </w:rPr>
        <w:t>产成品通过严格检验，合格后方可入库。</w:t>
      </w:r>
    </w:p>
    <w:p>
      <w:pPr>
        <w:ind w:firstLine="480"/>
        <w:rPr>
          <w:rFonts w:hint="eastAsia"/>
        </w:rPr>
      </w:pPr>
      <w:r>
        <w:rPr>
          <w:rFonts w:hint="eastAsia"/>
          <w:lang w:eastAsia="zh-CN"/>
        </w:rPr>
        <w:t>（</w:t>
      </w:r>
      <w:r>
        <w:rPr>
          <w:rFonts w:hint="eastAsia"/>
          <w:lang w:val="en-US" w:eastAsia="zh-CN"/>
        </w:rPr>
        <w:t>四</w:t>
      </w:r>
      <w:r>
        <w:rPr>
          <w:rFonts w:hint="eastAsia"/>
          <w:lang w:eastAsia="zh-CN"/>
        </w:rPr>
        <w:t>）</w:t>
      </w:r>
      <w:r>
        <w:rPr>
          <w:rFonts w:hint="eastAsia"/>
        </w:rPr>
        <w:t>产品出厂前并进行严格例检，确保合格产品出厂。</w:t>
      </w:r>
    </w:p>
    <w:p>
      <w:pPr>
        <w:ind w:firstLine="480"/>
        <w:rPr>
          <w:rFonts w:hint="eastAsia"/>
        </w:rPr>
      </w:pPr>
      <w:r>
        <w:rPr>
          <w:rFonts w:hint="eastAsia"/>
          <w:lang w:eastAsia="zh-CN"/>
        </w:rPr>
        <w:t>（</w:t>
      </w:r>
      <w:r>
        <w:rPr>
          <w:rFonts w:hint="eastAsia"/>
          <w:lang w:val="en-US" w:eastAsia="zh-CN"/>
        </w:rPr>
        <w:t>五</w:t>
      </w:r>
      <w:r>
        <w:rPr>
          <w:rFonts w:hint="eastAsia"/>
          <w:lang w:eastAsia="zh-CN"/>
        </w:rPr>
        <w:t>）</w:t>
      </w:r>
      <w:r>
        <w:rPr>
          <w:rFonts w:hint="eastAsia"/>
        </w:rPr>
        <w:t>原、辅材料以及产品的制造过程、检测均有详细的资料记录。</w:t>
      </w:r>
    </w:p>
    <w:p>
      <w:pPr>
        <w:ind w:firstLine="480"/>
        <w:rPr>
          <w:rFonts w:hint="eastAsia"/>
        </w:rPr>
      </w:pPr>
      <w:r>
        <w:rPr>
          <w:rFonts w:hint="eastAsia"/>
          <w:lang w:eastAsia="zh-CN"/>
        </w:rPr>
        <w:t>（</w:t>
      </w:r>
      <w:r>
        <w:rPr>
          <w:rFonts w:hint="eastAsia"/>
          <w:lang w:val="en-US" w:eastAsia="zh-CN"/>
        </w:rPr>
        <w:t>六</w:t>
      </w:r>
      <w:r>
        <w:rPr>
          <w:rFonts w:hint="eastAsia"/>
          <w:lang w:eastAsia="zh-CN"/>
        </w:rPr>
        <w:t>）</w:t>
      </w:r>
      <w:r>
        <w:rPr>
          <w:rFonts w:hint="eastAsia"/>
        </w:rPr>
        <w:t>本公司特制定本质量保证措施。</w:t>
      </w:r>
    </w:p>
    <w:p>
      <w:pPr>
        <w:ind w:firstLine="480"/>
        <w:rPr>
          <w:rFonts w:hint="eastAsia"/>
        </w:rPr>
      </w:pPr>
      <w:r>
        <w:rPr>
          <w:rFonts w:hint="eastAsia"/>
          <w:lang w:eastAsia="zh-CN"/>
        </w:rPr>
        <w:t>（</w:t>
      </w:r>
      <w:r>
        <w:rPr>
          <w:rFonts w:hint="eastAsia"/>
          <w:lang w:val="en-US" w:eastAsia="zh-CN"/>
        </w:rPr>
        <w:t>七</w:t>
      </w:r>
      <w:r>
        <w:rPr>
          <w:rFonts w:hint="eastAsia"/>
          <w:lang w:eastAsia="zh-CN"/>
        </w:rPr>
        <w:t>）</w:t>
      </w:r>
      <w:r>
        <w:rPr>
          <w:rFonts w:hint="eastAsia"/>
        </w:rPr>
        <w:t>控制目标</w:t>
      </w:r>
    </w:p>
    <w:p>
      <w:pPr>
        <w:ind w:firstLine="480"/>
        <w:rPr>
          <w:rFonts w:hint="eastAsia"/>
        </w:rPr>
      </w:pPr>
      <w:r>
        <w:rPr>
          <w:rFonts w:hint="eastAsia"/>
        </w:rPr>
        <w:t>提高产品质量、降低质量损失，持续改进，满足客户需要。</w:t>
      </w:r>
    </w:p>
    <w:p>
      <w:pPr>
        <w:ind w:firstLine="480"/>
        <w:rPr>
          <w:rFonts w:hint="eastAsia"/>
        </w:rPr>
      </w:pPr>
      <w:r>
        <w:rPr>
          <w:rFonts w:hint="eastAsia"/>
          <w:lang w:val="en-US" w:eastAsia="zh-CN"/>
        </w:rPr>
        <w:t>1、</w:t>
      </w:r>
      <w:r>
        <w:rPr>
          <w:rFonts w:hint="eastAsia"/>
        </w:rPr>
        <w:t>关健控制点</w:t>
      </w:r>
    </w:p>
    <w:p>
      <w:pPr>
        <w:ind w:firstLine="480"/>
        <w:rPr>
          <w:rFonts w:hint="eastAsia"/>
        </w:rPr>
      </w:pPr>
      <w:r>
        <w:rPr>
          <w:rFonts w:hint="eastAsia"/>
          <w:lang w:eastAsia="zh-CN"/>
        </w:rPr>
        <w:t>（</w:t>
      </w:r>
      <w:r>
        <w:rPr>
          <w:rFonts w:hint="eastAsia"/>
          <w:lang w:val="en-US" w:eastAsia="zh-CN"/>
        </w:rPr>
        <w:t>1</w:t>
      </w:r>
      <w:r>
        <w:rPr>
          <w:rFonts w:hint="eastAsia"/>
          <w:lang w:eastAsia="zh-CN"/>
        </w:rPr>
        <w:t>）</w:t>
      </w:r>
      <w:r>
        <w:rPr>
          <w:rFonts w:hint="eastAsia"/>
        </w:rPr>
        <w:t>合同评审质量控制采购原料质量控制产品检验质量控制包装质量控制</w:t>
      </w:r>
    </w:p>
    <w:p>
      <w:pPr>
        <w:ind w:firstLine="480"/>
        <w:rPr>
          <w:rFonts w:hint="eastAsia"/>
        </w:rPr>
      </w:pPr>
      <w:r>
        <w:rPr>
          <w:rFonts w:hint="eastAsia"/>
          <w:lang w:eastAsia="zh-CN"/>
        </w:rPr>
        <w:t>（</w:t>
      </w:r>
      <w:r>
        <w:rPr>
          <w:rFonts w:hint="eastAsia"/>
          <w:lang w:val="en-US" w:eastAsia="zh-CN"/>
        </w:rPr>
        <w:t>2</w:t>
      </w:r>
      <w:r>
        <w:rPr>
          <w:rFonts w:hint="eastAsia"/>
          <w:lang w:eastAsia="zh-CN"/>
        </w:rPr>
        <w:t>）</w:t>
      </w:r>
      <w:r>
        <w:rPr>
          <w:rFonts w:hint="eastAsia"/>
        </w:rPr>
        <w:t>售后服务质量控制顾客满意度</w:t>
      </w:r>
    </w:p>
    <w:p>
      <w:pPr>
        <w:ind w:firstLine="480"/>
        <w:rPr>
          <w:rFonts w:hint="eastAsia"/>
        </w:rPr>
      </w:pPr>
      <w:r>
        <w:rPr>
          <w:rFonts w:hint="eastAsia"/>
          <w:lang w:val="en-US" w:eastAsia="zh-CN"/>
        </w:rPr>
        <w:t>2、</w:t>
      </w:r>
      <w:r>
        <w:rPr>
          <w:rFonts w:hint="eastAsia"/>
        </w:rPr>
        <w:t>合同评审质量控制</w:t>
      </w:r>
    </w:p>
    <w:p>
      <w:pPr>
        <w:ind w:firstLine="480"/>
        <w:rPr>
          <w:rFonts w:hint="eastAsia"/>
        </w:rPr>
      </w:pPr>
      <w:r>
        <w:rPr>
          <w:rFonts w:hint="eastAsia"/>
          <w:lang w:eastAsia="zh-CN"/>
        </w:rPr>
        <w:t>（</w:t>
      </w:r>
      <w:r>
        <w:rPr>
          <w:rFonts w:hint="eastAsia"/>
          <w:lang w:val="en-US" w:eastAsia="zh-CN"/>
        </w:rPr>
        <w:t>1</w:t>
      </w:r>
      <w:r>
        <w:rPr>
          <w:rFonts w:hint="eastAsia"/>
          <w:lang w:eastAsia="zh-CN"/>
        </w:rPr>
        <w:t>）</w:t>
      </w:r>
      <w:r>
        <w:rPr>
          <w:rFonts w:hint="eastAsia"/>
        </w:rPr>
        <w:t>合同评审由公司市场部组织实施，质量部门派人参与，合同评审必须在合同签订前进行。</w:t>
      </w:r>
    </w:p>
    <w:p>
      <w:pPr>
        <w:ind w:firstLine="480"/>
        <w:rPr>
          <w:rFonts w:hint="eastAsia"/>
        </w:rPr>
      </w:pPr>
      <w:r>
        <w:rPr>
          <w:rFonts w:hint="eastAsia"/>
          <w:lang w:eastAsia="zh-CN"/>
        </w:rPr>
        <w:t>（</w:t>
      </w:r>
      <w:r>
        <w:rPr>
          <w:rFonts w:hint="eastAsia"/>
          <w:lang w:val="en-US" w:eastAsia="zh-CN"/>
        </w:rPr>
        <w:t>2</w:t>
      </w:r>
      <w:r>
        <w:rPr>
          <w:rFonts w:hint="eastAsia"/>
          <w:lang w:eastAsia="zh-CN"/>
        </w:rPr>
        <w:t>）</w:t>
      </w:r>
      <w:r>
        <w:rPr>
          <w:rFonts w:hint="eastAsia"/>
        </w:rPr>
        <w:t>合同涉及质量参数的更改必须对改正的内容进行评审，评审通过后方可同意更改。</w:t>
      </w:r>
    </w:p>
    <w:p>
      <w:pPr>
        <w:ind w:firstLine="480"/>
        <w:rPr>
          <w:rFonts w:hint="eastAsia"/>
        </w:rPr>
      </w:pPr>
      <w:r>
        <w:rPr>
          <w:rFonts w:hint="eastAsia"/>
          <w:lang w:eastAsia="zh-CN"/>
        </w:rPr>
        <w:t>（</w:t>
      </w:r>
      <w:r>
        <w:rPr>
          <w:rFonts w:hint="eastAsia"/>
          <w:lang w:val="en-US" w:eastAsia="zh-CN"/>
        </w:rPr>
        <w:t>3</w:t>
      </w:r>
      <w:r>
        <w:rPr>
          <w:rFonts w:hint="eastAsia"/>
          <w:lang w:eastAsia="zh-CN"/>
        </w:rPr>
        <w:t>）</w:t>
      </w:r>
      <w:r>
        <w:rPr>
          <w:rFonts w:hint="eastAsia"/>
        </w:rPr>
        <w:t>合同评审记录应妥善保存，保存期限为合同执行完毕后2年。</w:t>
      </w:r>
    </w:p>
    <w:p>
      <w:pPr>
        <w:ind w:firstLine="480"/>
        <w:rPr>
          <w:rFonts w:hint="eastAsia"/>
        </w:rPr>
      </w:pPr>
      <w:r>
        <w:rPr>
          <w:rFonts w:hint="eastAsia"/>
          <w:lang w:val="en-US" w:eastAsia="zh-CN"/>
        </w:rPr>
        <w:t>3、</w:t>
      </w:r>
      <w:r>
        <w:rPr>
          <w:rFonts w:hint="eastAsia"/>
        </w:rPr>
        <w:t>采购原料质量控制</w:t>
      </w:r>
    </w:p>
    <w:p>
      <w:pPr>
        <w:ind w:firstLine="480"/>
        <w:rPr>
          <w:rFonts w:hint="eastAsia"/>
        </w:rPr>
      </w:pPr>
      <w:r>
        <w:rPr>
          <w:rFonts w:hint="eastAsia"/>
          <w:lang w:eastAsia="zh-CN"/>
        </w:rPr>
        <w:t>（</w:t>
      </w:r>
      <w:r>
        <w:rPr>
          <w:rFonts w:hint="eastAsia"/>
          <w:lang w:val="en-US" w:eastAsia="zh-CN"/>
        </w:rPr>
        <w:t>1</w:t>
      </w:r>
      <w:r>
        <w:rPr>
          <w:rFonts w:hint="eastAsia"/>
          <w:lang w:eastAsia="zh-CN"/>
        </w:rPr>
        <w:t>）</w:t>
      </w:r>
      <w:r>
        <w:rPr>
          <w:rFonts w:hint="eastAsia"/>
        </w:rPr>
        <w:t>质量部门参与对物资采购或外协的质量评审，特殊情况必须得到授权批准。</w:t>
      </w:r>
    </w:p>
    <w:p>
      <w:pPr>
        <w:ind w:firstLine="480"/>
        <w:rPr>
          <w:rFonts w:hint="eastAsia"/>
        </w:rPr>
      </w:pPr>
      <w:r>
        <w:rPr>
          <w:rFonts w:hint="eastAsia"/>
          <w:lang w:eastAsia="zh-CN"/>
        </w:rPr>
        <w:t>（</w:t>
      </w:r>
      <w:r>
        <w:rPr>
          <w:rFonts w:hint="eastAsia"/>
          <w:lang w:val="en-US" w:eastAsia="zh-CN"/>
        </w:rPr>
        <w:t>2</w:t>
      </w:r>
      <w:r>
        <w:rPr>
          <w:rFonts w:hint="eastAsia"/>
          <w:lang w:eastAsia="zh-CN"/>
        </w:rPr>
        <w:t>）</w:t>
      </w:r>
      <w:r>
        <w:rPr>
          <w:rFonts w:hint="eastAsia"/>
        </w:rPr>
        <w:t>采购物资的检验按照合同和技术条件规定进行，检验或验证后必须形成记录，以便查阅或朔源。不具备条件检验和验证的，委托具备条件的单位进行检验。</w:t>
      </w:r>
    </w:p>
    <w:p>
      <w:pPr>
        <w:ind w:firstLine="480"/>
        <w:rPr>
          <w:rFonts w:hint="eastAsia"/>
        </w:rPr>
      </w:pPr>
      <w:r>
        <w:rPr>
          <w:rFonts w:hint="eastAsia"/>
          <w:lang w:eastAsia="zh-CN"/>
        </w:rPr>
        <w:t>（</w:t>
      </w:r>
      <w:r>
        <w:rPr>
          <w:rFonts w:hint="eastAsia"/>
          <w:lang w:val="en-US" w:eastAsia="zh-CN"/>
        </w:rPr>
        <w:t>3</w:t>
      </w:r>
      <w:r>
        <w:rPr>
          <w:rFonts w:hint="eastAsia"/>
          <w:lang w:eastAsia="zh-CN"/>
        </w:rPr>
        <w:t>）</w:t>
      </w:r>
      <w:r>
        <w:rPr>
          <w:rFonts w:hint="eastAsia"/>
        </w:rPr>
        <w:t>我公司按照质量体系的要求，从原材料进厂到产品的出厂，对产品质量进行全过程的控制，每个环节均严格把关，具体情况如下：</w:t>
      </w:r>
    </w:p>
    <w:p>
      <w:pPr>
        <w:ind w:firstLine="480"/>
        <w:rPr>
          <w:rFonts w:hint="eastAsia"/>
        </w:rPr>
      </w:pPr>
      <w:r>
        <w:rPr>
          <w:rFonts w:hint="eastAsia"/>
          <w:lang w:val="en-US" w:eastAsia="zh-CN"/>
        </w:rPr>
        <w:t>4、</w:t>
      </w:r>
      <w:r>
        <w:rPr>
          <w:rFonts w:hint="eastAsia"/>
        </w:rPr>
        <w:t>原材料的购进：</w:t>
      </w:r>
    </w:p>
    <w:p>
      <w:pPr>
        <w:ind w:firstLine="480"/>
        <w:rPr>
          <w:rFonts w:hint="eastAsia"/>
        </w:rPr>
      </w:pPr>
      <w:r>
        <w:rPr>
          <w:rFonts w:hint="eastAsia"/>
          <w:lang w:eastAsia="zh-CN"/>
        </w:rPr>
        <w:t>（</w:t>
      </w:r>
      <w:r>
        <w:rPr>
          <w:rFonts w:hint="eastAsia"/>
          <w:lang w:val="en-US" w:eastAsia="zh-CN"/>
        </w:rPr>
        <w:t>1）</w:t>
      </w:r>
      <w:r>
        <w:rPr>
          <w:rFonts w:hint="eastAsia"/>
        </w:rPr>
        <w:t>从企业信誉、质量、售后服务择优选择合格的原本材料供应商。</w:t>
      </w:r>
    </w:p>
    <w:p>
      <w:pPr>
        <w:ind w:firstLine="480"/>
        <w:rPr>
          <w:rFonts w:hint="eastAsia"/>
        </w:rPr>
      </w:pPr>
      <w:r>
        <w:rPr>
          <w:rFonts w:hint="eastAsia"/>
          <w:lang w:eastAsia="zh-CN"/>
        </w:rPr>
        <w:t>（</w:t>
      </w:r>
      <w:r>
        <w:rPr>
          <w:rFonts w:hint="eastAsia"/>
          <w:lang w:val="en-US" w:eastAsia="zh-CN"/>
        </w:rPr>
        <w:t>2</w:t>
      </w:r>
      <w:r>
        <w:rPr>
          <w:rFonts w:hint="eastAsia"/>
          <w:lang w:eastAsia="zh-CN"/>
        </w:rPr>
        <w:t>）</w:t>
      </w:r>
      <w:r>
        <w:rPr>
          <w:rFonts w:hint="eastAsia"/>
        </w:rPr>
        <w:t>进入的物资入库前，采购员应填写《原材料外购品质量检验单》交质量管理部进货检验组。</w:t>
      </w:r>
    </w:p>
    <w:p>
      <w:pPr>
        <w:ind w:firstLine="480"/>
        <w:rPr>
          <w:rFonts w:hint="eastAsia"/>
        </w:rPr>
      </w:pPr>
      <w:r>
        <w:rPr>
          <w:rFonts w:hint="eastAsia"/>
          <w:lang w:eastAsia="zh-CN"/>
        </w:rPr>
        <w:t>（</w:t>
      </w:r>
      <w:r>
        <w:rPr>
          <w:rFonts w:hint="eastAsia"/>
          <w:lang w:val="en-US" w:eastAsia="zh-CN"/>
        </w:rPr>
        <w:t>3</w:t>
      </w:r>
      <w:r>
        <w:rPr>
          <w:rFonts w:hint="eastAsia"/>
          <w:lang w:eastAsia="zh-CN"/>
        </w:rPr>
        <w:t>）</w:t>
      </w:r>
      <w:r>
        <w:rPr>
          <w:rFonts w:hint="eastAsia"/>
        </w:rPr>
        <w:t>检验员接到检验单后，首先要验证该批供货单位是否为合格供应商，并验证其有关质量证明文件（如合格证，检验报告等），再对进货实施必要的检验和测量。如该进货不属合格供应商的产品，又没有经例外采购审批手续批准，则予以拒检。检验人员首先对产品包装、养分含量、外观、色泽，干湿度作检验后取部分样品到检测中心作部分物理化学性能的测试。</w:t>
      </w:r>
    </w:p>
    <w:p>
      <w:pPr>
        <w:ind w:firstLine="480"/>
        <w:rPr>
          <w:rFonts w:hint="eastAsia"/>
        </w:rPr>
      </w:pPr>
      <w:r>
        <w:rPr>
          <w:rFonts w:hint="eastAsia"/>
          <w:lang w:eastAsia="zh-CN"/>
        </w:rPr>
        <w:t>（</w:t>
      </w:r>
      <w:r>
        <w:rPr>
          <w:rFonts w:hint="eastAsia"/>
          <w:lang w:val="en-US" w:eastAsia="zh-CN"/>
        </w:rPr>
        <w:t>4</w:t>
      </w:r>
      <w:r>
        <w:rPr>
          <w:rFonts w:hint="eastAsia"/>
          <w:lang w:eastAsia="zh-CN"/>
        </w:rPr>
        <w:t>）</w:t>
      </w:r>
      <w:r>
        <w:rPr>
          <w:rFonts w:hint="eastAsia"/>
        </w:rPr>
        <w:t>进货检验组根据实测情况对比相关检验文件的要求，作出合格与否的决定，经质量管理部负责人审核并签字后，将质检联留存，通知库房保管和生产技术部门。</w:t>
      </w:r>
    </w:p>
    <w:p>
      <w:pPr>
        <w:ind w:firstLine="480"/>
        <w:rPr>
          <w:rFonts w:hint="eastAsia"/>
        </w:rPr>
      </w:pPr>
      <w:r>
        <w:rPr>
          <w:rFonts w:hint="eastAsia"/>
          <w:lang w:eastAsia="zh-CN"/>
        </w:rPr>
        <w:t>（</w:t>
      </w:r>
      <w:r>
        <w:rPr>
          <w:rFonts w:hint="eastAsia"/>
          <w:lang w:val="en-US" w:eastAsia="zh-CN"/>
        </w:rPr>
        <w:t>5</w:t>
      </w:r>
      <w:r>
        <w:rPr>
          <w:rFonts w:hint="eastAsia"/>
          <w:lang w:eastAsia="zh-CN"/>
        </w:rPr>
        <w:t>）</w:t>
      </w:r>
      <w:r>
        <w:rPr>
          <w:rFonts w:hint="eastAsia"/>
        </w:rPr>
        <w:t>库房保管接到检验结果后，根据结果办理入库或退库手续，库房保管对所填物资的数量进行验收，并分类堆放。</w:t>
      </w:r>
    </w:p>
    <w:p>
      <w:pPr>
        <w:ind w:firstLine="480"/>
        <w:rPr>
          <w:rFonts w:hint="eastAsia"/>
        </w:rPr>
      </w:pPr>
      <w:r>
        <w:rPr>
          <w:rFonts w:hint="eastAsia"/>
          <w:lang w:val="en-US" w:eastAsia="zh-CN"/>
        </w:rPr>
        <w:t>5、</w:t>
      </w:r>
      <w:r>
        <w:rPr>
          <w:rFonts w:hint="eastAsia"/>
        </w:rPr>
        <w:t>原材料的使用</w:t>
      </w:r>
    </w:p>
    <w:p>
      <w:pPr>
        <w:ind w:firstLine="480"/>
        <w:rPr>
          <w:rFonts w:hint="eastAsia"/>
        </w:rPr>
      </w:pPr>
      <w:r>
        <w:rPr>
          <w:rFonts w:hint="eastAsia"/>
        </w:rPr>
        <w:t>我方承诺在生产中所使用的原料采用优质全腐熟原料。各个方面满足采购文件规定的质量、规格和性能要求。</w:t>
      </w:r>
    </w:p>
    <w:p>
      <w:pPr>
        <w:ind w:firstLine="480"/>
        <w:rPr>
          <w:rFonts w:hint="eastAsia"/>
        </w:rPr>
      </w:pPr>
      <w:r>
        <w:rPr>
          <w:rFonts w:hint="eastAsia"/>
          <w:lang w:val="en-US" w:eastAsia="zh-CN"/>
        </w:rPr>
        <w:t>6、</w:t>
      </w:r>
      <w:r>
        <w:rPr>
          <w:rFonts w:hint="eastAsia"/>
        </w:rPr>
        <w:t>产品检验质量控制</w:t>
      </w:r>
    </w:p>
    <w:p>
      <w:pPr>
        <w:ind w:firstLine="480"/>
        <w:rPr>
          <w:rFonts w:hint="eastAsia"/>
        </w:rPr>
      </w:pPr>
      <w:r>
        <w:rPr>
          <w:rFonts w:hint="eastAsia"/>
          <w:lang w:eastAsia="zh-CN"/>
        </w:rPr>
        <w:t>（</w:t>
      </w:r>
      <w:r>
        <w:rPr>
          <w:rFonts w:hint="eastAsia"/>
          <w:lang w:val="en-US" w:eastAsia="zh-CN"/>
        </w:rPr>
        <w:t>1</w:t>
      </w:r>
      <w:r>
        <w:rPr>
          <w:rFonts w:hint="eastAsia"/>
          <w:lang w:eastAsia="zh-CN"/>
        </w:rPr>
        <w:t>）</w:t>
      </w:r>
      <w:r>
        <w:rPr>
          <w:rFonts w:hint="eastAsia"/>
        </w:rPr>
        <w:t>对产品的检验和验证由质检部门化验室进行，检验和验证必须按照产品标准对产品进行检验和验证。</w:t>
      </w:r>
    </w:p>
    <w:p>
      <w:pPr>
        <w:ind w:firstLine="480"/>
        <w:rPr>
          <w:rFonts w:hint="eastAsia"/>
        </w:rPr>
      </w:pPr>
      <w:r>
        <w:rPr>
          <w:rFonts w:hint="eastAsia"/>
          <w:lang w:eastAsia="zh-CN"/>
        </w:rPr>
        <w:t>（</w:t>
      </w:r>
      <w:r>
        <w:rPr>
          <w:rFonts w:hint="eastAsia"/>
          <w:lang w:val="en-US" w:eastAsia="zh-CN"/>
        </w:rPr>
        <w:t>2</w:t>
      </w:r>
      <w:r>
        <w:rPr>
          <w:rFonts w:hint="eastAsia"/>
          <w:lang w:eastAsia="zh-CN"/>
        </w:rPr>
        <w:t>）</w:t>
      </w:r>
      <w:r>
        <w:rPr>
          <w:rFonts w:hint="eastAsia"/>
        </w:rPr>
        <w:t>产品检验必须形成记录，检验人员必须在检验记录上签字，以便朔源和追究质量责任。</w:t>
      </w:r>
    </w:p>
    <w:p>
      <w:pPr>
        <w:ind w:firstLine="480"/>
        <w:rPr>
          <w:rFonts w:hint="eastAsia"/>
        </w:rPr>
      </w:pPr>
      <w:r>
        <w:rPr>
          <w:rFonts w:hint="eastAsia"/>
          <w:lang w:eastAsia="zh-CN"/>
        </w:rPr>
        <w:t>（</w:t>
      </w:r>
      <w:r>
        <w:rPr>
          <w:rFonts w:hint="eastAsia"/>
          <w:lang w:val="en-US" w:eastAsia="zh-CN"/>
        </w:rPr>
        <w:t>3</w:t>
      </w:r>
      <w:r>
        <w:rPr>
          <w:rFonts w:hint="eastAsia"/>
          <w:lang w:eastAsia="zh-CN"/>
        </w:rPr>
        <w:t>）</w:t>
      </w:r>
      <w:r>
        <w:rPr>
          <w:rFonts w:hint="eastAsia"/>
        </w:rPr>
        <w:t>产品检验用的检测和试验设备必须经过校准合格，并在有效期内。</w:t>
      </w:r>
    </w:p>
    <w:p>
      <w:pPr>
        <w:ind w:firstLine="480"/>
        <w:rPr>
          <w:rFonts w:hint="eastAsia"/>
        </w:rPr>
      </w:pPr>
      <w:r>
        <w:rPr>
          <w:rFonts w:hint="eastAsia"/>
          <w:lang w:eastAsia="zh-CN"/>
        </w:rPr>
        <w:t>（</w:t>
      </w:r>
      <w:r>
        <w:rPr>
          <w:rFonts w:hint="eastAsia"/>
          <w:lang w:val="en-US" w:eastAsia="zh-CN"/>
        </w:rPr>
        <w:t>4</w:t>
      </w:r>
      <w:r>
        <w:rPr>
          <w:rFonts w:hint="eastAsia"/>
          <w:lang w:eastAsia="zh-CN"/>
        </w:rPr>
        <w:t>）</w:t>
      </w:r>
      <w:r>
        <w:rPr>
          <w:rFonts w:hint="eastAsia"/>
        </w:rPr>
        <w:t>产品检验人员必须经培训、考核、评价合格的人员。</w:t>
      </w:r>
    </w:p>
    <w:p>
      <w:pPr>
        <w:ind w:firstLine="480"/>
        <w:rPr>
          <w:rFonts w:hint="eastAsia"/>
        </w:rPr>
      </w:pPr>
      <w:r>
        <w:rPr>
          <w:rFonts w:hint="eastAsia"/>
          <w:lang w:eastAsia="zh-CN"/>
        </w:rPr>
        <w:t>（</w:t>
      </w:r>
      <w:r>
        <w:rPr>
          <w:rFonts w:hint="eastAsia"/>
          <w:lang w:val="en-US" w:eastAsia="zh-CN"/>
        </w:rPr>
        <w:t>5</w:t>
      </w:r>
      <w:r>
        <w:rPr>
          <w:rFonts w:hint="eastAsia"/>
          <w:lang w:eastAsia="zh-CN"/>
        </w:rPr>
        <w:t>）</w:t>
      </w:r>
      <w:r>
        <w:rPr>
          <w:rFonts w:hint="eastAsia"/>
        </w:rPr>
        <w:t>质检处每月对产品进行监督抽查，抽查产品和频次根据年度质量工作计划，用户意见等方面具体确定。</w:t>
      </w:r>
    </w:p>
    <w:p>
      <w:pPr>
        <w:ind w:firstLine="480"/>
        <w:rPr>
          <w:rFonts w:hint="eastAsia"/>
        </w:rPr>
      </w:pPr>
      <w:r>
        <w:rPr>
          <w:rFonts w:hint="eastAsia"/>
          <w:lang w:val="en-US" w:eastAsia="zh-CN"/>
        </w:rPr>
        <w:t>7、</w:t>
      </w:r>
      <w:r>
        <w:rPr>
          <w:rFonts w:hint="eastAsia"/>
        </w:rPr>
        <w:t>包装质量控制</w:t>
      </w:r>
    </w:p>
    <w:p>
      <w:pPr>
        <w:ind w:firstLine="480"/>
        <w:rPr>
          <w:rFonts w:hint="eastAsia"/>
        </w:rPr>
      </w:pPr>
      <w:r>
        <w:rPr>
          <w:rFonts w:hint="eastAsia"/>
        </w:rPr>
        <w:t>产品出厂前均要进行包装，包装必须符合包装图纸和包装工艺的要求。必须对包装物的质量进行严格控制。</w:t>
      </w:r>
    </w:p>
    <w:p>
      <w:pPr>
        <w:ind w:firstLine="480"/>
        <w:rPr>
          <w:rFonts w:hint="eastAsia"/>
        </w:rPr>
      </w:pPr>
      <w:r>
        <w:rPr>
          <w:rFonts w:hint="eastAsia"/>
          <w:lang w:val="en-US" w:eastAsia="zh-CN"/>
        </w:rPr>
        <w:t>8、</w:t>
      </w:r>
      <w:r>
        <w:rPr>
          <w:rFonts w:hint="eastAsia"/>
        </w:rPr>
        <w:t>售后服务质量控制</w:t>
      </w:r>
    </w:p>
    <w:p>
      <w:pPr>
        <w:ind w:firstLine="480"/>
        <w:rPr>
          <w:rFonts w:hint="eastAsia"/>
        </w:rPr>
      </w:pPr>
      <w:r>
        <w:rPr>
          <w:rFonts w:hint="eastAsia"/>
        </w:rPr>
        <w:t>公司市场部负责产品质量信息和顾客意见的收集和反馈与售后服务，确保服务过程符合规定要求，使顾客满意。</w:t>
      </w:r>
    </w:p>
    <w:p>
      <w:pPr>
        <w:ind w:firstLine="480"/>
        <w:rPr>
          <w:rFonts w:hint="eastAsia"/>
        </w:rPr>
      </w:pPr>
      <w:r>
        <w:rPr>
          <w:rFonts w:hint="eastAsia"/>
        </w:rPr>
        <w:t>售后服务人员完成售后服务后，必须填写售后服务处理卡，经用户签字后交各单位质量部进行分析处理。</w:t>
      </w:r>
    </w:p>
    <w:p>
      <w:pPr>
        <w:ind w:firstLine="480"/>
        <w:rPr>
          <w:rFonts w:hint="eastAsia"/>
        </w:rPr>
      </w:pPr>
      <w:r>
        <w:rPr>
          <w:rFonts w:hint="eastAsia"/>
          <w:lang w:eastAsia="zh-CN"/>
        </w:rPr>
        <w:t>（</w:t>
      </w:r>
      <w:r>
        <w:rPr>
          <w:rFonts w:hint="eastAsia"/>
          <w:lang w:val="en-US" w:eastAsia="zh-CN"/>
        </w:rPr>
        <w:t>八</w:t>
      </w:r>
      <w:r>
        <w:rPr>
          <w:rFonts w:hint="eastAsia"/>
          <w:lang w:eastAsia="zh-CN"/>
        </w:rPr>
        <w:t>）</w:t>
      </w:r>
      <w:r>
        <w:rPr>
          <w:rFonts w:hint="eastAsia"/>
        </w:rPr>
        <w:t>顾客满意度调查</w:t>
      </w:r>
    </w:p>
    <w:p>
      <w:pPr>
        <w:ind w:firstLine="480"/>
        <w:rPr>
          <w:rFonts w:hint="eastAsia"/>
        </w:rPr>
      </w:pPr>
      <w:r>
        <w:rPr>
          <w:rFonts w:hint="eastAsia"/>
          <w:lang w:val="en-US" w:eastAsia="zh-CN"/>
        </w:rPr>
        <w:t>1、</w:t>
      </w:r>
      <w:r>
        <w:rPr>
          <w:rFonts w:hint="eastAsia"/>
        </w:rPr>
        <w:t>公司市场部组织各单位对顾客满意度的收集和评价。</w:t>
      </w:r>
    </w:p>
    <w:p>
      <w:pPr>
        <w:ind w:firstLine="480"/>
        <w:rPr>
          <w:rFonts w:hint="eastAsia"/>
        </w:rPr>
      </w:pPr>
      <w:r>
        <w:rPr>
          <w:rFonts w:hint="eastAsia"/>
          <w:lang w:val="en-US" w:eastAsia="zh-CN"/>
        </w:rPr>
        <w:t>2、</w:t>
      </w:r>
      <w:r>
        <w:rPr>
          <w:rFonts w:hint="eastAsia"/>
        </w:rPr>
        <w:t>质量部协助市场部开展顾客满意度评价活动，质量部可以直接接受顾客投诉。</w:t>
      </w:r>
    </w:p>
    <w:p>
      <w:pPr>
        <w:ind w:firstLine="480"/>
        <w:rPr>
          <w:rFonts w:hint="eastAsia"/>
        </w:rPr>
      </w:pPr>
      <w:r>
        <w:rPr>
          <w:rFonts w:hint="eastAsia"/>
          <w:lang w:val="en-US" w:eastAsia="zh-CN"/>
        </w:rPr>
        <w:t>3、</w:t>
      </w:r>
      <w:r>
        <w:rPr>
          <w:rFonts w:hint="eastAsia"/>
        </w:rPr>
        <w:t>我方按照采购人提供的供应计划（包括调整计划）及要求的品种和数量向采购人提供满足本合同技术规定要求的质量合格、全新的货物。对于采购急需的货物我方承诺采取其他有力措施以保证供货的及时性，因此所发生的所有费用由我方自己承担。</w:t>
      </w:r>
    </w:p>
    <w:p>
      <w:pPr>
        <w:ind w:firstLine="480"/>
        <w:rPr>
          <w:rFonts w:hint="eastAsia"/>
        </w:rPr>
      </w:pPr>
      <w:r>
        <w:rPr>
          <w:rFonts w:hint="eastAsia"/>
          <w:lang w:eastAsia="zh-CN"/>
        </w:rPr>
        <w:t>（</w:t>
      </w:r>
      <w:r>
        <w:rPr>
          <w:rFonts w:hint="eastAsia"/>
          <w:lang w:val="en-US" w:eastAsia="zh-CN"/>
        </w:rPr>
        <w:t>九</w:t>
      </w:r>
      <w:r>
        <w:rPr>
          <w:rFonts w:hint="eastAsia"/>
          <w:lang w:eastAsia="zh-CN"/>
        </w:rPr>
        <w:t>）</w:t>
      </w:r>
      <w:r>
        <w:rPr>
          <w:rFonts w:hint="eastAsia"/>
        </w:rPr>
        <w:t>不合格产品的处理</w:t>
      </w:r>
    </w:p>
    <w:p>
      <w:pPr>
        <w:ind w:firstLine="480"/>
        <w:rPr>
          <w:rFonts w:hint="eastAsia"/>
        </w:rPr>
      </w:pPr>
      <w:r>
        <w:rPr>
          <w:rFonts w:hint="eastAsia"/>
          <w:lang w:val="en-US" w:eastAsia="zh-CN"/>
        </w:rPr>
        <w:t>1、</w:t>
      </w:r>
      <w:r>
        <w:rPr>
          <w:rFonts w:hint="eastAsia"/>
        </w:rPr>
        <w:t>采购人在交货地点有权随时抽检我方交货产品的质量，如发现质量不符合本合同规定，采购人有权拒收货物、拒付合同价款，并追究我方由此造成的经济损失。</w:t>
      </w:r>
    </w:p>
    <w:p>
      <w:pPr>
        <w:ind w:firstLine="480"/>
        <w:rPr>
          <w:rFonts w:hint="eastAsia"/>
        </w:rPr>
      </w:pPr>
      <w:r>
        <w:rPr>
          <w:rFonts w:hint="eastAsia"/>
          <w:lang w:val="en-US" w:eastAsia="zh-CN"/>
        </w:rPr>
        <w:t>2、</w:t>
      </w:r>
      <w:r>
        <w:rPr>
          <w:rFonts w:hint="eastAsia"/>
        </w:rPr>
        <w:t>我方供应货物的质量指标不符合合同规定的质量标准，我方自行处理并承担由此所发生的全部费用。给采购人造成损失的，我方给予赔偿。</w:t>
      </w:r>
    </w:p>
    <w:p>
      <w:pPr>
        <w:ind w:firstLine="480"/>
        <w:rPr>
          <w:rFonts w:hint="eastAsia"/>
        </w:rPr>
      </w:pPr>
      <w:r>
        <w:rPr>
          <w:rFonts w:hint="eastAsia"/>
          <w:lang w:val="en-US" w:eastAsia="zh-CN"/>
        </w:rPr>
        <w:t>3、</w:t>
      </w:r>
      <w:r>
        <w:rPr>
          <w:rFonts w:hint="eastAsia"/>
        </w:rPr>
        <w:t>在质保期内，合同货物出现质量问题，我方予以无偿更换，若出现同类问题，若我方在2个日历天内不能补正，采购视情节有权解除合同，我方赔偿采购人因此所遭受的一切损失，并视为重大违约。质保内，我方未能按采购人要求修复出现的缺陷，采购人有权另行委托其他单位修复，由此发生的费用，从我方的质量保证金中扣除。在质保期满后，如果按照合同规定认为所供货物合格后10个工作日内，退还我方的质量保证金。</w:t>
      </w:r>
    </w:p>
    <w:p>
      <w:pPr>
        <w:widowControl/>
        <w:spacing w:before="0" w:after="0" w:line="240" w:lineRule="auto"/>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5"/>
        <w:bidi w:val="0"/>
      </w:pPr>
      <w:bookmarkStart w:id="599" w:name="_Toc118293298"/>
      <w:bookmarkStart w:id="600" w:name="_Toc116121536"/>
      <w:bookmarkStart w:id="601" w:name="_Toc105600331"/>
      <w:bookmarkStart w:id="602" w:name="_Toc107845203"/>
      <w:bookmarkStart w:id="603" w:name="_Toc21730"/>
      <w:bookmarkStart w:id="604" w:name="_Toc106727895"/>
      <w:r>
        <w:rPr>
          <w:rFonts w:hint="eastAsia"/>
          <w:lang w:val="en-US" w:eastAsia="zh-CN"/>
        </w:rPr>
        <w:t>四、</w:t>
      </w:r>
      <w:r>
        <w:rPr>
          <w:rFonts w:hint="eastAsia"/>
        </w:rPr>
        <w:t>质量抽查</w:t>
      </w:r>
      <w:bookmarkEnd w:id="599"/>
      <w:bookmarkEnd w:id="600"/>
      <w:bookmarkEnd w:id="601"/>
      <w:bookmarkEnd w:id="602"/>
      <w:bookmarkEnd w:id="603"/>
      <w:bookmarkEnd w:id="604"/>
    </w:p>
    <w:p>
      <w:pPr>
        <w:ind w:firstLine="480"/>
      </w:pPr>
      <w:r>
        <w:rPr>
          <w:rFonts w:hint="eastAsia"/>
        </w:rPr>
        <w:t>为了更进一步加强质量管理，树立质量第一的思想，生产科质管组将对肥料产品质量进行定期抽查，具体抽查办法如下：</w:t>
      </w:r>
    </w:p>
    <w:p>
      <w:pPr>
        <w:ind w:firstLine="480"/>
      </w:pPr>
      <w:r>
        <w:rPr>
          <w:rFonts w:hint="eastAsia"/>
          <w:lang w:eastAsia="zh-CN"/>
        </w:rPr>
        <w:t>（</w:t>
      </w:r>
      <w:r>
        <w:rPr>
          <w:rFonts w:hint="eastAsia"/>
          <w:lang w:val="en-US" w:eastAsia="zh-CN"/>
        </w:rPr>
        <w:t>一</w:t>
      </w:r>
      <w:r>
        <w:rPr>
          <w:rFonts w:hint="eastAsia"/>
          <w:lang w:eastAsia="zh-CN"/>
        </w:rPr>
        <w:t>）</w:t>
      </w:r>
      <w:r>
        <w:rPr>
          <w:rFonts w:hint="eastAsia"/>
        </w:rPr>
        <w:t>原则每周抽查一次，具体时间不定，班组不定。</w:t>
      </w:r>
    </w:p>
    <w:p>
      <w:pPr>
        <w:ind w:firstLine="480"/>
      </w:pPr>
      <w:r>
        <w:rPr>
          <w:rFonts w:hint="eastAsia"/>
          <w:lang w:eastAsia="zh-CN"/>
        </w:rPr>
        <w:t>（</w:t>
      </w:r>
      <w:r>
        <w:rPr>
          <w:rFonts w:hint="eastAsia"/>
          <w:lang w:val="en-US" w:eastAsia="zh-CN"/>
        </w:rPr>
        <w:t>二</w:t>
      </w:r>
      <w:r>
        <w:rPr>
          <w:rFonts w:hint="eastAsia"/>
          <w:lang w:eastAsia="zh-CN"/>
        </w:rPr>
        <w:t>）</w:t>
      </w:r>
      <w:r>
        <w:rPr>
          <w:rFonts w:hint="eastAsia"/>
        </w:rPr>
        <w:t>如生产控制分析数据合格，而抽查样分析数据不合格，一律以抽查数据为准，不合格产品不计产量，听侯处理。</w:t>
      </w:r>
    </w:p>
    <w:p>
      <w:pPr>
        <w:ind w:firstLine="480"/>
      </w:pPr>
      <w:r>
        <w:rPr>
          <w:rFonts w:hint="eastAsia"/>
          <w:lang w:eastAsia="zh-CN"/>
        </w:rPr>
        <w:t>（</w:t>
      </w:r>
      <w:r>
        <w:rPr>
          <w:rFonts w:hint="eastAsia"/>
          <w:lang w:val="en-US" w:eastAsia="zh-CN"/>
        </w:rPr>
        <w:t>三</w:t>
      </w:r>
      <w:r>
        <w:rPr>
          <w:rFonts w:hint="eastAsia"/>
          <w:lang w:eastAsia="zh-CN"/>
        </w:rPr>
        <w:t>）</w:t>
      </w:r>
      <w:r>
        <w:rPr>
          <w:rFonts w:hint="eastAsia"/>
        </w:rPr>
        <w:t>如抽查肥粒度结果比生产控制分析结果大幅度下降，说明是弄虚作假，每下降10%，罚款或返工。（本条指合格产品）</w:t>
      </w:r>
    </w:p>
    <w:p>
      <w:pPr>
        <w:ind w:firstLine="480"/>
      </w:pPr>
      <w:r>
        <w:rPr>
          <w:rFonts w:hint="eastAsia"/>
          <w:lang w:eastAsia="zh-CN"/>
        </w:rPr>
        <w:t>（</w:t>
      </w:r>
      <w:r>
        <w:rPr>
          <w:rFonts w:hint="eastAsia"/>
          <w:lang w:val="en-US" w:eastAsia="zh-CN"/>
        </w:rPr>
        <w:t>四</w:t>
      </w:r>
      <w:r>
        <w:rPr>
          <w:rFonts w:hint="eastAsia"/>
          <w:lang w:eastAsia="zh-CN"/>
        </w:rPr>
        <w:t>）</w:t>
      </w:r>
      <w:r>
        <w:rPr>
          <w:rFonts w:hint="eastAsia"/>
        </w:rPr>
        <w:t>包装重量：在本班组、车间自查的基础上进行抽查，发现不合格的（短斤少两）必须返工。</w:t>
      </w:r>
    </w:p>
    <w:p>
      <w:pPr>
        <w:spacing w:before="0" w:after="0" w:line="240" w:lineRule="auto"/>
        <w:ind w:firstLine="0" w:firstLineChars="0"/>
        <w:jc w:val="left"/>
      </w:pPr>
      <w:r>
        <w:br w:type="page"/>
      </w:r>
    </w:p>
    <w:p>
      <w:pPr>
        <w:pStyle w:val="5"/>
        <w:bidi w:val="0"/>
      </w:pPr>
      <w:bookmarkStart w:id="605" w:name="_Toc118293299"/>
      <w:bookmarkStart w:id="606" w:name="_Toc107845204"/>
      <w:bookmarkStart w:id="607" w:name="_Toc19337"/>
      <w:bookmarkStart w:id="608" w:name="_Toc106727896"/>
      <w:bookmarkStart w:id="609" w:name="_Toc116121537"/>
      <w:bookmarkStart w:id="610" w:name="_Toc105600332"/>
      <w:r>
        <w:rPr>
          <w:rFonts w:hint="eastAsia"/>
          <w:lang w:val="en-US" w:eastAsia="zh-CN"/>
        </w:rPr>
        <w:t>五、</w:t>
      </w:r>
      <w:r>
        <w:rPr>
          <w:rFonts w:hint="eastAsia"/>
        </w:rPr>
        <w:t>生产车间区域环境管理</w:t>
      </w:r>
      <w:bookmarkEnd w:id="605"/>
      <w:bookmarkEnd w:id="606"/>
      <w:bookmarkEnd w:id="607"/>
      <w:bookmarkEnd w:id="608"/>
      <w:bookmarkEnd w:id="609"/>
      <w:bookmarkEnd w:id="610"/>
    </w:p>
    <w:p>
      <w:pPr>
        <w:ind w:firstLine="480"/>
        <w:rPr>
          <w:rFonts w:hint="eastAsia" w:eastAsia="宋体"/>
          <w:lang w:eastAsia="zh-CN"/>
        </w:rPr>
      </w:pPr>
      <w:r>
        <w:rPr>
          <w:rFonts w:hint="eastAsia"/>
          <w:lang w:eastAsia="zh-CN"/>
        </w:rPr>
        <w:t>（</w:t>
      </w:r>
      <w:r>
        <w:rPr>
          <w:rFonts w:hint="eastAsia"/>
          <w:lang w:val="en-US" w:eastAsia="zh-CN"/>
        </w:rPr>
        <w:t>一</w:t>
      </w:r>
      <w:r>
        <w:rPr>
          <w:rFonts w:hint="eastAsia"/>
          <w:lang w:eastAsia="zh-CN"/>
        </w:rPr>
        <w:t>）</w:t>
      </w:r>
      <w:r>
        <w:rPr>
          <w:rFonts w:hint="eastAsia"/>
        </w:rPr>
        <w:t>为加强生产部门、办公室环境卫生，创建文明、整洁、优美的生产、生活环境，特制定本制度。</w:t>
      </w:r>
    </w:p>
    <w:p>
      <w:pPr>
        <w:ind w:firstLine="480"/>
        <w:rPr>
          <w:rFonts w:hint="eastAsia" w:eastAsia="宋体"/>
          <w:lang w:eastAsia="zh-CN"/>
        </w:rPr>
      </w:pPr>
      <w:r>
        <w:rPr>
          <w:rFonts w:hint="eastAsia"/>
          <w:lang w:eastAsia="zh-CN"/>
        </w:rPr>
        <w:t>（</w:t>
      </w:r>
      <w:r>
        <w:rPr>
          <w:rFonts w:hint="eastAsia"/>
          <w:lang w:val="en-US" w:eastAsia="zh-CN"/>
        </w:rPr>
        <w:t>二</w:t>
      </w:r>
      <w:r>
        <w:rPr>
          <w:rFonts w:hint="eastAsia"/>
          <w:lang w:eastAsia="zh-CN"/>
        </w:rPr>
        <w:t>）</w:t>
      </w:r>
      <w:r>
        <w:rPr>
          <w:rFonts w:hint="eastAsia"/>
        </w:rPr>
        <w:t>生产厂区的清洁由生产部办公室负责安排人员进行。</w:t>
      </w:r>
    </w:p>
    <w:p>
      <w:pPr>
        <w:ind w:firstLine="480"/>
        <w:rPr>
          <w:rFonts w:hint="eastAsia" w:eastAsia="宋体"/>
          <w:lang w:eastAsia="zh-CN"/>
        </w:rPr>
      </w:pPr>
      <w:r>
        <w:rPr>
          <w:rFonts w:hint="eastAsia"/>
          <w:lang w:eastAsia="zh-CN"/>
        </w:rPr>
        <w:t>（</w:t>
      </w:r>
      <w:r>
        <w:rPr>
          <w:rFonts w:hint="eastAsia"/>
          <w:lang w:val="en-US" w:eastAsia="zh-CN"/>
        </w:rPr>
        <w:t>三</w:t>
      </w:r>
      <w:r>
        <w:rPr>
          <w:rFonts w:hint="eastAsia"/>
          <w:lang w:eastAsia="zh-CN"/>
        </w:rPr>
        <w:t>）</w:t>
      </w:r>
      <w:r>
        <w:rPr>
          <w:rFonts w:hint="eastAsia"/>
        </w:rPr>
        <w:t>办公室的日常卫生由办公室负责清扫和保洁。</w:t>
      </w:r>
    </w:p>
    <w:p>
      <w:pPr>
        <w:ind w:firstLine="480"/>
        <w:rPr>
          <w:rFonts w:hint="eastAsia" w:eastAsia="宋体"/>
          <w:lang w:eastAsia="zh-CN"/>
        </w:rPr>
      </w:pPr>
      <w:r>
        <w:rPr>
          <w:rFonts w:hint="eastAsia"/>
          <w:lang w:eastAsia="zh-CN"/>
        </w:rPr>
        <w:t>（</w:t>
      </w:r>
      <w:r>
        <w:rPr>
          <w:rFonts w:hint="eastAsia"/>
          <w:lang w:val="en-US" w:eastAsia="zh-CN"/>
        </w:rPr>
        <w:t>四</w:t>
      </w:r>
      <w:r>
        <w:rPr>
          <w:rFonts w:hint="eastAsia"/>
          <w:lang w:eastAsia="zh-CN"/>
        </w:rPr>
        <w:t>）</w:t>
      </w:r>
      <w:r>
        <w:rPr>
          <w:rFonts w:hint="eastAsia"/>
        </w:rPr>
        <w:t>禁止在厂区内公共场地倾倒、堆放垃圾，禁止将卫生责任区内的垃圾扫入公共道路或公共场所，禁止在厂区焚烧垃圾、树叶，禁止随地吐痰和乱扔果皮纸屑、烟头等各种废弃物。</w:t>
      </w:r>
    </w:p>
    <w:p>
      <w:pPr>
        <w:ind w:firstLine="480"/>
        <w:rPr>
          <w:rFonts w:hint="eastAsia" w:eastAsia="宋体"/>
          <w:lang w:eastAsia="zh-CN"/>
        </w:rPr>
      </w:pPr>
      <w:r>
        <w:rPr>
          <w:rFonts w:hint="eastAsia"/>
          <w:lang w:eastAsia="zh-CN"/>
        </w:rPr>
        <w:t>（</w:t>
      </w:r>
      <w:r>
        <w:rPr>
          <w:rFonts w:hint="eastAsia"/>
          <w:lang w:val="en-US" w:eastAsia="zh-CN"/>
        </w:rPr>
        <w:t>五</w:t>
      </w:r>
      <w:r>
        <w:rPr>
          <w:rFonts w:hint="eastAsia"/>
          <w:lang w:eastAsia="zh-CN"/>
        </w:rPr>
        <w:t>）</w:t>
      </w:r>
      <w:r>
        <w:rPr>
          <w:rFonts w:hint="eastAsia"/>
        </w:rPr>
        <w:t>排水沟应经常清洗，保持清洁畅通。</w:t>
      </w:r>
    </w:p>
    <w:p>
      <w:pPr>
        <w:ind w:firstLine="480"/>
        <w:rPr>
          <w:rFonts w:hint="eastAsia" w:eastAsia="宋体"/>
          <w:lang w:eastAsia="zh-CN"/>
        </w:rPr>
      </w:pPr>
      <w:r>
        <w:rPr>
          <w:rFonts w:hint="eastAsia"/>
          <w:lang w:eastAsia="zh-CN"/>
        </w:rPr>
        <w:t>（</w:t>
      </w:r>
      <w:r>
        <w:rPr>
          <w:rFonts w:hint="eastAsia"/>
          <w:lang w:val="en-US" w:eastAsia="zh-CN"/>
        </w:rPr>
        <w:t>六</w:t>
      </w:r>
      <w:r>
        <w:rPr>
          <w:rFonts w:hint="eastAsia"/>
          <w:lang w:eastAsia="zh-CN"/>
        </w:rPr>
        <w:t>）</w:t>
      </w:r>
      <w:r>
        <w:rPr>
          <w:rFonts w:hint="eastAsia"/>
        </w:rPr>
        <w:t>厕所及其他公共卫生设施必须保持清洁，尽量做到无异味、无污秽。</w:t>
      </w:r>
    </w:p>
    <w:p>
      <w:pPr>
        <w:ind w:firstLine="480"/>
        <w:rPr>
          <w:rFonts w:hint="eastAsia" w:eastAsia="宋体"/>
          <w:lang w:eastAsia="zh-CN"/>
        </w:rPr>
      </w:pPr>
      <w:r>
        <w:rPr>
          <w:rFonts w:hint="eastAsia"/>
          <w:lang w:eastAsia="zh-CN"/>
        </w:rPr>
        <w:t>（</w:t>
      </w:r>
      <w:r>
        <w:rPr>
          <w:rFonts w:hint="eastAsia"/>
          <w:lang w:val="en-US" w:eastAsia="zh-CN"/>
        </w:rPr>
        <w:t>七</w:t>
      </w:r>
      <w:r>
        <w:rPr>
          <w:rFonts w:hint="eastAsia"/>
          <w:lang w:eastAsia="zh-CN"/>
        </w:rPr>
        <w:t>）</w:t>
      </w:r>
      <w:r>
        <w:rPr>
          <w:rFonts w:hint="eastAsia"/>
        </w:rPr>
        <w:t>厂区内花草、树木需要经常养护和整修，保持鲜活完好。</w:t>
      </w:r>
    </w:p>
    <w:p>
      <w:pPr>
        <w:ind w:firstLine="480"/>
        <w:rPr>
          <w:rFonts w:hint="eastAsia" w:eastAsia="宋体"/>
          <w:lang w:eastAsia="zh-CN"/>
        </w:rPr>
      </w:pPr>
      <w:r>
        <w:rPr>
          <w:rFonts w:hint="eastAsia"/>
          <w:lang w:eastAsia="zh-CN"/>
        </w:rPr>
        <w:t>（</w:t>
      </w:r>
      <w:r>
        <w:rPr>
          <w:rFonts w:hint="eastAsia"/>
          <w:lang w:val="en-US" w:eastAsia="zh-CN"/>
        </w:rPr>
        <w:t>八</w:t>
      </w:r>
      <w:r>
        <w:rPr>
          <w:rFonts w:hint="eastAsia"/>
          <w:lang w:eastAsia="zh-CN"/>
        </w:rPr>
        <w:t>）</w:t>
      </w:r>
      <w:r>
        <w:rPr>
          <w:rFonts w:hint="eastAsia"/>
        </w:rPr>
        <w:t>各部门要建立轮班卫生值日制度。</w:t>
      </w:r>
    </w:p>
    <w:p>
      <w:pPr>
        <w:spacing w:before="0" w:after="0" w:line="240" w:lineRule="auto"/>
        <w:ind w:firstLine="0" w:firstLineChars="0"/>
        <w:jc w:val="left"/>
      </w:pPr>
      <w:r>
        <w:br w:type="page"/>
      </w:r>
    </w:p>
    <w:p>
      <w:pPr>
        <w:pStyle w:val="5"/>
        <w:bidi w:val="0"/>
      </w:pPr>
      <w:bookmarkStart w:id="611" w:name="_Toc116121539"/>
      <w:bookmarkStart w:id="612" w:name="_Toc106727898"/>
      <w:bookmarkStart w:id="613" w:name="_Toc107845206"/>
      <w:bookmarkStart w:id="614" w:name="_Toc118293300"/>
      <w:bookmarkStart w:id="615" w:name="_Toc14920"/>
      <w:bookmarkStart w:id="616" w:name="_Toc105600333"/>
      <w:r>
        <w:rPr>
          <w:rFonts w:hint="eastAsia"/>
          <w:lang w:val="en-US" w:eastAsia="zh-CN"/>
        </w:rPr>
        <w:t>六、</w:t>
      </w:r>
      <w:r>
        <w:rPr>
          <w:rFonts w:hint="eastAsia"/>
        </w:rPr>
        <w:t>职业健康安全、环境及质量要求保障</w:t>
      </w:r>
      <w:bookmarkEnd w:id="611"/>
      <w:bookmarkEnd w:id="612"/>
      <w:bookmarkEnd w:id="613"/>
      <w:bookmarkEnd w:id="614"/>
      <w:bookmarkEnd w:id="615"/>
      <w:bookmarkEnd w:id="616"/>
    </w:p>
    <w:p>
      <w:pPr>
        <w:ind w:firstLine="480"/>
        <w:rPr>
          <w:rFonts w:hint="eastAsia" w:eastAsia="宋体"/>
          <w:lang w:eastAsia="zh-CN"/>
        </w:rPr>
      </w:pPr>
      <w:r>
        <w:rPr>
          <w:rFonts w:hint="eastAsia"/>
          <w:lang w:eastAsia="zh-CN"/>
        </w:rPr>
        <w:t>（</w:t>
      </w:r>
      <w:r>
        <w:rPr>
          <w:rFonts w:hint="eastAsia"/>
          <w:lang w:val="en-US" w:eastAsia="zh-CN"/>
        </w:rPr>
        <w:t>一</w:t>
      </w:r>
      <w:r>
        <w:rPr>
          <w:rFonts w:hint="eastAsia"/>
          <w:lang w:eastAsia="zh-CN"/>
        </w:rPr>
        <w:t>）</w:t>
      </w:r>
      <w:r>
        <w:rPr>
          <w:rFonts w:hint="eastAsia"/>
        </w:rPr>
        <w:t>我单位在履行合同时，遵守国家相关法律、法规及甲方职业健康安全标准。我单位对履行合同过程中，因我单位原因发生的任何安全事故承担全部责任。</w:t>
      </w:r>
    </w:p>
    <w:p>
      <w:pPr>
        <w:ind w:firstLine="480"/>
      </w:pPr>
      <w:r>
        <w:rPr>
          <w:rFonts w:hint="eastAsia"/>
          <w:lang w:eastAsia="zh-CN"/>
        </w:rPr>
        <w:t>（</w:t>
      </w:r>
      <w:r>
        <w:rPr>
          <w:rFonts w:hint="eastAsia"/>
          <w:lang w:val="en-US" w:eastAsia="zh-CN"/>
        </w:rPr>
        <w:t>二</w:t>
      </w:r>
      <w:r>
        <w:rPr>
          <w:rFonts w:hint="eastAsia"/>
          <w:lang w:eastAsia="zh-CN"/>
        </w:rPr>
        <w:t>）</w:t>
      </w:r>
      <w:r>
        <w:rPr>
          <w:rFonts w:hint="eastAsia"/>
        </w:rPr>
        <w:t>我单位在履行合同期间，承担相关环境管理责任，对合同涉及到收货地所产生的固体废弃物按照甲方要求100%进行收集处理。履行合同过程中产生的各类废弃物，由我单位回收并负责按照当地环境管理法律法规及有关规定予以处理。</w:t>
      </w:r>
    </w:p>
    <w:p>
      <w:pPr>
        <w:ind w:firstLine="480"/>
      </w:pPr>
      <w:r>
        <w:rPr>
          <w:rFonts w:hint="eastAsia"/>
          <w:lang w:eastAsia="zh-CN"/>
        </w:rPr>
        <w:t>（</w:t>
      </w:r>
      <w:r>
        <w:rPr>
          <w:rFonts w:hint="eastAsia"/>
          <w:lang w:val="en-US" w:eastAsia="zh-CN"/>
        </w:rPr>
        <w:t>三</w:t>
      </w:r>
      <w:r>
        <w:rPr>
          <w:rFonts w:hint="eastAsia"/>
          <w:lang w:eastAsia="zh-CN"/>
        </w:rPr>
        <w:t>）</w:t>
      </w:r>
      <w:r>
        <w:rPr>
          <w:rFonts w:hint="eastAsia"/>
        </w:rPr>
        <w:t>质量必须符合国家有关行业技术标准、安全使用标准，环境保护法律法规要求。并按下列执行：</w:t>
      </w:r>
    </w:p>
    <w:p>
      <w:pPr>
        <w:ind w:firstLine="480"/>
      </w:pPr>
      <w:r>
        <w:rPr>
          <w:rFonts w:hint="eastAsia"/>
        </w:rPr>
        <w:t>质量要求：符合国家现行相关标准及规范，并满足采购人要求。</w:t>
      </w:r>
    </w:p>
    <w:p>
      <w:pPr>
        <w:spacing w:before="0" w:after="0" w:line="240" w:lineRule="auto"/>
        <w:ind w:firstLine="0" w:firstLineChars="0"/>
        <w:jc w:val="left"/>
      </w:pPr>
      <w:r>
        <w:br w:type="page"/>
      </w:r>
    </w:p>
    <w:p>
      <w:pPr>
        <w:pStyle w:val="5"/>
        <w:bidi w:val="0"/>
      </w:pPr>
      <w:bookmarkStart w:id="617" w:name="_Toc89718883"/>
      <w:bookmarkStart w:id="618" w:name="_Toc107845207"/>
      <w:bookmarkStart w:id="619" w:name="_Toc88662788"/>
      <w:bookmarkStart w:id="620" w:name="_Toc88749550"/>
      <w:bookmarkStart w:id="621" w:name="_Toc106727899"/>
      <w:bookmarkStart w:id="622" w:name="_Toc88662954"/>
      <w:bookmarkStart w:id="623" w:name="_Toc116121540"/>
      <w:bookmarkStart w:id="624" w:name="_Toc89011206"/>
      <w:bookmarkStart w:id="625" w:name="_Toc88993442"/>
      <w:bookmarkStart w:id="626" w:name="_Toc11875"/>
      <w:bookmarkStart w:id="627" w:name="_Toc118293301"/>
      <w:r>
        <w:rPr>
          <w:rFonts w:hint="eastAsia"/>
          <w:lang w:val="en-US" w:eastAsia="zh-CN"/>
        </w:rPr>
        <w:t>七、</w:t>
      </w:r>
      <w:r>
        <w:rPr>
          <w:rFonts w:hint="eastAsia"/>
        </w:rPr>
        <w:t>完善的实验是检测设备保障</w:t>
      </w:r>
      <w:bookmarkEnd w:id="617"/>
      <w:bookmarkEnd w:id="618"/>
      <w:bookmarkEnd w:id="619"/>
      <w:bookmarkEnd w:id="620"/>
      <w:bookmarkEnd w:id="621"/>
      <w:bookmarkEnd w:id="622"/>
      <w:bookmarkEnd w:id="623"/>
      <w:bookmarkEnd w:id="624"/>
      <w:bookmarkEnd w:id="625"/>
      <w:bookmarkEnd w:id="626"/>
      <w:bookmarkEnd w:id="627"/>
    </w:p>
    <w:p>
      <w:pPr>
        <w:pStyle w:val="6"/>
        <w:bidi w:val="0"/>
      </w:pPr>
      <w:bookmarkStart w:id="628" w:name="_Toc10177"/>
      <w:r>
        <w:rPr>
          <w:rFonts w:hint="eastAsia"/>
          <w:lang w:eastAsia="zh-CN"/>
        </w:rPr>
        <w:t>（</w:t>
      </w:r>
      <w:r>
        <w:rPr>
          <w:rFonts w:hint="eastAsia"/>
          <w:lang w:val="en-US" w:eastAsia="zh-CN"/>
        </w:rPr>
        <w:t>一</w:t>
      </w:r>
      <w:r>
        <w:rPr>
          <w:rFonts w:hint="eastAsia"/>
          <w:lang w:eastAsia="zh-CN"/>
        </w:rPr>
        <w:t>）</w:t>
      </w:r>
      <w:r>
        <w:rPr>
          <w:rFonts w:hint="eastAsia"/>
        </w:rPr>
        <w:t>实验设备清单</w:t>
      </w:r>
      <w:bookmarkEnd w:id="628"/>
    </w:p>
    <w:tbl>
      <w:tblPr>
        <w:tblStyle w:val="33"/>
        <w:tblW w:w="8312" w:type="dxa"/>
        <w:jc w:val="center"/>
        <w:tblInd w:w="0" w:type="dxa"/>
        <w:tblLayout w:type="fixed"/>
        <w:tblCellMar>
          <w:top w:w="0" w:type="dxa"/>
          <w:left w:w="10" w:type="dxa"/>
          <w:bottom w:w="0" w:type="dxa"/>
          <w:right w:w="10" w:type="dxa"/>
        </w:tblCellMar>
      </w:tblPr>
      <w:tblGrid>
        <w:gridCol w:w="2349"/>
        <w:gridCol w:w="1819"/>
        <w:gridCol w:w="827"/>
        <w:gridCol w:w="3317"/>
      </w:tblGrid>
      <w:tr>
        <w:tblPrEx>
          <w:tblLayout w:type="fixed"/>
          <w:tblCellMar>
            <w:top w:w="0" w:type="dxa"/>
            <w:left w:w="10" w:type="dxa"/>
            <w:bottom w:w="0" w:type="dxa"/>
            <w:right w:w="10" w:type="dxa"/>
          </w:tblCellMar>
        </w:tblPrEx>
        <w:trPr>
          <w:jc w:val="center"/>
        </w:trPr>
        <w:tc>
          <w:tcPr>
            <w:tcW w:w="8312" w:type="dxa"/>
            <w:gridSpan w:val="4"/>
            <w:tcBorders>
              <w:top w:val="single" w:color="auto" w:sz="4" w:space="0"/>
              <w:left w:val="single" w:color="auto" w:sz="4" w:space="0"/>
              <w:bottom w:val="nil"/>
              <w:right w:val="single" w:color="auto" w:sz="4" w:space="0"/>
            </w:tcBorders>
            <w:shd w:val="clear" w:color="auto" w:fill="FFFFFF"/>
            <w:vAlign w:val="center"/>
          </w:tcPr>
          <w:p>
            <w:pPr>
              <w:pStyle w:val="53"/>
            </w:pPr>
            <w:r>
              <w:rPr>
                <w:rFonts w:hint="eastAsia"/>
              </w:rPr>
              <w:t>产品主要化验设备</w:t>
            </w:r>
          </w:p>
        </w:tc>
      </w:tr>
      <w:tr>
        <w:tblPrEx>
          <w:tblLayout w:type="fixed"/>
          <w:tblCellMar>
            <w:top w:w="0" w:type="dxa"/>
            <w:left w:w="10" w:type="dxa"/>
            <w:bottom w:w="0" w:type="dxa"/>
            <w:right w:w="10" w:type="dxa"/>
          </w:tblCellMar>
        </w:tblPrEx>
        <w:trPr>
          <w:jc w:val="center"/>
        </w:trPr>
        <w:tc>
          <w:tcPr>
            <w:tcW w:w="2349" w:type="dxa"/>
            <w:tcBorders>
              <w:top w:val="single" w:color="auto" w:sz="4" w:space="0"/>
              <w:left w:val="single" w:color="auto" w:sz="4" w:space="0"/>
              <w:bottom w:val="nil"/>
              <w:right w:val="nil"/>
            </w:tcBorders>
            <w:shd w:val="clear" w:color="auto" w:fill="FFFFFF"/>
            <w:vAlign w:val="center"/>
          </w:tcPr>
          <w:p>
            <w:pPr>
              <w:pStyle w:val="53"/>
            </w:pPr>
            <w:r>
              <w:rPr>
                <w:rFonts w:hint="eastAsia"/>
              </w:rPr>
              <w:t>仪器设备名称</w:t>
            </w:r>
          </w:p>
        </w:tc>
        <w:tc>
          <w:tcPr>
            <w:tcW w:w="1819" w:type="dxa"/>
            <w:tcBorders>
              <w:top w:val="single" w:color="auto" w:sz="4" w:space="0"/>
              <w:left w:val="single" w:color="auto" w:sz="4" w:space="0"/>
              <w:bottom w:val="nil"/>
              <w:right w:val="nil"/>
            </w:tcBorders>
            <w:shd w:val="clear" w:color="auto" w:fill="FFFFFF"/>
            <w:vAlign w:val="center"/>
          </w:tcPr>
          <w:p>
            <w:pPr>
              <w:pStyle w:val="53"/>
            </w:pPr>
            <w:r>
              <w:rPr>
                <w:rFonts w:hint="eastAsia"/>
              </w:rPr>
              <w:t>品牌型号</w:t>
            </w:r>
          </w:p>
        </w:tc>
        <w:tc>
          <w:tcPr>
            <w:tcW w:w="827" w:type="dxa"/>
            <w:tcBorders>
              <w:top w:val="single" w:color="auto" w:sz="4" w:space="0"/>
              <w:left w:val="single" w:color="auto" w:sz="4" w:space="0"/>
              <w:bottom w:val="nil"/>
              <w:right w:val="nil"/>
            </w:tcBorders>
            <w:shd w:val="clear" w:color="auto" w:fill="FFFFFF"/>
            <w:vAlign w:val="center"/>
          </w:tcPr>
          <w:p>
            <w:pPr>
              <w:pStyle w:val="53"/>
            </w:pPr>
            <w:r>
              <w:rPr>
                <w:rFonts w:hint="eastAsia"/>
              </w:rPr>
              <w:t>数</w:t>
            </w:r>
          </w:p>
        </w:tc>
        <w:tc>
          <w:tcPr>
            <w:tcW w:w="3317" w:type="dxa"/>
            <w:tcBorders>
              <w:top w:val="single" w:color="auto" w:sz="4" w:space="0"/>
              <w:left w:val="single" w:color="auto" w:sz="4" w:space="0"/>
              <w:bottom w:val="nil"/>
              <w:right w:val="single" w:color="auto" w:sz="4" w:space="0"/>
            </w:tcBorders>
            <w:shd w:val="clear" w:color="auto" w:fill="FFFFFF"/>
            <w:vAlign w:val="center"/>
          </w:tcPr>
          <w:p>
            <w:pPr>
              <w:pStyle w:val="53"/>
            </w:pPr>
            <w:r>
              <w:rPr>
                <w:rFonts w:hint="eastAsia"/>
              </w:rPr>
              <w:t>生产单位名称</w:t>
            </w:r>
          </w:p>
        </w:tc>
      </w:tr>
      <w:tr>
        <w:tblPrEx>
          <w:tblLayout w:type="fixed"/>
          <w:tblCellMar>
            <w:top w:w="0" w:type="dxa"/>
            <w:left w:w="10" w:type="dxa"/>
            <w:bottom w:w="0" w:type="dxa"/>
            <w:right w:w="10" w:type="dxa"/>
          </w:tblCellMar>
        </w:tblPrEx>
        <w:trPr>
          <w:jc w:val="center"/>
        </w:trPr>
        <w:tc>
          <w:tcPr>
            <w:tcW w:w="2349" w:type="dxa"/>
            <w:tcBorders>
              <w:top w:val="single" w:color="auto" w:sz="4" w:space="0"/>
              <w:left w:val="single" w:color="auto" w:sz="4" w:space="0"/>
              <w:bottom w:val="nil"/>
              <w:right w:val="nil"/>
            </w:tcBorders>
            <w:shd w:val="clear" w:color="auto" w:fill="FFFFFF"/>
            <w:vAlign w:val="center"/>
          </w:tcPr>
          <w:p>
            <w:pPr>
              <w:pStyle w:val="53"/>
            </w:pPr>
            <w:r>
              <w:rPr>
                <w:rFonts w:hint="eastAsia"/>
              </w:rPr>
              <w:t>超净工作台</w:t>
            </w:r>
          </w:p>
        </w:tc>
        <w:tc>
          <w:tcPr>
            <w:tcW w:w="1819" w:type="dxa"/>
            <w:tcBorders>
              <w:top w:val="single" w:color="auto" w:sz="4" w:space="0"/>
              <w:left w:val="single" w:color="auto" w:sz="4" w:space="0"/>
              <w:bottom w:val="nil"/>
              <w:right w:val="nil"/>
            </w:tcBorders>
            <w:shd w:val="clear" w:color="auto" w:fill="FFFFFF"/>
          </w:tcPr>
          <w:p>
            <w:pPr>
              <w:pStyle w:val="53"/>
            </w:pPr>
          </w:p>
        </w:tc>
        <w:tc>
          <w:tcPr>
            <w:tcW w:w="827" w:type="dxa"/>
            <w:tcBorders>
              <w:top w:val="single" w:color="auto" w:sz="4" w:space="0"/>
              <w:left w:val="single" w:color="auto" w:sz="4" w:space="0"/>
              <w:bottom w:val="nil"/>
              <w:right w:val="nil"/>
            </w:tcBorders>
            <w:shd w:val="clear" w:color="auto" w:fill="FFFFFF"/>
            <w:vAlign w:val="center"/>
          </w:tcPr>
          <w:p>
            <w:pPr>
              <w:pStyle w:val="53"/>
            </w:pPr>
            <w:r>
              <w:rPr>
                <w:rFonts w:hint="eastAsia"/>
              </w:rPr>
              <w:t>1</w:t>
            </w:r>
          </w:p>
        </w:tc>
        <w:tc>
          <w:tcPr>
            <w:tcW w:w="3317" w:type="dxa"/>
            <w:tcBorders>
              <w:top w:val="single" w:color="auto" w:sz="4" w:space="0"/>
              <w:left w:val="single" w:color="auto" w:sz="4" w:space="0"/>
              <w:bottom w:val="nil"/>
              <w:right w:val="single" w:color="auto" w:sz="4" w:space="0"/>
            </w:tcBorders>
            <w:shd w:val="clear" w:color="auto" w:fill="FFFFFF"/>
            <w:vAlign w:val="center"/>
          </w:tcPr>
          <w:p>
            <w:pPr>
              <w:pStyle w:val="53"/>
            </w:pPr>
            <w:r>
              <w:rPr>
                <w:rFonts w:hint="eastAsia"/>
              </w:rPr>
              <w:t>自制</w:t>
            </w:r>
          </w:p>
        </w:tc>
      </w:tr>
      <w:tr>
        <w:tblPrEx>
          <w:tblLayout w:type="fixed"/>
          <w:tblCellMar>
            <w:top w:w="0" w:type="dxa"/>
            <w:left w:w="10" w:type="dxa"/>
            <w:bottom w:w="0" w:type="dxa"/>
            <w:right w:w="10" w:type="dxa"/>
          </w:tblCellMar>
        </w:tblPrEx>
        <w:trPr>
          <w:jc w:val="center"/>
        </w:trPr>
        <w:tc>
          <w:tcPr>
            <w:tcW w:w="2349" w:type="dxa"/>
            <w:tcBorders>
              <w:top w:val="single" w:color="auto" w:sz="4" w:space="0"/>
              <w:left w:val="single" w:color="auto" w:sz="4" w:space="0"/>
              <w:bottom w:val="nil"/>
              <w:right w:val="nil"/>
            </w:tcBorders>
            <w:shd w:val="clear" w:color="auto" w:fill="FFFFFF"/>
            <w:vAlign w:val="center"/>
          </w:tcPr>
          <w:p>
            <w:pPr>
              <w:pStyle w:val="53"/>
            </w:pPr>
            <w:r>
              <w:rPr>
                <w:rFonts w:hint="eastAsia"/>
              </w:rPr>
              <w:t>台试恒温培养箱</w:t>
            </w:r>
          </w:p>
        </w:tc>
        <w:tc>
          <w:tcPr>
            <w:tcW w:w="1819" w:type="dxa"/>
            <w:tcBorders>
              <w:top w:val="single" w:color="auto" w:sz="4" w:space="0"/>
              <w:left w:val="single" w:color="auto" w:sz="4" w:space="0"/>
              <w:bottom w:val="nil"/>
              <w:right w:val="nil"/>
            </w:tcBorders>
            <w:shd w:val="clear" w:color="auto" w:fill="FFFFFF"/>
            <w:vAlign w:val="center"/>
          </w:tcPr>
          <w:p>
            <w:pPr>
              <w:pStyle w:val="53"/>
            </w:pPr>
            <w:r>
              <w:rPr>
                <w:rFonts w:hint="eastAsia"/>
              </w:rPr>
              <w:t>303-3</w:t>
            </w:r>
          </w:p>
        </w:tc>
        <w:tc>
          <w:tcPr>
            <w:tcW w:w="827" w:type="dxa"/>
            <w:tcBorders>
              <w:top w:val="single" w:color="auto" w:sz="4" w:space="0"/>
              <w:left w:val="single" w:color="auto" w:sz="4" w:space="0"/>
              <w:bottom w:val="nil"/>
              <w:right w:val="nil"/>
            </w:tcBorders>
            <w:shd w:val="clear" w:color="auto" w:fill="FFFFFF"/>
            <w:vAlign w:val="center"/>
          </w:tcPr>
          <w:p>
            <w:pPr>
              <w:pStyle w:val="53"/>
            </w:pPr>
            <w:r>
              <w:rPr>
                <w:rFonts w:hint="eastAsia"/>
              </w:rPr>
              <w:t>1</w:t>
            </w:r>
          </w:p>
        </w:tc>
        <w:tc>
          <w:tcPr>
            <w:tcW w:w="3317" w:type="dxa"/>
            <w:tcBorders>
              <w:top w:val="single" w:color="auto" w:sz="4" w:space="0"/>
              <w:left w:val="single" w:color="auto" w:sz="4" w:space="0"/>
              <w:bottom w:val="nil"/>
              <w:right w:val="single" w:color="auto" w:sz="4" w:space="0"/>
            </w:tcBorders>
            <w:shd w:val="clear" w:color="auto" w:fill="FFFFFF"/>
            <w:vAlign w:val="center"/>
          </w:tcPr>
          <w:p>
            <w:pPr>
              <w:pStyle w:val="53"/>
            </w:pPr>
            <w:r>
              <w:rPr>
                <w:rFonts w:hint="eastAsia"/>
              </w:rPr>
              <w:t>北京永光明医疗仪器有限公</w:t>
            </w:r>
          </w:p>
        </w:tc>
      </w:tr>
      <w:tr>
        <w:tblPrEx>
          <w:tblLayout w:type="fixed"/>
          <w:tblCellMar>
            <w:top w:w="0" w:type="dxa"/>
            <w:left w:w="10" w:type="dxa"/>
            <w:bottom w:w="0" w:type="dxa"/>
            <w:right w:w="10" w:type="dxa"/>
          </w:tblCellMar>
        </w:tblPrEx>
        <w:trPr>
          <w:jc w:val="center"/>
        </w:trPr>
        <w:tc>
          <w:tcPr>
            <w:tcW w:w="2349" w:type="dxa"/>
            <w:tcBorders>
              <w:top w:val="single" w:color="auto" w:sz="4" w:space="0"/>
              <w:left w:val="single" w:color="auto" w:sz="4" w:space="0"/>
              <w:bottom w:val="nil"/>
              <w:right w:val="nil"/>
            </w:tcBorders>
            <w:shd w:val="clear" w:color="auto" w:fill="FFFFFF"/>
            <w:vAlign w:val="center"/>
          </w:tcPr>
          <w:p>
            <w:pPr>
              <w:pStyle w:val="53"/>
            </w:pPr>
            <w:r>
              <w:rPr>
                <w:rFonts w:hint="eastAsia"/>
              </w:rPr>
              <w:t>万分之一电子天平</w:t>
            </w:r>
          </w:p>
        </w:tc>
        <w:tc>
          <w:tcPr>
            <w:tcW w:w="1819" w:type="dxa"/>
            <w:tcBorders>
              <w:top w:val="single" w:color="auto" w:sz="4" w:space="0"/>
              <w:left w:val="single" w:color="auto" w:sz="4" w:space="0"/>
              <w:bottom w:val="nil"/>
              <w:right w:val="nil"/>
            </w:tcBorders>
            <w:shd w:val="clear" w:color="auto" w:fill="FFFFFF"/>
            <w:vAlign w:val="center"/>
          </w:tcPr>
          <w:p>
            <w:pPr>
              <w:pStyle w:val="53"/>
            </w:pPr>
            <w:r>
              <w:rPr>
                <w:rFonts w:hint="eastAsia"/>
              </w:rPr>
              <w:t>FA-1004</w:t>
            </w:r>
          </w:p>
        </w:tc>
        <w:tc>
          <w:tcPr>
            <w:tcW w:w="827" w:type="dxa"/>
            <w:tcBorders>
              <w:top w:val="single" w:color="auto" w:sz="4" w:space="0"/>
              <w:left w:val="single" w:color="auto" w:sz="4" w:space="0"/>
              <w:bottom w:val="nil"/>
              <w:right w:val="nil"/>
            </w:tcBorders>
            <w:shd w:val="clear" w:color="auto" w:fill="FFFFFF"/>
            <w:vAlign w:val="center"/>
          </w:tcPr>
          <w:p>
            <w:pPr>
              <w:pStyle w:val="53"/>
            </w:pPr>
            <w:r>
              <w:rPr>
                <w:rFonts w:hint="eastAsia"/>
              </w:rPr>
              <w:t>1</w:t>
            </w:r>
          </w:p>
        </w:tc>
        <w:tc>
          <w:tcPr>
            <w:tcW w:w="3317" w:type="dxa"/>
            <w:tcBorders>
              <w:top w:val="single" w:color="auto" w:sz="4" w:space="0"/>
              <w:left w:val="single" w:color="auto" w:sz="4" w:space="0"/>
              <w:bottom w:val="nil"/>
              <w:right w:val="single" w:color="auto" w:sz="4" w:space="0"/>
            </w:tcBorders>
            <w:shd w:val="clear" w:color="auto" w:fill="FFFFFF"/>
            <w:vAlign w:val="center"/>
          </w:tcPr>
          <w:p>
            <w:pPr>
              <w:pStyle w:val="53"/>
            </w:pPr>
            <w:r>
              <w:rPr>
                <w:rFonts w:hint="eastAsia"/>
              </w:rPr>
              <w:t>上海市舜宇恒平科学仪器有限</w:t>
            </w:r>
          </w:p>
        </w:tc>
      </w:tr>
      <w:tr>
        <w:tblPrEx>
          <w:tblLayout w:type="fixed"/>
          <w:tblCellMar>
            <w:top w:w="0" w:type="dxa"/>
            <w:left w:w="10" w:type="dxa"/>
            <w:bottom w:w="0" w:type="dxa"/>
            <w:right w:w="10" w:type="dxa"/>
          </w:tblCellMar>
        </w:tblPrEx>
        <w:trPr>
          <w:jc w:val="center"/>
        </w:trPr>
        <w:tc>
          <w:tcPr>
            <w:tcW w:w="2349" w:type="dxa"/>
            <w:tcBorders>
              <w:top w:val="single" w:color="auto" w:sz="4" w:space="0"/>
              <w:left w:val="single" w:color="auto" w:sz="4" w:space="0"/>
              <w:bottom w:val="nil"/>
              <w:right w:val="nil"/>
            </w:tcBorders>
            <w:shd w:val="clear" w:color="auto" w:fill="FFFFFF"/>
            <w:vAlign w:val="center"/>
          </w:tcPr>
          <w:p>
            <w:pPr>
              <w:pStyle w:val="53"/>
            </w:pPr>
            <w:r>
              <w:rPr>
                <w:rFonts w:hint="eastAsia"/>
              </w:rPr>
              <w:t>千分之一电子天平</w:t>
            </w:r>
          </w:p>
        </w:tc>
        <w:tc>
          <w:tcPr>
            <w:tcW w:w="1819" w:type="dxa"/>
            <w:tcBorders>
              <w:top w:val="single" w:color="auto" w:sz="4" w:space="0"/>
              <w:left w:val="single" w:color="auto" w:sz="4" w:space="0"/>
              <w:bottom w:val="nil"/>
              <w:right w:val="nil"/>
            </w:tcBorders>
            <w:shd w:val="clear" w:color="auto" w:fill="FFFFFF"/>
            <w:vAlign w:val="center"/>
          </w:tcPr>
          <w:p>
            <w:pPr>
              <w:pStyle w:val="53"/>
            </w:pPr>
            <w:r>
              <w:rPr>
                <w:rFonts w:hint="eastAsia"/>
              </w:rPr>
              <w:t>JA1003B</w:t>
            </w:r>
          </w:p>
        </w:tc>
        <w:tc>
          <w:tcPr>
            <w:tcW w:w="827" w:type="dxa"/>
            <w:tcBorders>
              <w:top w:val="single" w:color="auto" w:sz="4" w:space="0"/>
              <w:left w:val="single" w:color="auto" w:sz="4" w:space="0"/>
              <w:bottom w:val="nil"/>
              <w:right w:val="nil"/>
            </w:tcBorders>
            <w:shd w:val="clear" w:color="auto" w:fill="FFFFFF"/>
            <w:vAlign w:val="center"/>
          </w:tcPr>
          <w:p>
            <w:pPr>
              <w:pStyle w:val="53"/>
            </w:pPr>
            <w:r>
              <w:rPr>
                <w:rFonts w:hint="eastAsia"/>
              </w:rPr>
              <w:t>1</w:t>
            </w:r>
          </w:p>
        </w:tc>
        <w:tc>
          <w:tcPr>
            <w:tcW w:w="3317" w:type="dxa"/>
            <w:tcBorders>
              <w:top w:val="single" w:color="auto" w:sz="4" w:space="0"/>
              <w:left w:val="single" w:color="auto" w:sz="4" w:space="0"/>
              <w:bottom w:val="nil"/>
              <w:right w:val="single" w:color="auto" w:sz="4" w:space="0"/>
            </w:tcBorders>
            <w:shd w:val="clear" w:color="auto" w:fill="FFFFFF"/>
            <w:vAlign w:val="center"/>
          </w:tcPr>
          <w:p>
            <w:pPr>
              <w:pStyle w:val="53"/>
            </w:pPr>
            <w:r>
              <w:rPr>
                <w:rFonts w:hint="eastAsia"/>
              </w:rPr>
              <w:t>上海市舜宇恒平科学仪器有限</w:t>
            </w:r>
          </w:p>
        </w:tc>
      </w:tr>
      <w:tr>
        <w:tblPrEx>
          <w:tblLayout w:type="fixed"/>
          <w:tblCellMar>
            <w:top w:w="0" w:type="dxa"/>
            <w:left w:w="10" w:type="dxa"/>
            <w:bottom w:w="0" w:type="dxa"/>
            <w:right w:w="10" w:type="dxa"/>
          </w:tblCellMar>
        </w:tblPrEx>
        <w:trPr>
          <w:jc w:val="center"/>
        </w:trPr>
        <w:tc>
          <w:tcPr>
            <w:tcW w:w="2349" w:type="dxa"/>
            <w:tcBorders>
              <w:top w:val="single" w:color="auto" w:sz="4" w:space="0"/>
              <w:left w:val="single" w:color="auto" w:sz="4" w:space="0"/>
              <w:bottom w:val="nil"/>
              <w:right w:val="nil"/>
            </w:tcBorders>
            <w:shd w:val="clear" w:color="auto" w:fill="FFFFFF"/>
            <w:vAlign w:val="center"/>
          </w:tcPr>
          <w:p>
            <w:pPr>
              <w:pStyle w:val="53"/>
            </w:pPr>
            <w:r>
              <w:rPr>
                <w:rFonts w:hint="eastAsia"/>
              </w:rPr>
              <w:t>百分之一电子天平</w:t>
            </w:r>
          </w:p>
        </w:tc>
        <w:tc>
          <w:tcPr>
            <w:tcW w:w="1819" w:type="dxa"/>
            <w:tcBorders>
              <w:top w:val="single" w:color="auto" w:sz="4" w:space="0"/>
              <w:left w:val="single" w:color="auto" w:sz="4" w:space="0"/>
              <w:bottom w:val="nil"/>
              <w:right w:val="nil"/>
            </w:tcBorders>
            <w:shd w:val="clear" w:color="auto" w:fill="FFFFFF"/>
            <w:vAlign w:val="center"/>
          </w:tcPr>
          <w:p>
            <w:pPr>
              <w:pStyle w:val="53"/>
            </w:pPr>
            <w:r>
              <w:rPr>
                <w:rFonts w:hint="eastAsia"/>
              </w:rPr>
              <w:t>JY502</w:t>
            </w:r>
          </w:p>
        </w:tc>
        <w:tc>
          <w:tcPr>
            <w:tcW w:w="827" w:type="dxa"/>
            <w:tcBorders>
              <w:top w:val="single" w:color="auto" w:sz="4" w:space="0"/>
              <w:left w:val="single" w:color="auto" w:sz="4" w:space="0"/>
              <w:bottom w:val="nil"/>
              <w:right w:val="nil"/>
            </w:tcBorders>
            <w:shd w:val="clear" w:color="auto" w:fill="FFFFFF"/>
            <w:vAlign w:val="center"/>
          </w:tcPr>
          <w:p>
            <w:pPr>
              <w:pStyle w:val="53"/>
            </w:pPr>
            <w:r>
              <w:rPr>
                <w:rFonts w:hint="eastAsia"/>
              </w:rPr>
              <w:t>1</w:t>
            </w:r>
          </w:p>
        </w:tc>
        <w:tc>
          <w:tcPr>
            <w:tcW w:w="3317" w:type="dxa"/>
            <w:tcBorders>
              <w:top w:val="single" w:color="auto" w:sz="4" w:space="0"/>
              <w:left w:val="single" w:color="auto" w:sz="4" w:space="0"/>
              <w:bottom w:val="nil"/>
              <w:right w:val="single" w:color="auto" w:sz="4" w:space="0"/>
            </w:tcBorders>
            <w:shd w:val="clear" w:color="auto" w:fill="FFFFFF"/>
            <w:vAlign w:val="center"/>
          </w:tcPr>
          <w:p>
            <w:pPr>
              <w:pStyle w:val="53"/>
            </w:pPr>
            <w:r>
              <w:rPr>
                <w:rFonts w:hint="eastAsia"/>
              </w:rPr>
              <w:t>上海市舜宇恒平科学仪器有限</w:t>
            </w:r>
          </w:p>
        </w:tc>
      </w:tr>
      <w:tr>
        <w:tblPrEx>
          <w:tblLayout w:type="fixed"/>
          <w:tblCellMar>
            <w:top w:w="0" w:type="dxa"/>
            <w:left w:w="10" w:type="dxa"/>
            <w:bottom w:w="0" w:type="dxa"/>
            <w:right w:w="10" w:type="dxa"/>
          </w:tblCellMar>
        </w:tblPrEx>
        <w:trPr>
          <w:jc w:val="center"/>
        </w:trPr>
        <w:tc>
          <w:tcPr>
            <w:tcW w:w="2349" w:type="dxa"/>
            <w:tcBorders>
              <w:top w:val="single" w:color="auto" w:sz="4" w:space="0"/>
              <w:left w:val="single" w:color="auto" w:sz="4" w:space="0"/>
              <w:bottom w:val="nil"/>
              <w:right w:val="nil"/>
            </w:tcBorders>
            <w:shd w:val="clear" w:color="auto" w:fill="FFFFFF"/>
            <w:vAlign w:val="center"/>
          </w:tcPr>
          <w:p>
            <w:pPr>
              <w:pStyle w:val="53"/>
            </w:pPr>
            <w:r>
              <w:rPr>
                <w:rFonts w:hint="eastAsia"/>
              </w:rPr>
              <w:t>通风柜</w:t>
            </w:r>
          </w:p>
        </w:tc>
        <w:tc>
          <w:tcPr>
            <w:tcW w:w="1819" w:type="dxa"/>
            <w:tcBorders>
              <w:top w:val="single" w:color="auto" w:sz="4" w:space="0"/>
              <w:left w:val="single" w:color="auto" w:sz="4" w:space="0"/>
              <w:bottom w:val="nil"/>
              <w:right w:val="nil"/>
            </w:tcBorders>
            <w:shd w:val="clear" w:color="auto" w:fill="FFFFFF"/>
            <w:vAlign w:val="center"/>
          </w:tcPr>
          <w:p>
            <w:pPr>
              <w:pStyle w:val="53"/>
            </w:pPr>
            <w:r>
              <w:rPr>
                <w:rFonts w:hint="eastAsia"/>
              </w:rPr>
              <w:t>SW-TFG-12</w:t>
            </w:r>
          </w:p>
        </w:tc>
        <w:tc>
          <w:tcPr>
            <w:tcW w:w="827" w:type="dxa"/>
            <w:tcBorders>
              <w:top w:val="single" w:color="auto" w:sz="4" w:space="0"/>
              <w:left w:val="single" w:color="auto" w:sz="4" w:space="0"/>
              <w:bottom w:val="nil"/>
              <w:right w:val="nil"/>
            </w:tcBorders>
            <w:shd w:val="clear" w:color="auto" w:fill="FFFFFF"/>
            <w:vAlign w:val="center"/>
          </w:tcPr>
          <w:p>
            <w:pPr>
              <w:pStyle w:val="53"/>
            </w:pPr>
            <w:r>
              <w:rPr>
                <w:rFonts w:hint="eastAsia"/>
              </w:rPr>
              <w:t>1</w:t>
            </w:r>
          </w:p>
        </w:tc>
        <w:tc>
          <w:tcPr>
            <w:tcW w:w="3317" w:type="dxa"/>
            <w:tcBorders>
              <w:top w:val="single" w:color="auto" w:sz="4" w:space="0"/>
              <w:left w:val="single" w:color="auto" w:sz="4" w:space="0"/>
              <w:bottom w:val="nil"/>
              <w:right w:val="single" w:color="auto" w:sz="4" w:space="0"/>
            </w:tcBorders>
            <w:shd w:val="clear" w:color="auto" w:fill="FFFFFF"/>
            <w:vAlign w:val="center"/>
          </w:tcPr>
          <w:p>
            <w:pPr>
              <w:pStyle w:val="53"/>
            </w:pPr>
            <w:r>
              <w:rPr>
                <w:rFonts w:hint="eastAsia"/>
              </w:rPr>
              <w:t>上海苏净实业有限公司</w:t>
            </w:r>
          </w:p>
        </w:tc>
      </w:tr>
      <w:tr>
        <w:tblPrEx>
          <w:tblLayout w:type="fixed"/>
          <w:tblCellMar>
            <w:top w:w="0" w:type="dxa"/>
            <w:left w:w="10" w:type="dxa"/>
            <w:bottom w:w="0" w:type="dxa"/>
            <w:right w:w="10" w:type="dxa"/>
          </w:tblCellMar>
        </w:tblPrEx>
        <w:trPr>
          <w:jc w:val="center"/>
        </w:trPr>
        <w:tc>
          <w:tcPr>
            <w:tcW w:w="2349" w:type="dxa"/>
            <w:tcBorders>
              <w:top w:val="single" w:color="auto" w:sz="4" w:space="0"/>
              <w:left w:val="single" w:color="auto" w:sz="4" w:space="0"/>
              <w:bottom w:val="nil"/>
              <w:right w:val="nil"/>
            </w:tcBorders>
            <w:shd w:val="clear" w:color="auto" w:fill="FFFFFF"/>
            <w:vAlign w:val="center"/>
          </w:tcPr>
          <w:p>
            <w:pPr>
              <w:pStyle w:val="53"/>
            </w:pPr>
            <w:r>
              <w:rPr>
                <w:rFonts w:hint="eastAsia"/>
              </w:rPr>
              <w:t>紫外分光光度计</w:t>
            </w:r>
          </w:p>
        </w:tc>
        <w:tc>
          <w:tcPr>
            <w:tcW w:w="1819" w:type="dxa"/>
            <w:tcBorders>
              <w:top w:val="single" w:color="auto" w:sz="4" w:space="0"/>
              <w:left w:val="single" w:color="auto" w:sz="4" w:space="0"/>
              <w:bottom w:val="nil"/>
              <w:right w:val="nil"/>
            </w:tcBorders>
            <w:shd w:val="clear" w:color="auto" w:fill="FFFFFF"/>
            <w:vAlign w:val="center"/>
          </w:tcPr>
          <w:p>
            <w:pPr>
              <w:pStyle w:val="53"/>
            </w:pPr>
            <w:r>
              <w:rPr>
                <w:rFonts w:hint="eastAsia"/>
              </w:rPr>
              <w:t>752手动</w:t>
            </w:r>
          </w:p>
        </w:tc>
        <w:tc>
          <w:tcPr>
            <w:tcW w:w="827" w:type="dxa"/>
            <w:tcBorders>
              <w:top w:val="single" w:color="auto" w:sz="4" w:space="0"/>
              <w:left w:val="single" w:color="auto" w:sz="4" w:space="0"/>
              <w:bottom w:val="nil"/>
              <w:right w:val="nil"/>
            </w:tcBorders>
            <w:shd w:val="clear" w:color="auto" w:fill="FFFFFF"/>
            <w:vAlign w:val="center"/>
          </w:tcPr>
          <w:p>
            <w:pPr>
              <w:pStyle w:val="53"/>
            </w:pPr>
            <w:r>
              <w:rPr>
                <w:rFonts w:hint="eastAsia"/>
              </w:rPr>
              <w:t>1</w:t>
            </w:r>
          </w:p>
        </w:tc>
        <w:tc>
          <w:tcPr>
            <w:tcW w:w="3317" w:type="dxa"/>
            <w:tcBorders>
              <w:top w:val="single" w:color="auto" w:sz="4" w:space="0"/>
              <w:left w:val="single" w:color="auto" w:sz="4" w:space="0"/>
              <w:bottom w:val="nil"/>
              <w:right w:val="single" w:color="auto" w:sz="4" w:space="0"/>
            </w:tcBorders>
            <w:shd w:val="clear" w:color="auto" w:fill="FFFFFF"/>
            <w:vAlign w:val="center"/>
          </w:tcPr>
          <w:p>
            <w:pPr>
              <w:pStyle w:val="53"/>
            </w:pPr>
            <w:r>
              <w:rPr>
                <w:rFonts w:hint="eastAsia"/>
              </w:rPr>
              <w:t>上海菁华科技仪器有限公司</w:t>
            </w:r>
          </w:p>
        </w:tc>
      </w:tr>
      <w:tr>
        <w:tblPrEx>
          <w:tblLayout w:type="fixed"/>
          <w:tblCellMar>
            <w:top w:w="0" w:type="dxa"/>
            <w:left w:w="10" w:type="dxa"/>
            <w:bottom w:w="0" w:type="dxa"/>
            <w:right w:w="10" w:type="dxa"/>
          </w:tblCellMar>
        </w:tblPrEx>
        <w:trPr>
          <w:jc w:val="center"/>
        </w:trPr>
        <w:tc>
          <w:tcPr>
            <w:tcW w:w="2349" w:type="dxa"/>
            <w:tcBorders>
              <w:top w:val="single" w:color="auto" w:sz="4" w:space="0"/>
              <w:left w:val="single" w:color="auto" w:sz="4" w:space="0"/>
              <w:bottom w:val="nil"/>
              <w:right w:val="nil"/>
            </w:tcBorders>
            <w:shd w:val="clear" w:color="auto" w:fill="FFFFFF"/>
            <w:vAlign w:val="center"/>
          </w:tcPr>
          <w:p>
            <w:pPr>
              <w:pStyle w:val="53"/>
            </w:pPr>
            <w:r>
              <w:rPr>
                <w:rFonts w:hint="eastAsia"/>
              </w:rPr>
              <w:t>恒温水浴锅</w:t>
            </w:r>
          </w:p>
        </w:tc>
        <w:tc>
          <w:tcPr>
            <w:tcW w:w="1819" w:type="dxa"/>
            <w:tcBorders>
              <w:top w:val="single" w:color="auto" w:sz="4" w:space="0"/>
              <w:left w:val="single" w:color="auto" w:sz="4" w:space="0"/>
              <w:bottom w:val="nil"/>
              <w:right w:val="nil"/>
            </w:tcBorders>
            <w:shd w:val="clear" w:color="auto" w:fill="FFFFFF"/>
            <w:vAlign w:val="center"/>
          </w:tcPr>
          <w:p>
            <w:pPr>
              <w:pStyle w:val="53"/>
            </w:pPr>
            <w:r>
              <w:rPr>
                <w:rFonts w:hint="eastAsia"/>
              </w:rPr>
              <w:t>HH-S8</w:t>
            </w:r>
          </w:p>
        </w:tc>
        <w:tc>
          <w:tcPr>
            <w:tcW w:w="827" w:type="dxa"/>
            <w:tcBorders>
              <w:top w:val="single" w:color="auto" w:sz="4" w:space="0"/>
              <w:left w:val="single" w:color="auto" w:sz="4" w:space="0"/>
              <w:bottom w:val="nil"/>
              <w:right w:val="nil"/>
            </w:tcBorders>
            <w:shd w:val="clear" w:color="auto" w:fill="FFFFFF"/>
            <w:vAlign w:val="center"/>
          </w:tcPr>
          <w:p>
            <w:pPr>
              <w:pStyle w:val="53"/>
            </w:pPr>
            <w:r>
              <w:rPr>
                <w:rFonts w:hint="eastAsia"/>
              </w:rPr>
              <w:t>1</w:t>
            </w:r>
          </w:p>
        </w:tc>
        <w:tc>
          <w:tcPr>
            <w:tcW w:w="3317" w:type="dxa"/>
            <w:tcBorders>
              <w:top w:val="single" w:color="auto" w:sz="4" w:space="0"/>
              <w:left w:val="single" w:color="auto" w:sz="4" w:space="0"/>
              <w:bottom w:val="nil"/>
              <w:right w:val="single" w:color="auto" w:sz="4" w:space="0"/>
            </w:tcBorders>
            <w:shd w:val="clear" w:color="auto" w:fill="FFFFFF"/>
            <w:vAlign w:val="center"/>
          </w:tcPr>
          <w:p>
            <w:pPr>
              <w:pStyle w:val="53"/>
            </w:pPr>
            <w:r>
              <w:rPr>
                <w:rFonts w:hint="eastAsia"/>
              </w:rPr>
              <w:t>金坛市晶玻实验仪器厂</w:t>
            </w:r>
          </w:p>
        </w:tc>
      </w:tr>
      <w:tr>
        <w:tblPrEx>
          <w:tblLayout w:type="fixed"/>
          <w:tblCellMar>
            <w:top w:w="0" w:type="dxa"/>
            <w:left w:w="10" w:type="dxa"/>
            <w:bottom w:w="0" w:type="dxa"/>
            <w:right w:w="10" w:type="dxa"/>
          </w:tblCellMar>
        </w:tblPrEx>
        <w:trPr>
          <w:jc w:val="center"/>
        </w:trPr>
        <w:tc>
          <w:tcPr>
            <w:tcW w:w="2349" w:type="dxa"/>
            <w:tcBorders>
              <w:top w:val="single" w:color="auto" w:sz="4" w:space="0"/>
              <w:left w:val="single" w:color="auto" w:sz="4" w:space="0"/>
              <w:bottom w:val="nil"/>
              <w:right w:val="nil"/>
            </w:tcBorders>
            <w:shd w:val="clear" w:color="auto" w:fill="FFFFFF"/>
            <w:vAlign w:val="center"/>
          </w:tcPr>
          <w:p>
            <w:pPr>
              <w:pStyle w:val="53"/>
            </w:pPr>
            <w:r>
              <w:rPr>
                <w:rFonts w:hint="eastAsia"/>
              </w:rPr>
              <w:t>中温箱式电阻炉</w:t>
            </w:r>
          </w:p>
        </w:tc>
        <w:tc>
          <w:tcPr>
            <w:tcW w:w="1819" w:type="dxa"/>
            <w:tcBorders>
              <w:top w:val="single" w:color="auto" w:sz="4" w:space="0"/>
              <w:left w:val="single" w:color="auto" w:sz="4" w:space="0"/>
              <w:bottom w:val="nil"/>
              <w:right w:val="nil"/>
            </w:tcBorders>
            <w:shd w:val="clear" w:color="auto" w:fill="FFFFFF"/>
            <w:vAlign w:val="center"/>
          </w:tcPr>
          <w:p>
            <w:pPr>
              <w:pStyle w:val="53"/>
            </w:pPr>
            <w:r>
              <w:rPr>
                <w:rFonts w:hint="eastAsia"/>
              </w:rPr>
              <w:t>SX-4-10</w:t>
            </w:r>
          </w:p>
        </w:tc>
        <w:tc>
          <w:tcPr>
            <w:tcW w:w="827" w:type="dxa"/>
            <w:tcBorders>
              <w:top w:val="single" w:color="auto" w:sz="4" w:space="0"/>
              <w:left w:val="single" w:color="auto" w:sz="4" w:space="0"/>
              <w:bottom w:val="nil"/>
              <w:right w:val="nil"/>
            </w:tcBorders>
            <w:shd w:val="clear" w:color="auto" w:fill="FFFFFF"/>
            <w:vAlign w:val="center"/>
          </w:tcPr>
          <w:p>
            <w:pPr>
              <w:pStyle w:val="53"/>
            </w:pPr>
            <w:r>
              <w:rPr>
                <w:rFonts w:hint="eastAsia"/>
              </w:rPr>
              <w:t>1</w:t>
            </w:r>
          </w:p>
        </w:tc>
        <w:tc>
          <w:tcPr>
            <w:tcW w:w="3317" w:type="dxa"/>
            <w:tcBorders>
              <w:top w:val="single" w:color="auto" w:sz="4" w:space="0"/>
              <w:left w:val="single" w:color="auto" w:sz="4" w:space="0"/>
              <w:bottom w:val="nil"/>
              <w:right w:val="single" w:color="auto" w:sz="4" w:space="0"/>
            </w:tcBorders>
            <w:shd w:val="clear" w:color="auto" w:fill="FFFFFF"/>
            <w:vAlign w:val="center"/>
          </w:tcPr>
          <w:p>
            <w:pPr>
              <w:pStyle w:val="53"/>
            </w:pPr>
            <w:r>
              <w:rPr>
                <w:rFonts w:hint="eastAsia"/>
              </w:rPr>
              <w:t>北京市永光明医疗仪器有限公</w:t>
            </w:r>
          </w:p>
        </w:tc>
      </w:tr>
      <w:tr>
        <w:tblPrEx>
          <w:tblLayout w:type="fixed"/>
          <w:tblCellMar>
            <w:top w:w="0" w:type="dxa"/>
            <w:left w:w="10" w:type="dxa"/>
            <w:bottom w:w="0" w:type="dxa"/>
            <w:right w:w="10" w:type="dxa"/>
          </w:tblCellMar>
        </w:tblPrEx>
        <w:trPr>
          <w:jc w:val="center"/>
        </w:trPr>
        <w:tc>
          <w:tcPr>
            <w:tcW w:w="2349" w:type="dxa"/>
            <w:tcBorders>
              <w:top w:val="single" w:color="auto" w:sz="4" w:space="0"/>
              <w:left w:val="single" w:color="auto" w:sz="4" w:space="0"/>
              <w:bottom w:val="nil"/>
              <w:right w:val="nil"/>
            </w:tcBorders>
            <w:shd w:val="clear" w:color="auto" w:fill="FFFFFF"/>
            <w:vAlign w:val="center"/>
          </w:tcPr>
          <w:p>
            <w:pPr>
              <w:pStyle w:val="53"/>
            </w:pPr>
            <w:r>
              <w:rPr>
                <w:rFonts w:hint="eastAsia"/>
              </w:rPr>
              <w:t>KSW型电炉温度控制器</w:t>
            </w:r>
          </w:p>
        </w:tc>
        <w:tc>
          <w:tcPr>
            <w:tcW w:w="1819" w:type="dxa"/>
            <w:tcBorders>
              <w:top w:val="single" w:color="auto" w:sz="4" w:space="0"/>
              <w:left w:val="single" w:color="auto" w:sz="4" w:space="0"/>
              <w:bottom w:val="nil"/>
              <w:right w:val="nil"/>
            </w:tcBorders>
            <w:shd w:val="clear" w:color="auto" w:fill="FFFFFF"/>
            <w:vAlign w:val="center"/>
          </w:tcPr>
          <w:p>
            <w:pPr>
              <w:pStyle w:val="53"/>
            </w:pPr>
            <w:r>
              <w:rPr>
                <w:rFonts w:hint="eastAsia"/>
              </w:rPr>
              <w:t>KSW-6-12</w:t>
            </w:r>
          </w:p>
        </w:tc>
        <w:tc>
          <w:tcPr>
            <w:tcW w:w="827" w:type="dxa"/>
            <w:tcBorders>
              <w:top w:val="single" w:color="auto" w:sz="4" w:space="0"/>
              <w:left w:val="single" w:color="auto" w:sz="4" w:space="0"/>
              <w:bottom w:val="nil"/>
              <w:right w:val="nil"/>
            </w:tcBorders>
            <w:shd w:val="clear" w:color="auto" w:fill="FFFFFF"/>
            <w:vAlign w:val="center"/>
          </w:tcPr>
          <w:p>
            <w:pPr>
              <w:pStyle w:val="53"/>
            </w:pPr>
            <w:r>
              <w:rPr>
                <w:rFonts w:hint="eastAsia"/>
              </w:rPr>
              <w:t>1</w:t>
            </w:r>
          </w:p>
        </w:tc>
        <w:tc>
          <w:tcPr>
            <w:tcW w:w="3317" w:type="dxa"/>
            <w:tcBorders>
              <w:top w:val="single" w:color="auto" w:sz="4" w:space="0"/>
              <w:left w:val="single" w:color="auto" w:sz="4" w:space="0"/>
              <w:bottom w:val="nil"/>
              <w:right w:val="single" w:color="auto" w:sz="4" w:space="0"/>
            </w:tcBorders>
            <w:shd w:val="clear" w:color="auto" w:fill="FFFFFF"/>
            <w:vAlign w:val="center"/>
          </w:tcPr>
          <w:p>
            <w:pPr>
              <w:pStyle w:val="53"/>
            </w:pPr>
            <w:r>
              <w:rPr>
                <w:rFonts w:hint="eastAsia"/>
              </w:rPr>
              <w:t>北京市永光明医疗仪器有限公</w:t>
            </w:r>
          </w:p>
        </w:tc>
      </w:tr>
      <w:tr>
        <w:tblPrEx>
          <w:tblLayout w:type="fixed"/>
          <w:tblCellMar>
            <w:top w:w="0" w:type="dxa"/>
            <w:left w:w="10" w:type="dxa"/>
            <w:bottom w:w="0" w:type="dxa"/>
            <w:right w:w="10" w:type="dxa"/>
          </w:tblCellMar>
        </w:tblPrEx>
        <w:trPr>
          <w:jc w:val="center"/>
        </w:trPr>
        <w:tc>
          <w:tcPr>
            <w:tcW w:w="2349" w:type="dxa"/>
            <w:tcBorders>
              <w:top w:val="single" w:color="auto" w:sz="4" w:space="0"/>
              <w:left w:val="single" w:color="auto" w:sz="4" w:space="0"/>
              <w:bottom w:val="nil"/>
              <w:right w:val="nil"/>
            </w:tcBorders>
            <w:shd w:val="clear" w:color="auto" w:fill="FFFFFF"/>
            <w:vAlign w:val="center"/>
          </w:tcPr>
          <w:p>
            <w:pPr>
              <w:pStyle w:val="53"/>
            </w:pPr>
            <w:r>
              <w:rPr>
                <w:rFonts w:hint="eastAsia"/>
              </w:rPr>
              <w:t>电热真空干燥箱</w:t>
            </w:r>
          </w:p>
        </w:tc>
        <w:tc>
          <w:tcPr>
            <w:tcW w:w="1819" w:type="dxa"/>
            <w:tcBorders>
              <w:top w:val="single" w:color="auto" w:sz="4" w:space="0"/>
              <w:left w:val="single" w:color="auto" w:sz="4" w:space="0"/>
              <w:bottom w:val="nil"/>
              <w:right w:val="nil"/>
            </w:tcBorders>
            <w:shd w:val="clear" w:color="auto" w:fill="FFFFFF"/>
            <w:vAlign w:val="center"/>
          </w:tcPr>
          <w:p>
            <w:pPr>
              <w:pStyle w:val="53"/>
            </w:pPr>
            <w:r>
              <w:rPr>
                <w:rFonts w:hint="eastAsia"/>
              </w:rPr>
              <w:t>DZF-2</w:t>
            </w:r>
          </w:p>
        </w:tc>
        <w:tc>
          <w:tcPr>
            <w:tcW w:w="827" w:type="dxa"/>
            <w:tcBorders>
              <w:top w:val="single" w:color="auto" w:sz="4" w:space="0"/>
              <w:left w:val="single" w:color="auto" w:sz="4" w:space="0"/>
              <w:bottom w:val="nil"/>
              <w:right w:val="nil"/>
            </w:tcBorders>
            <w:shd w:val="clear" w:color="auto" w:fill="FFFFFF"/>
            <w:vAlign w:val="center"/>
          </w:tcPr>
          <w:p>
            <w:pPr>
              <w:pStyle w:val="53"/>
            </w:pPr>
            <w:r>
              <w:rPr>
                <w:rFonts w:hint="eastAsia"/>
              </w:rPr>
              <w:t>1</w:t>
            </w:r>
          </w:p>
        </w:tc>
        <w:tc>
          <w:tcPr>
            <w:tcW w:w="3317" w:type="dxa"/>
            <w:tcBorders>
              <w:top w:val="single" w:color="auto" w:sz="4" w:space="0"/>
              <w:left w:val="single" w:color="auto" w:sz="4" w:space="0"/>
              <w:bottom w:val="nil"/>
              <w:right w:val="single" w:color="auto" w:sz="4" w:space="0"/>
            </w:tcBorders>
            <w:shd w:val="clear" w:color="auto" w:fill="FFFFFF"/>
            <w:vAlign w:val="center"/>
          </w:tcPr>
          <w:p>
            <w:pPr>
              <w:pStyle w:val="53"/>
            </w:pPr>
            <w:r>
              <w:rPr>
                <w:rFonts w:hint="eastAsia"/>
              </w:rPr>
              <w:t>北京市永光明医疗仪器有限公</w:t>
            </w:r>
          </w:p>
        </w:tc>
      </w:tr>
      <w:tr>
        <w:tblPrEx>
          <w:tblLayout w:type="fixed"/>
          <w:tblCellMar>
            <w:top w:w="0" w:type="dxa"/>
            <w:left w:w="10" w:type="dxa"/>
            <w:bottom w:w="0" w:type="dxa"/>
            <w:right w:w="10" w:type="dxa"/>
          </w:tblCellMar>
        </w:tblPrEx>
        <w:trPr>
          <w:jc w:val="center"/>
        </w:trPr>
        <w:tc>
          <w:tcPr>
            <w:tcW w:w="2349" w:type="dxa"/>
            <w:tcBorders>
              <w:top w:val="single" w:color="auto" w:sz="4" w:space="0"/>
              <w:left w:val="single" w:color="auto" w:sz="4" w:space="0"/>
              <w:bottom w:val="nil"/>
              <w:right w:val="nil"/>
            </w:tcBorders>
            <w:shd w:val="clear" w:color="auto" w:fill="FFFFFF"/>
            <w:vAlign w:val="center"/>
          </w:tcPr>
          <w:p>
            <w:pPr>
              <w:pStyle w:val="53"/>
            </w:pPr>
            <w:r>
              <w:rPr>
                <w:rFonts w:hint="eastAsia"/>
              </w:rPr>
              <w:t>RE旋转蒸发器</w:t>
            </w:r>
          </w:p>
        </w:tc>
        <w:tc>
          <w:tcPr>
            <w:tcW w:w="1819" w:type="dxa"/>
            <w:tcBorders>
              <w:top w:val="single" w:color="auto" w:sz="4" w:space="0"/>
              <w:left w:val="single" w:color="auto" w:sz="4" w:space="0"/>
              <w:bottom w:val="nil"/>
              <w:right w:val="nil"/>
            </w:tcBorders>
            <w:shd w:val="clear" w:color="auto" w:fill="FFFFFF"/>
            <w:vAlign w:val="center"/>
          </w:tcPr>
          <w:p>
            <w:pPr>
              <w:pStyle w:val="53"/>
            </w:pPr>
            <w:r>
              <w:rPr>
                <w:rFonts w:hint="eastAsia"/>
              </w:rPr>
              <w:t>RE-52CS52684</w:t>
            </w:r>
          </w:p>
        </w:tc>
        <w:tc>
          <w:tcPr>
            <w:tcW w:w="827" w:type="dxa"/>
            <w:tcBorders>
              <w:top w:val="single" w:color="auto" w:sz="4" w:space="0"/>
              <w:left w:val="single" w:color="auto" w:sz="4" w:space="0"/>
              <w:bottom w:val="nil"/>
              <w:right w:val="nil"/>
            </w:tcBorders>
            <w:shd w:val="clear" w:color="auto" w:fill="FFFFFF"/>
            <w:vAlign w:val="center"/>
          </w:tcPr>
          <w:p>
            <w:pPr>
              <w:pStyle w:val="53"/>
            </w:pPr>
            <w:r>
              <w:rPr>
                <w:rFonts w:hint="eastAsia"/>
              </w:rPr>
              <w:t>1</w:t>
            </w:r>
          </w:p>
        </w:tc>
        <w:tc>
          <w:tcPr>
            <w:tcW w:w="3317" w:type="dxa"/>
            <w:tcBorders>
              <w:top w:val="single" w:color="auto" w:sz="4" w:space="0"/>
              <w:left w:val="single" w:color="auto" w:sz="4" w:space="0"/>
              <w:bottom w:val="nil"/>
              <w:right w:val="single" w:color="auto" w:sz="4" w:space="0"/>
            </w:tcBorders>
            <w:shd w:val="clear" w:color="auto" w:fill="FFFFFF"/>
            <w:vAlign w:val="center"/>
          </w:tcPr>
          <w:p>
            <w:pPr>
              <w:pStyle w:val="53"/>
            </w:pPr>
            <w:r>
              <w:rPr>
                <w:rFonts w:hint="eastAsia"/>
              </w:rPr>
              <w:t>上海亚荣生化仪器厂</w:t>
            </w:r>
          </w:p>
        </w:tc>
      </w:tr>
      <w:tr>
        <w:tblPrEx>
          <w:tblLayout w:type="fixed"/>
          <w:tblCellMar>
            <w:top w:w="0" w:type="dxa"/>
            <w:left w:w="10" w:type="dxa"/>
            <w:bottom w:w="0" w:type="dxa"/>
            <w:right w:w="10" w:type="dxa"/>
          </w:tblCellMar>
        </w:tblPrEx>
        <w:trPr>
          <w:jc w:val="center"/>
        </w:trPr>
        <w:tc>
          <w:tcPr>
            <w:tcW w:w="2349" w:type="dxa"/>
            <w:tcBorders>
              <w:top w:val="single" w:color="auto" w:sz="4" w:space="0"/>
              <w:left w:val="single" w:color="auto" w:sz="4" w:space="0"/>
              <w:bottom w:val="nil"/>
              <w:right w:val="nil"/>
            </w:tcBorders>
            <w:shd w:val="clear" w:color="auto" w:fill="FFFFFF"/>
            <w:vAlign w:val="center"/>
          </w:tcPr>
          <w:p>
            <w:pPr>
              <w:pStyle w:val="53"/>
            </w:pPr>
            <w:r>
              <w:rPr>
                <w:rFonts w:hint="eastAsia"/>
              </w:rPr>
              <w:t>恒温水浴锅</w:t>
            </w:r>
          </w:p>
        </w:tc>
        <w:tc>
          <w:tcPr>
            <w:tcW w:w="1819" w:type="dxa"/>
            <w:tcBorders>
              <w:top w:val="single" w:color="auto" w:sz="4" w:space="0"/>
              <w:left w:val="single" w:color="auto" w:sz="4" w:space="0"/>
              <w:bottom w:val="nil"/>
              <w:right w:val="nil"/>
            </w:tcBorders>
            <w:shd w:val="clear" w:color="auto" w:fill="FFFFFF"/>
            <w:vAlign w:val="center"/>
          </w:tcPr>
          <w:p>
            <w:pPr>
              <w:pStyle w:val="53"/>
            </w:pPr>
            <w:r>
              <w:rPr>
                <w:rFonts w:hint="eastAsia"/>
              </w:rPr>
              <w:t>B220</w:t>
            </w:r>
          </w:p>
        </w:tc>
        <w:tc>
          <w:tcPr>
            <w:tcW w:w="827" w:type="dxa"/>
            <w:tcBorders>
              <w:top w:val="single" w:color="auto" w:sz="4" w:space="0"/>
              <w:left w:val="single" w:color="auto" w:sz="4" w:space="0"/>
              <w:bottom w:val="nil"/>
              <w:right w:val="nil"/>
            </w:tcBorders>
            <w:shd w:val="clear" w:color="auto" w:fill="FFFFFF"/>
            <w:vAlign w:val="center"/>
          </w:tcPr>
          <w:p>
            <w:pPr>
              <w:pStyle w:val="53"/>
            </w:pPr>
            <w:r>
              <w:rPr>
                <w:rFonts w:hint="eastAsia"/>
              </w:rPr>
              <w:t>1</w:t>
            </w:r>
          </w:p>
        </w:tc>
        <w:tc>
          <w:tcPr>
            <w:tcW w:w="3317" w:type="dxa"/>
            <w:tcBorders>
              <w:top w:val="single" w:color="auto" w:sz="4" w:space="0"/>
              <w:left w:val="single" w:color="auto" w:sz="4" w:space="0"/>
              <w:bottom w:val="nil"/>
              <w:right w:val="single" w:color="auto" w:sz="4" w:space="0"/>
            </w:tcBorders>
            <w:shd w:val="clear" w:color="auto" w:fill="FFFFFF"/>
            <w:vAlign w:val="center"/>
          </w:tcPr>
          <w:p>
            <w:pPr>
              <w:pStyle w:val="53"/>
            </w:pPr>
            <w:r>
              <w:rPr>
                <w:rFonts w:hint="eastAsia"/>
              </w:rPr>
              <w:t>上海亚荣生化仪器厂</w:t>
            </w:r>
          </w:p>
        </w:tc>
      </w:tr>
      <w:tr>
        <w:tblPrEx>
          <w:tblLayout w:type="fixed"/>
          <w:tblCellMar>
            <w:top w:w="0" w:type="dxa"/>
            <w:left w:w="10" w:type="dxa"/>
            <w:bottom w:w="0" w:type="dxa"/>
            <w:right w:w="10" w:type="dxa"/>
          </w:tblCellMar>
        </w:tblPrEx>
        <w:trPr>
          <w:jc w:val="center"/>
        </w:trPr>
        <w:tc>
          <w:tcPr>
            <w:tcW w:w="2349" w:type="dxa"/>
            <w:tcBorders>
              <w:top w:val="single" w:color="auto" w:sz="4" w:space="0"/>
              <w:left w:val="single" w:color="auto" w:sz="4" w:space="0"/>
              <w:bottom w:val="nil"/>
              <w:right w:val="nil"/>
            </w:tcBorders>
            <w:shd w:val="clear" w:color="auto" w:fill="FFFFFF"/>
            <w:vAlign w:val="center"/>
          </w:tcPr>
          <w:p>
            <w:pPr>
              <w:pStyle w:val="53"/>
            </w:pPr>
            <w:r>
              <w:rPr>
                <w:rFonts w:hint="eastAsia"/>
              </w:rPr>
              <w:t>循环水多用真空泵</w:t>
            </w:r>
          </w:p>
        </w:tc>
        <w:tc>
          <w:tcPr>
            <w:tcW w:w="1819" w:type="dxa"/>
            <w:tcBorders>
              <w:top w:val="single" w:color="auto" w:sz="4" w:space="0"/>
              <w:left w:val="single" w:color="auto" w:sz="4" w:space="0"/>
              <w:bottom w:val="nil"/>
              <w:right w:val="nil"/>
            </w:tcBorders>
            <w:shd w:val="clear" w:color="auto" w:fill="FFFFFF"/>
            <w:vAlign w:val="center"/>
          </w:tcPr>
          <w:p>
            <w:pPr>
              <w:pStyle w:val="53"/>
            </w:pPr>
            <w:r>
              <w:rPr>
                <w:rFonts w:hint="eastAsia"/>
              </w:rPr>
              <w:t>SHZ-D</w:t>
            </w:r>
            <w:r>
              <w:t>M</w:t>
            </w:r>
          </w:p>
        </w:tc>
        <w:tc>
          <w:tcPr>
            <w:tcW w:w="827" w:type="dxa"/>
            <w:tcBorders>
              <w:top w:val="single" w:color="auto" w:sz="4" w:space="0"/>
              <w:left w:val="single" w:color="auto" w:sz="4" w:space="0"/>
              <w:bottom w:val="nil"/>
              <w:right w:val="nil"/>
            </w:tcBorders>
            <w:shd w:val="clear" w:color="auto" w:fill="FFFFFF"/>
            <w:vAlign w:val="center"/>
          </w:tcPr>
          <w:p>
            <w:pPr>
              <w:pStyle w:val="53"/>
            </w:pPr>
            <w:r>
              <w:rPr>
                <w:rFonts w:hint="eastAsia"/>
              </w:rPr>
              <w:t>1</w:t>
            </w:r>
          </w:p>
        </w:tc>
        <w:tc>
          <w:tcPr>
            <w:tcW w:w="3317" w:type="dxa"/>
            <w:tcBorders>
              <w:top w:val="single" w:color="auto" w:sz="4" w:space="0"/>
              <w:left w:val="single" w:color="auto" w:sz="4" w:space="0"/>
              <w:bottom w:val="nil"/>
              <w:right w:val="single" w:color="auto" w:sz="4" w:space="0"/>
            </w:tcBorders>
            <w:shd w:val="clear" w:color="auto" w:fill="FFFFFF"/>
            <w:vAlign w:val="center"/>
          </w:tcPr>
          <w:p>
            <w:pPr>
              <w:pStyle w:val="53"/>
            </w:pPr>
            <w:r>
              <w:rPr>
                <w:rFonts w:hint="eastAsia"/>
              </w:rPr>
              <w:t>巩义市予华仪器有限责任公司</w:t>
            </w:r>
          </w:p>
        </w:tc>
      </w:tr>
      <w:tr>
        <w:tblPrEx>
          <w:tblLayout w:type="fixed"/>
          <w:tblCellMar>
            <w:top w:w="0" w:type="dxa"/>
            <w:left w:w="10" w:type="dxa"/>
            <w:bottom w:w="0" w:type="dxa"/>
            <w:right w:w="10" w:type="dxa"/>
          </w:tblCellMar>
        </w:tblPrEx>
        <w:trPr>
          <w:jc w:val="center"/>
        </w:trPr>
        <w:tc>
          <w:tcPr>
            <w:tcW w:w="2349" w:type="dxa"/>
            <w:tcBorders>
              <w:top w:val="single" w:color="auto" w:sz="4" w:space="0"/>
              <w:left w:val="single" w:color="auto" w:sz="4" w:space="0"/>
              <w:bottom w:val="single" w:color="auto" w:sz="4" w:space="0"/>
              <w:right w:val="nil"/>
            </w:tcBorders>
            <w:shd w:val="clear" w:color="auto" w:fill="FFFFFF"/>
            <w:vAlign w:val="bottom"/>
          </w:tcPr>
          <w:p>
            <w:pPr>
              <w:pStyle w:val="53"/>
              <w:rPr>
                <w:rFonts w:hint="eastAsia" w:eastAsia="宋体"/>
                <w:lang w:eastAsia="zh-CN"/>
              </w:rPr>
            </w:pPr>
            <w:r>
              <w:rPr>
                <w:rFonts w:hint="eastAsia"/>
              </w:rPr>
              <w:t>不锈钢电热蒸馏水</w:t>
            </w:r>
          </w:p>
        </w:tc>
        <w:tc>
          <w:tcPr>
            <w:tcW w:w="1819" w:type="dxa"/>
            <w:tcBorders>
              <w:top w:val="single" w:color="auto" w:sz="4" w:space="0"/>
              <w:left w:val="single" w:color="auto" w:sz="4" w:space="0"/>
              <w:bottom w:val="single" w:color="auto" w:sz="4" w:space="0"/>
              <w:right w:val="nil"/>
            </w:tcBorders>
            <w:shd w:val="clear" w:color="auto" w:fill="FFFFFF"/>
            <w:vAlign w:val="center"/>
          </w:tcPr>
          <w:p>
            <w:pPr>
              <w:pStyle w:val="53"/>
            </w:pPr>
            <w:r>
              <w:rPr>
                <w:rFonts w:hint="eastAsia"/>
              </w:rPr>
              <w:t>YAZD10</w:t>
            </w:r>
          </w:p>
        </w:tc>
        <w:tc>
          <w:tcPr>
            <w:tcW w:w="827" w:type="dxa"/>
            <w:tcBorders>
              <w:top w:val="single" w:color="auto" w:sz="4" w:space="0"/>
              <w:left w:val="single" w:color="auto" w:sz="4" w:space="0"/>
              <w:bottom w:val="single" w:color="auto" w:sz="4" w:space="0"/>
              <w:right w:val="nil"/>
            </w:tcBorders>
            <w:shd w:val="clear" w:color="auto" w:fill="FFFFFF"/>
            <w:vAlign w:val="center"/>
          </w:tcPr>
          <w:p>
            <w:pPr>
              <w:pStyle w:val="53"/>
            </w:pPr>
            <w:r>
              <w:rPr>
                <w:rFonts w:hint="eastAsia"/>
              </w:rPr>
              <w:t>1</w:t>
            </w:r>
          </w:p>
        </w:tc>
        <w:tc>
          <w:tcPr>
            <w:tcW w:w="331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53"/>
            </w:pPr>
            <w:r>
              <w:rPr>
                <w:rFonts w:hint="eastAsia"/>
              </w:rPr>
              <w:t>上海南阳仪器有限公司</w:t>
            </w:r>
          </w:p>
        </w:tc>
      </w:tr>
      <w:tr>
        <w:tblPrEx>
          <w:tblLayout w:type="fixed"/>
          <w:tblCellMar>
            <w:top w:w="0" w:type="dxa"/>
            <w:left w:w="10" w:type="dxa"/>
            <w:bottom w:w="0" w:type="dxa"/>
            <w:right w:w="10" w:type="dxa"/>
          </w:tblCellMar>
        </w:tblPrEx>
        <w:trPr>
          <w:jc w:val="center"/>
        </w:trPr>
        <w:tc>
          <w:tcPr>
            <w:tcW w:w="2349" w:type="dxa"/>
            <w:tcBorders>
              <w:top w:val="single" w:color="auto" w:sz="4" w:space="0"/>
              <w:left w:val="single" w:color="auto" w:sz="4" w:space="0"/>
              <w:bottom w:val="single" w:color="auto" w:sz="4" w:space="0"/>
              <w:right w:val="nil"/>
            </w:tcBorders>
            <w:shd w:val="clear" w:color="auto" w:fill="FFFFFF"/>
            <w:vAlign w:val="bottom"/>
          </w:tcPr>
          <w:p>
            <w:pPr>
              <w:pStyle w:val="53"/>
            </w:pPr>
            <w:r>
              <w:rPr>
                <w:rFonts w:hint="eastAsia"/>
              </w:rPr>
              <w:t>电热恒温干燥箱</w:t>
            </w:r>
          </w:p>
        </w:tc>
        <w:tc>
          <w:tcPr>
            <w:tcW w:w="1819" w:type="dxa"/>
            <w:tcBorders>
              <w:top w:val="single" w:color="auto" w:sz="4" w:space="0"/>
              <w:left w:val="single" w:color="auto" w:sz="4" w:space="0"/>
              <w:bottom w:val="single" w:color="auto" w:sz="4" w:space="0"/>
              <w:right w:val="nil"/>
            </w:tcBorders>
            <w:shd w:val="clear" w:color="auto" w:fill="FFFFFF"/>
            <w:vAlign w:val="center"/>
          </w:tcPr>
          <w:p>
            <w:pPr>
              <w:pStyle w:val="53"/>
            </w:pPr>
            <w:r>
              <w:t>101-A</w:t>
            </w:r>
          </w:p>
        </w:tc>
        <w:tc>
          <w:tcPr>
            <w:tcW w:w="827" w:type="dxa"/>
            <w:tcBorders>
              <w:top w:val="single" w:color="auto" w:sz="4" w:space="0"/>
              <w:left w:val="single" w:color="auto" w:sz="4" w:space="0"/>
              <w:bottom w:val="single" w:color="auto" w:sz="4" w:space="0"/>
              <w:right w:val="nil"/>
            </w:tcBorders>
            <w:shd w:val="clear" w:color="auto" w:fill="FFFFFF"/>
            <w:vAlign w:val="center"/>
          </w:tcPr>
          <w:p>
            <w:pPr>
              <w:pStyle w:val="53"/>
            </w:pPr>
            <w:r>
              <w:rPr>
                <w:rFonts w:hint="eastAsia"/>
              </w:rPr>
              <w:t>1</w:t>
            </w:r>
          </w:p>
        </w:tc>
        <w:tc>
          <w:tcPr>
            <w:tcW w:w="331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53"/>
            </w:pPr>
            <w:r>
              <w:rPr>
                <w:rFonts w:hint="eastAsia"/>
              </w:rPr>
              <w:t>沪南电炉烘箱厂</w:t>
            </w:r>
          </w:p>
        </w:tc>
      </w:tr>
      <w:tr>
        <w:tblPrEx>
          <w:tblLayout w:type="fixed"/>
          <w:tblCellMar>
            <w:top w:w="0" w:type="dxa"/>
            <w:left w:w="10" w:type="dxa"/>
            <w:bottom w:w="0" w:type="dxa"/>
            <w:right w:w="10" w:type="dxa"/>
          </w:tblCellMar>
        </w:tblPrEx>
        <w:trPr>
          <w:jc w:val="center"/>
        </w:trPr>
        <w:tc>
          <w:tcPr>
            <w:tcW w:w="2349" w:type="dxa"/>
            <w:tcBorders>
              <w:top w:val="single" w:color="auto" w:sz="4" w:space="0"/>
              <w:left w:val="single" w:color="auto" w:sz="4" w:space="0"/>
              <w:bottom w:val="single" w:color="auto" w:sz="4" w:space="0"/>
              <w:right w:val="nil"/>
            </w:tcBorders>
            <w:shd w:val="clear" w:color="auto" w:fill="FFFFFF"/>
            <w:vAlign w:val="bottom"/>
          </w:tcPr>
          <w:p>
            <w:pPr>
              <w:pStyle w:val="53"/>
            </w:pPr>
            <w:r>
              <w:rPr>
                <w:rFonts w:hint="eastAsia"/>
              </w:rPr>
              <w:t>JPT（托盘）架盘天平</w:t>
            </w:r>
          </w:p>
        </w:tc>
        <w:tc>
          <w:tcPr>
            <w:tcW w:w="1819" w:type="dxa"/>
            <w:tcBorders>
              <w:top w:val="single" w:color="auto" w:sz="4" w:space="0"/>
              <w:left w:val="single" w:color="auto" w:sz="4" w:space="0"/>
              <w:bottom w:val="single" w:color="auto" w:sz="4" w:space="0"/>
              <w:right w:val="nil"/>
            </w:tcBorders>
            <w:shd w:val="clear" w:color="auto" w:fill="FFFFFF"/>
            <w:vAlign w:val="center"/>
          </w:tcPr>
          <w:p>
            <w:pPr>
              <w:pStyle w:val="53"/>
            </w:pPr>
            <w:r>
              <w:t>JPT-10</w:t>
            </w:r>
          </w:p>
        </w:tc>
        <w:tc>
          <w:tcPr>
            <w:tcW w:w="827" w:type="dxa"/>
            <w:tcBorders>
              <w:top w:val="single" w:color="auto" w:sz="4" w:space="0"/>
              <w:left w:val="single" w:color="auto" w:sz="4" w:space="0"/>
              <w:bottom w:val="single" w:color="auto" w:sz="4" w:space="0"/>
              <w:right w:val="nil"/>
            </w:tcBorders>
            <w:shd w:val="clear" w:color="auto" w:fill="FFFFFF"/>
            <w:vAlign w:val="center"/>
          </w:tcPr>
          <w:p>
            <w:pPr>
              <w:pStyle w:val="53"/>
            </w:pPr>
            <w:r>
              <w:rPr>
                <w:rFonts w:hint="eastAsia"/>
              </w:rPr>
              <w:t>1</w:t>
            </w:r>
          </w:p>
        </w:tc>
        <w:tc>
          <w:tcPr>
            <w:tcW w:w="331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53"/>
            </w:pPr>
            <w:r>
              <w:rPr>
                <w:rFonts w:hint="eastAsia"/>
              </w:rPr>
              <w:t>岱山飞马天平仪器厂</w:t>
            </w:r>
          </w:p>
        </w:tc>
      </w:tr>
      <w:tr>
        <w:tblPrEx>
          <w:tblLayout w:type="fixed"/>
          <w:tblCellMar>
            <w:top w:w="0" w:type="dxa"/>
            <w:left w:w="10" w:type="dxa"/>
            <w:bottom w:w="0" w:type="dxa"/>
            <w:right w:w="10" w:type="dxa"/>
          </w:tblCellMar>
        </w:tblPrEx>
        <w:trPr>
          <w:jc w:val="center"/>
        </w:trPr>
        <w:tc>
          <w:tcPr>
            <w:tcW w:w="2349" w:type="dxa"/>
            <w:tcBorders>
              <w:top w:val="single" w:color="auto" w:sz="4" w:space="0"/>
              <w:left w:val="single" w:color="auto" w:sz="4" w:space="0"/>
              <w:bottom w:val="single" w:color="auto" w:sz="4" w:space="0"/>
              <w:right w:val="nil"/>
            </w:tcBorders>
            <w:shd w:val="clear" w:color="auto" w:fill="FFFFFF"/>
            <w:vAlign w:val="bottom"/>
          </w:tcPr>
          <w:p>
            <w:pPr>
              <w:pStyle w:val="53"/>
            </w:pPr>
            <w:r>
              <w:rPr>
                <w:rFonts w:hint="eastAsia"/>
              </w:rPr>
              <w:t>PHS系列实验室PH</w:t>
            </w:r>
          </w:p>
        </w:tc>
        <w:tc>
          <w:tcPr>
            <w:tcW w:w="1819" w:type="dxa"/>
            <w:tcBorders>
              <w:top w:val="single" w:color="auto" w:sz="4" w:space="0"/>
              <w:left w:val="single" w:color="auto" w:sz="4" w:space="0"/>
              <w:bottom w:val="single" w:color="auto" w:sz="4" w:space="0"/>
              <w:right w:val="nil"/>
            </w:tcBorders>
            <w:shd w:val="clear" w:color="auto" w:fill="FFFFFF"/>
            <w:vAlign w:val="center"/>
          </w:tcPr>
          <w:p>
            <w:pPr>
              <w:pStyle w:val="53"/>
            </w:pPr>
            <w:r>
              <w:t>PHS-3C</w:t>
            </w:r>
          </w:p>
        </w:tc>
        <w:tc>
          <w:tcPr>
            <w:tcW w:w="827" w:type="dxa"/>
            <w:tcBorders>
              <w:top w:val="single" w:color="auto" w:sz="4" w:space="0"/>
              <w:left w:val="single" w:color="auto" w:sz="4" w:space="0"/>
              <w:bottom w:val="single" w:color="auto" w:sz="4" w:space="0"/>
              <w:right w:val="nil"/>
            </w:tcBorders>
            <w:shd w:val="clear" w:color="auto" w:fill="FFFFFF"/>
            <w:vAlign w:val="center"/>
          </w:tcPr>
          <w:p>
            <w:pPr>
              <w:pStyle w:val="53"/>
            </w:pPr>
            <w:r>
              <w:rPr>
                <w:rFonts w:hint="eastAsia"/>
              </w:rPr>
              <w:t>1</w:t>
            </w:r>
          </w:p>
        </w:tc>
        <w:tc>
          <w:tcPr>
            <w:tcW w:w="331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53"/>
            </w:pPr>
            <w:r>
              <w:rPr>
                <w:rFonts w:hint="eastAsia"/>
              </w:rPr>
              <w:t>杭州奥立龙仪器有限公司</w:t>
            </w:r>
          </w:p>
        </w:tc>
      </w:tr>
    </w:tbl>
    <w:p>
      <w:pPr>
        <w:pStyle w:val="6"/>
        <w:bidi w:val="0"/>
      </w:pPr>
      <w:bookmarkStart w:id="629" w:name="_Toc13964"/>
      <w:r>
        <w:rPr>
          <w:rFonts w:hint="eastAsia"/>
          <w:lang w:eastAsia="zh-CN"/>
        </w:rPr>
        <w:t>（</w:t>
      </w:r>
      <w:r>
        <w:rPr>
          <w:rFonts w:hint="eastAsia"/>
          <w:lang w:val="en-US" w:eastAsia="zh-CN"/>
        </w:rPr>
        <w:t>二</w:t>
      </w:r>
      <w:r>
        <w:rPr>
          <w:rFonts w:hint="eastAsia"/>
          <w:lang w:eastAsia="zh-CN"/>
        </w:rPr>
        <w:t>）</w:t>
      </w:r>
      <w:r>
        <w:rPr>
          <w:rFonts w:hint="eastAsia"/>
        </w:rPr>
        <w:t>检验氮磷钾有机质所用设备仪器</w:t>
      </w:r>
      <w:bookmarkEnd w:id="629"/>
    </w:p>
    <w:tbl>
      <w:tblPr>
        <w:tblStyle w:val="34"/>
        <w:tblW w:w="830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09"/>
        <w:gridCol w:w="2109"/>
        <w:gridCol w:w="2042"/>
        <w:gridCol w:w="20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09" w:type="dxa"/>
            <w:vAlign w:val="center"/>
          </w:tcPr>
          <w:p>
            <w:pPr>
              <w:pStyle w:val="53"/>
              <w:widowControl w:val="0"/>
              <w:rPr>
                <w:kern w:val="0"/>
              </w:rPr>
            </w:pPr>
            <w:r>
              <w:rPr>
                <w:rFonts w:hint="eastAsia"/>
                <w:kern w:val="0"/>
              </w:rPr>
              <w:t>检验项目</w:t>
            </w:r>
          </w:p>
        </w:tc>
        <w:tc>
          <w:tcPr>
            <w:tcW w:w="2109" w:type="dxa"/>
            <w:vAlign w:val="center"/>
          </w:tcPr>
          <w:p>
            <w:pPr>
              <w:pStyle w:val="53"/>
              <w:widowControl w:val="0"/>
              <w:rPr>
                <w:kern w:val="0"/>
              </w:rPr>
            </w:pPr>
            <w:r>
              <w:rPr>
                <w:rFonts w:hint="eastAsia"/>
                <w:kern w:val="0"/>
              </w:rPr>
              <w:t>设备</w:t>
            </w:r>
          </w:p>
        </w:tc>
        <w:tc>
          <w:tcPr>
            <w:tcW w:w="2042" w:type="dxa"/>
            <w:vAlign w:val="center"/>
          </w:tcPr>
          <w:p>
            <w:pPr>
              <w:pStyle w:val="53"/>
              <w:widowControl w:val="0"/>
              <w:rPr>
                <w:kern w:val="0"/>
              </w:rPr>
            </w:pPr>
            <w:r>
              <w:rPr>
                <w:rFonts w:hint="eastAsia"/>
                <w:kern w:val="0"/>
              </w:rPr>
              <w:t>检验项目</w:t>
            </w:r>
          </w:p>
        </w:tc>
        <w:tc>
          <w:tcPr>
            <w:tcW w:w="2042" w:type="dxa"/>
            <w:vAlign w:val="center"/>
          </w:tcPr>
          <w:p>
            <w:pPr>
              <w:pStyle w:val="53"/>
              <w:widowControl w:val="0"/>
              <w:rPr>
                <w:kern w:val="0"/>
              </w:rPr>
            </w:pPr>
            <w:r>
              <w:rPr>
                <w:rFonts w:hint="eastAsia"/>
                <w:kern w:val="0"/>
              </w:rPr>
              <w:t>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09" w:type="dxa"/>
            <w:vMerge w:val="restart"/>
            <w:vAlign w:val="center"/>
          </w:tcPr>
          <w:p>
            <w:pPr>
              <w:pStyle w:val="53"/>
              <w:widowControl w:val="0"/>
              <w:rPr>
                <w:kern w:val="0"/>
              </w:rPr>
            </w:pPr>
            <w:r>
              <w:rPr>
                <w:rFonts w:hint="eastAsia"/>
                <w:kern w:val="0"/>
              </w:rPr>
              <w:t>氮</w:t>
            </w:r>
          </w:p>
        </w:tc>
        <w:tc>
          <w:tcPr>
            <w:tcW w:w="2109" w:type="dxa"/>
            <w:vAlign w:val="center"/>
          </w:tcPr>
          <w:p>
            <w:pPr>
              <w:pStyle w:val="53"/>
              <w:widowControl w:val="0"/>
              <w:rPr>
                <w:kern w:val="0"/>
              </w:rPr>
            </w:pPr>
            <w:r>
              <w:rPr>
                <w:rFonts w:hint="eastAsia"/>
                <w:kern w:val="0"/>
              </w:rPr>
              <w:t>消化仪器</w:t>
            </w:r>
          </w:p>
        </w:tc>
        <w:tc>
          <w:tcPr>
            <w:tcW w:w="2042" w:type="dxa"/>
            <w:vMerge w:val="restart"/>
            <w:vAlign w:val="center"/>
          </w:tcPr>
          <w:p>
            <w:pPr>
              <w:pStyle w:val="53"/>
              <w:widowControl w:val="0"/>
              <w:rPr>
                <w:kern w:val="0"/>
              </w:rPr>
            </w:pPr>
            <w:r>
              <w:rPr>
                <w:rFonts w:hint="eastAsia"/>
                <w:kern w:val="0"/>
              </w:rPr>
              <w:t>钾</w:t>
            </w:r>
          </w:p>
        </w:tc>
        <w:tc>
          <w:tcPr>
            <w:tcW w:w="2042" w:type="dxa"/>
            <w:vAlign w:val="center"/>
          </w:tcPr>
          <w:p>
            <w:pPr>
              <w:pStyle w:val="53"/>
              <w:widowControl w:val="0"/>
              <w:rPr>
                <w:kern w:val="0"/>
              </w:rPr>
            </w:pPr>
            <w:r>
              <w:rPr>
                <w:rFonts w:hint="eastAsia"/>
                <w:kern w:val="0"/>
              </w:rPr>
              <w:t>电热恒温干燥箱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09" w:type="dxa"/>
            <w:vMerge w:val="continue"/>
            <w:vAlign w:val="center"/>
          </w:tcPr>
          <w:p>
            <w:pPr>
              <w:pStyle w:val="53"/>
              <w:widowControl w:val="0"/>
              <w:rPr>
                <w:kern w:val="0"/>
              </w:rPr>
            </w:pPr>
          </w:p>
        </w:tc>
        <w:tc>
          <w:tcPr>
            <w:tcW w:w="2109" w:type="dxa"/>
            <w:vAlign w:val="center"/>
          </w:tcPr>
          <w:p>
            <w:pPr>
              <w:pStyle w:val="53"/>
              <w:widowControl w:val="0"/>
              <w:rPr>
                <w:kern w:val="0"/>
              </w:rPr>
            </w:pPr>
            <w:r>
              <w:rPr>
                <w:rFonts w:hint="eastAsia"/>
                <w:kern w:val="0"/>
              </w:rPr>
              <w:t>蒸馏仪器</w:t>
            </w:r>
          </w:p>
        </w:tc>
        <w:tc>
          <w:tcPr>
            <w:tcW w:w="2042" w:type="dxa"/>
            <w:vMerge w:val="continue"/>
            <w:vAlign w:val="center"/>
          </w:tcPr>
          <w:p>
            <w:pPr>
              <w:pStyle w:val="53"/>
              <w:widowControl w:val="0"/>
              <w:rPr>
                <w:kern w:val="0"/>
              </w:rPr>
            </w:pPr>
          </w:p>
        </w:tc>
        <w:tc>
          <w:tcPr>
            <w:tcW w:w="2042" w:type="dxa"/>
            <w:vAlign w:val="center"/>
          </w:tcPr>
          <w:p>
            <w:pPr>
              <w:pStyle w:val="53"/>
              <w:widowControl w:val="0"/>
              <w:rPr>
                <w:kern w:val="0"/>
              </w:rPr>
            </w:pPr>
            <w:r>
              <w:rPr>
                <w:rFonts w:hint="eastAsia"/>
                <w:kern w:val="0"/>
              </w:rPr>
              <w:t>玻璃坩埚式滤器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09" w:type="dxa"/>
            <w:vMerge w:val="continue"/>
            <w:vAlign w:val="center"/>
          </w:tcPr>
          <w:p>
            <w:pPr>
              <w:pStyle w:val="53"/>
              <w:widowControl w:val="0"/>
              <w:rPr>
                <w:kern w:val="0"/>
              </w:rPr>
            </w:pPr>
          </w:p>
        </w:tc>
        <w:tc>
          <w:tcPr>
            <w:tcW w:w="2109" w:type="dxa"/>
            <w:vAlign w:val="center"/>
          </w:tcPr>
          <w:p>
            <w:pPr>
              <w:pStyle w:val="53"/>
              <w:widowControl w:val="0"/>
              <w:rPr>
                <w:kern w:val="0"/>
              </w:rPr>
            </w:pPr>
            <w:r>
              <w:rPr>
                <w:rFonts w:hint="eastAsia"/>
                <w:kern w:val="0"/>
              </w:rPr>
              <w:t>消化加热装置</w:t>
            </w:r>
          </w:p>
        </w:tc>
        <w:tc>
          <w:tcPr>
            <w:tcW w:w="2042" w:type="dxa"/>
            <w:vMerge w:val="continue"/>
            <w:vAlign w:val="center"/>
          </w:tcPr>
          <w:p>
            <w:pPr>
              <w:pStyle w:val="53"/>
              <w:widowControl w:val="0"/>
              <w:rPr>
                <w:kern w:val="0"/>
              </w:rPr>
            </w:pPr>
          </w:p>
        </w:tc>
        <w:tc>
          <w:tcPr>
            <w:tcW w:w="2042" w:type="dxa"/>
            <w:vAlign w:val="center"/>
          </w:tcPr>
          <w:p>
            <w:pPr>
              <w:pStyle w:val="53"/>
              <w:widowControl w:val="0"/>
              <w:rPr>
                <w:kern w:val="0"/>
              </w:rPr>
            </w:pPr>
            <w:r>
              <w:rPr>
                <w:rFonts w:hint="eastAsia"/>
                <w:kern w:val="0"/>
              </w:rPr>
              <w:t>分析天平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09" w:type="dxa"/>
            <w:vMerge w:val="continue"/>
            <w:vAlign w:val="center"/>
          </w:tcPr>
          <w:p>
            <w:pPr>
              <w:pStyle w:val="53"/>
              <w:widowControl w:val="0"/>
              <w:rPr>
                <w:kern w:val="0"/>
              </w:rPr>
            </w:pPr>
          </w:p>
        </w:tc>
        <w:tc>
          <w:tcPr>
            <w:tcW w:w="2109" w:type="dxa"/>
            <w:vAlign w:val="center"/>
          </w:tcPr>
          <w:p>
            <w:pPr>
              <w:pStyle w:val="53"/>
              <w:widowControl w:val="0"/>
              <w:rPr>
                <w:kern w:val="0"/>
              </w:rPr>
            </w:pPr>
            <w:r>
              <w:rPr>
                <w:rFonts w:hint="eastAsia"/>
                <w:kern w:val="0"/>
              </w:rPr>
              <w:t>分析天平</w:t>
            </w:r>
          </w:p>
        </w:tc>
        <w:tc>
          <w:tcPr>
            <w:tcW w:w="2042" w:type="dxa"/>
            <w:vMerge w:val="continue"/>
            <w:vAlign w:val="center"/>
          </w:tcPr>
          <w:p>
            <w:pPr>
              <w:pStyle w:val="53"/>
              <w:widowControl w:val="0"/>
              <w:rPr>
                <w:kern w:val="0"/>
              </w:rPr>
            </w:pPr>
          </w:p>
        </w:tc>
        <w:tc>
          <w:tcPr>
            <w:tcW w:w="2042" w:type="dxa"/>
            <w:vAlign w:val="center"/>
          </w:tcPr>
          <w:p>
            <w:pPr>
              <w:pStyle w:val="53"/>
              <w:widowControl w:val="0"/>
              <w:rPr>
                <w:kern w:val="0"/>
              </w:rPr>
            </w:pPr>
            <w:r>
              <w:rPr>
                <w:rFonts w:hint="eastAsia"/>
                <w:kern w:val="0"/>
              </w:rPr>
              <w:t>容量瓶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09" w:type="dxa"/>
            <w:vMerge w:val="continue"/>
            <w:vAlign w:val="center"/>
          </w:tcPr>
          <w:p>
            <w:pPr>
              <w:pStyle w:val="53"/>
              <w:widowControl w:val="0"/>
              <w:rPr>
                <w:kern w:val="0"/>
              </w:rPr>
            </w:pPr>
          </w:p>
        </w:tc>
        <w:tc>
          <w:tcPr>
            <w:tcW w:w="2109" w:type="dxa"/>
            <w:vAlign w:val="center"/>
          </w:tcPr>
          <w:p>
            <w:pPr>
              <w:pStyle w:val="53"/>
              <w:widowControl w:val="0"/>
              <w:rPr>
                <w:kern w:val="0"/>
              </w:rPr>
            </w:pPr>
            <w:r>
              <w:rPr>
                <w:rFonts w:hint="eastAsia"/>
                <w:kern w:val="0"/>
              </w:rPr>
              <w:t>蒸馏加热装置</w:t>
            </w:r>
          </w:p>
        </w:tc>
        <w:tc>
          <w:tcPr>
            <w:tcW w:w="2042" w:type="dxa"/>
            <w:vMerge w:val="continue"/>
            <w:vAlign w:val="center"/>
          </w:tcPr>
          <w:p>
            <w:pPr>
              <w:pStyle w:val="53"/>
              <w:widowControl w:val="0"/>
              <w:rPr>
                <w:kern w:val="0"/>
              </w:rPr>
            </w:pPr>
          </w:p>
        </w:tc>
        <w:tc>
          <w:tcPr>
            <w:tcW w:w="2042" w:type="dxa"/>
            <w:vAlign w:val="center"/>
          </w:tcPr>
          <w:p>
            <w:pPr>
              <w:pStyle w:val="53"/>
              <w:widowControl w:val="0"/>
              <w:rPr>
                <w:kern w:val="0"/>
              </w:rPr>
            </w:pPr>
            <w:r>
              <w:rPr>
                <w:rFonts w:hint="eastAsia"/>
                <w:kern w:val="0"/>
              </w:rPr>
              <w:t>移液管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09" w:type="dxa"/>
            <w:vMerge w:val="continue"/>
            <w:vAlign w:val="center"/>
          </w:tcPr>
          <w:p>
            <w:pPr>
              <w:pStyle w:val="53"/>
              <w:widowControl w:val="0"/>
              <w:rPr>
                <w:kern w:val="0"/>
              </w:rPr>
            </w:pPr>
          </w:p>
        </w:tc>
        <w:tc>
          <w:tcPr>
            <w:tcW w:w="2109" w:type="dxa"/>
            <w:vAlign w:val="center"/>
          </w:tcPr>
          <w:p>
            <w:pPr>
              <w:pStyle w:val="53"/>
              <w:widowControl w:val="0"/>
              <w:rPr>
                <w:kern w:val="0"/>
              </w:rPr>
            </w:pPr>
            <w:r>
              <w:rPr>
                <w:rFonts w:hint="eastAsia"/>
                <w:kern w:val="0"/>
              </w:rPr>
              <w:t>滴定管</w:t>
            </w:r>
          </w:p>
        </w:tc>
        <w:tc>
          <w:tcPr>
            <w:tcW w:w="2042" w:type="dxa"/>
            <w:vMerge w:val="continue"/>
            <w:vAlign w:val="center"/>
          </w:tcPr>
          <w:p>
            <w:pPr>
              <w:pStyle w:val="53"/>
              <w:widowControl w:val="0"/>
              <w:rPr>
                <w:kern w:val="0"/>
              </w:rPr>
            </w:pPr>
          </w:p>
        </w:tc>
        <w:tc>
          <w:tcPr>
            <w:tcW w:w="2042" w:type="dxa"/>
            <w:vAlign w:val="center"/>
          </w:tcPr>
          <w:p>
            <w:pPr>
              <w:pStyle w:val="53"/>
              <w:widowControl w:val="0"/>
              <w:rPr>
                <w:kern w:val="0"/>
              </w:rPr>
            </w:pPr>
            <w:r>
              <w:rPr>
                <w:rFonts w:hint="eastAsia"/>
                <w:kern w:val="0"/>
              </w:rPr>
              <w:t>消化仪器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09" w:type="dxa"/>
            <w:vMerge w:val="continue"/>
            <w:vAlign w:val="center"/>
          </w:tcPr>
          <w:p>
            <w:pPr>
              <w:pStyle w:val="53"/>
              <w:widowControl w:val="0"/>
              <w:rPr>
                <w:kern w:val="0"/>
              </w:rPr>
            </w:pPr>
          </w:p>
        </w:tc>
        <w:tc>
          <w:tcPr>
            <w:tcW w:w="2109" w:type="dxa"/>
            <w:vAlign w:val="center"/>
          </w:tcPr>
          <w:p>
            <w:pPr>
              <w:pStyle w:val="53"/>
              <w:widowControl w:val="0"/>
              <w:rPr>
                <w:kern w:val="0"/>
              </w:rPr>
            </w:pPr>
          </w:p>
        </w:tc>
        <w:tc>
          <w:tcPr>
            <w:tcW w:w="2042" w:type="dxa"/>
            <w:vMerge w:val="continue"/>
            <w:vAlign w:val="center"/>
          </w:tcPr>
          <w:p>
            <w:pPr>
              <w:pStyle w:val="53"/>
              <w:widowControl w:val="0"/>
              <w:rPr>
                <w:kern w:val="0"/>
              </w:rPr>
            </w:pPr>
          </w:p>
        </w:tc>
        <w:tc>
          <w:tcPr>
            <w:tcW w:w="2042" w:type="dxa"/>
            <w:vAlign w:val="center"/>
          </w:tcPr>
          <w:p>
            <w:pPr>
              <w:pStyle w:val="53"/>
              <w:widowControl w:val="0"/>
              <w:rPr>
                <w:kern w:val="0"/>
              </w:rPr>
            </w:pPr>
            <w:r>
              <w:rPr>
                <w:rFonts w:hint="eastAsia"/>
                <w:kern w:val="0"/>
              </w:rPr>
              <w:t>消化加热装置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09" w:type="dxa"/>
            <w:vMerge w:val="restart"/>
            <w:vAlign w:val="center"/>
          </w:tcPr>
          <w:p>
            <w:pPr>
              <w:pStyle w:val="53"/>
              <w:widowControl w:val="0"/>
              <w:rPr>
                <w:kern w:val="0"/>
              </w:rPr>
            </w:pPr>
            <w:r>
              <w:rPr>
                <w:rFonts w:hint="eastAsia"/>
                <w:kern w:val="0"/>
              </w:rPr>
              <w:t>磷</w:t>
            </w:r>
          </w:p>
        </w:tc>
        <w:tc>
          <w:tcPr>
            <w:tcW w:w="2109" w:type="dxa"/>
            <w:vAlign w:val="center"/>
          </w:tcPr>
          <w:p>
            <w:pPr>
              <w:pStyle w:val="53"/>
              <w:widowControl w:val="0"/>
              <w:rPr>
                <w:kern w:val="0"/>
              </w:rPr>
            </w:pPr>
            <w:r>
              <w:rPr>
                <w:rFonts w:hint="eastAsia"/>
                <w:kern w:val="0"/>
              </w:rPr>
              <w:t>电热恒温干燥箱</w:t>
            </w:r>
          </w:p>
        </w:tc>
        <w:tc>
          <w:tcPr>
            <w:tcW w:w="2042" w:type="dxa"/>
            <w:vMerge w:val="restart"/>
            <w:vAlign w:val="center"/>
          </w:tcPr>
          <w:p>
            <w:pPr>
              <w:pStyle w:val="53"/>
              <w:widowControl w:val="0"/>
              <w:rPr>
                <w:kern w:val="0"/>
              </w:rPr>
            </w:pPr>
            <w:r>
              <w:rPr>
                <w:rFonts w:hint="eastAsia"/>
                <w:kern w:val="0"/>
              </w:rPr>
              <w:t>有机质</w:t>
            </w:r>
          </w:p>
        </w:tc>
        <w:tc>
          <w:tcPr>
            <w:tcW w:w="2042" w:type="dxa"/>
            <w:vAlign w:val="center"/>
          </w:tcPr>
          <w:p>
            <w:pPr>
              <w:pStyle w:val="53"/>
              <w:widowControl w:val="0"/>
              <w:rPr>
                <w:kern w:val="0"/>
              </w:rPr>
            </w:pPr>
            <w:r>
              <w:rPr>
                <w:rFonts w:hint="eastAsia"/>
                <w:kern w:val="0"/>
              </w:rPr>
              <w:t>水浴锅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09" w:type="dxa"/>
            <w:vMerge w:val="continue"/>
            <w:vAlign w:val="center"/>
          </w:tcPr>
          <w:p>
            <w:pPr>
              <w:pStyle w:val="53"/>
              <w:widowControl w:val="0"/>
              <w:rPr>
                <w:kern w:val="0"/>
              </w:rPr>
            </w:pPr>
          </w:p>
        </w:tc>
        <w:tc>
          <w:tcPr>
            <w:tcW w:w="2109" w:type="dxa"/>
            <w:vAlign w:val="center"/>
          </w:tcPr>
          <w:p>
            <w:pPr>
              <w:pStyle w:val="53"/>
              <w:widowControl w:val="0"/>
              <w:rPr>
                <w:kern w:val="0"/>
              </w:rPr>
            </w:pPr>
            <w:r>
              <w:rPr>
                <w:rFonts w:hint="eastAsia"/>
                <w:kern w:val="0"/>
              </w:rPr>
              <w:t>玻璃坩埚式滤器</w:t>
            </w:r>
          </w:p>
        </w:tc>
        <w:tc>
          <w:tcPr>
            <w:tcW w:w="2042" w:type="dxa"/>
            <w:vMerge w:val="continue"/>
            <w:vAlign w:val="center"/>
          </w:tcPr>
          <w:p>
            <w:pPr>
              <w:pStyle w:val="53"/>
              <w:widowControl w:val="0"/>
              <w:rPr>
                <w:kern w:val="0"/>
              </w:rPr>
            </w:pPr>
          </w:p>
        </w:tc>
        <w:tc>
          <w:tcPr>
            <w:tcW w:w="2042" w:type="dxa"/>
            <w:vAlign w:val="center"/>
          </w:tcPr>
          <w:p>
            <w:pPr>
              <w:pStyle w:val="53"/>
              <w:widowControl w:val="0"/>
              <w:rPr>
                <w:kern w:val="0"/>
              </w:rPr>
            </w:pPr>
            <w:r>
              <w:rPr>
                <w:rFonts w:hint="eastAsia"/>
                <w:kern w:val="0"/>
              </w:rPr>
              <w:t>滴定管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09" w:type="dxa"/>
            <w:vMerge w:val="continue"/>
            <w:vAlign w:val="center"/>
          </w:tcPr>
          <w:p>
            <w:pPr>
              <w:pStyle w:val="53"/>
              <w:widowControl w:val="0"/>
              <w:rPr>
                <w:kern w:val="0"/>
              </w:rPr>
            </w:pPr>
          </w:p>
        </w:tc>
        <w:tc>
          <w:tcPr>
            <w:tcW w:w="2109" w:type="dxa"/>
            <w:vAlign w:val="center"/>
          </w:tcPr>
          <w:p>
            <w:pPr>
              <w:pStyle w:val="53"/>
              <w:widowControl w:val="0"/>
              <w:rPr>
                <w:kern w:val="0"/>
              </w:rPr>
            </w:pPr>
            <w:r>
              <w:rPr>
                <w:rFonts w:hint="eastAsia"/>
                <w:kern w:val="0"/>
              </w:rPr>
              <w:t>分析天平</w:t>
            </w:r>
          </w:p>
        </w:tc>
        <w:tc>
          <w:tcPr>
            <w:tcW w:w="2042" w:type="dxa"/>
            <w:vMerge w:val="continue"/>
            <w:vAlign w:val="center"/>
          </w:tcPr>
          <w:p>
            <w:pPr>
              <w:pStyle w:val="53"/>
              <w:widowControl w:val="0"/>
              <w:rPr>
                <w:kern w:val="0"/>
              </w:rPr>
            </w:pPr>
          </w:p>
        </w:tc>
        <w:tc>
          <w:tcPr>
            <w:tcW w:w="2042" w:type="dxa"/>
            <w:vAlign w:val="center"/>
          </w:tcPr>
          <w:p>
            <w:pPr>
              <w:pStyle w:val="53"/>
              <w:widowControl w:val="0"/>
              <w:rPr>
                <w:kern w:val="0"/>
              </w:rPr>
            </w:pPr>
            <w:r>
              <w:rPr>
                <w:rFonts w:hint="eastAsia"/>
                <w:kern w:val="0"/>
              </w:rPr>
              <w:t>分析天平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09" w:type="dxa"/>
            <w:vMerge w:val="continue"/>
            <w:vAlign w:val="center"/>
          </w:tcPr>
          <w:p>
            <w:pPr>
              <w:pStyle w:val="53"/>
              <w:widowControl w:val="0"/>
              <w:rPr>
                <w:kern w:val="0"/>
              </w:rPr>
            </w:pPr>
          </w:p>
        </w:tc>
        <w:tc>
          <w:tcPr>
            <w:tcW w:w="2109" w:type="dxa"/>
            <w:vAlign w:val="center"/>
          </w:tcPr>
          <w:p>
            <w:pPr>
              <w:pStyle w:val="53"/>
              <w:widowControl w:val="0"/>
              <w:rPr>
                <w:kern w:val="0"/>
              </w:rPr>
            </w:pPr>
            <w:r>
              <w:rPr>
                <w:rFonts w:hint="eastAsia"/>
                <w:kern w:val="0"/>
              </w:rPr>
              <w:t>容量瓶</w:t>
            </w:r>
          </w:p>
        </w:tc>
        <w:tc>
          <w:tcPr>
            <w:tcW w:w="2042" w:type="dxa"/>
            <w:vMerge w:val="continue"/>
            <w:vAlign w:val="center"/>
          </w:tcPr>
          <w:p>
            <w:pPr>
              <w:pStyle w:val="53"/>
              <w:widowControl w:val="0"/>
              <w:rPr>
                <w:kern w:val="0"/>
              </w:rPr>
            </w:pPr>
          </w:p>
        </w:tc>
        <w:tc>
          <w:tcPr>
            <w:tcW w:w="2042" w:type="dxa"/>
            <w:vAlign w:val="center"/>
          </w:tcPr>
          <w:p>
            <w:pPr>
              <w:pStyle w:val="53"/>
              <w:widowControl w:val="0"/>
              <w:rPr>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09" w:type="dxa"/>
            <w:vMerge w:val="continue"/>
            <w:vAlign w:val="center"/>
          </w:tcPr>
          <w:p>
            <w:pPr>
              <w:pStyle w:val="53"/>
              <w:widowControl w:val="0"/>
              <w:rPr>
                <w:kern w:val="0"/>
              </w:rPr>
            </w:pPr>
          </w:p>
        </w:tc>
        <w:tc>
          <w:tcPr>
            <w:tcW w:w="2109" w:type="dxa"/>
            <w:vAlign w:val="center"/>
          </w:tcPr>
          <w:p>
            <w:pPr>
              <w:pStyle w:val="53"/>
              <w:widowControl w:val="0"/>
              <w:rPr>
                <w:kern w:val="0"/>
              </w:rPr>
            </w:pPr>
            <w:r>
              <w:rPr>
                <w:rFonts w:hint="eastAsia"/>
                <w:kern w:val="0"/>
              </w:rPr>
              <w:t>移液管</w:t>
            </w:r>
          </w:p>
        </w:tc>
        <w:tc>
          <w:tcPr>
            <w:tcW w:w="2042" w:type="dxa"/>
            <w:vMerge w:val="continue"/>
            <w:vAlign w:val="center"/>
          </w:tcPr>
          <w:p>
            <w:pPr>
              <w:pStyle w:val="53"/>
              <w:widowControl w:val="0"/>
              <w:rPr>
                <w:kern w:val="0"/>
              </w:rPr>
            </w:pPr>
          </w:p>
        </w:tc>
        <w:tc>
          <w:tcPr>
            <w:tcW w:w="2042" w:type="dxa"/>
            <w:vAlign w:val="center"/>
          </w:tcPr>
          <w:p>
            <w:pPr>
              <w:pStyle w:val="53"/>
              <w:widowControl w:val="0"/>
              <w:rPr>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09" w:type="dxa"/>
            <w:vMerge w:val="continue"/>
            <w:vAlign w:val="center"/>
          </w:tcPr>
          <w:p>
            <w:pPr>
              <w:pStyle w:val="53"/>
              <w:widowControl w:val="0"/>
              <w:rPr>
                <w:kern w:val="0"/>
              </w:rPr>
            </w:pPr>
          </w:p>
        </w:tc>
        <w:tc>
          <w:tcPr>
            <w:tcW w:w="2109" w:type="dxa"/>
            <w:vAlign w:val="center"/>
          </w:tcPr>
          <w:p>
            <w:pPr>
              <w:pStyle w:val="53"/>
              <w:widowControl w:val="0"/>
              <w:rPr>
                <w:kern w:val="0"/>
              </w:rPr>
            </w:pPr>
            <w:r>
              <w:rPr>
                <w:rFonts w:hint="eastAsia"/>
                <w:kern w:val="0"/>
              </w:rPr>
              <w:t>消化仪器</w:t>
            </w:r>
          </w:p>
        </w:tc>
        <w:tc>
          <w:tcPr>
            <w:tcW w:w="2042" w:type="dxa"/>
            <w:vMerge w:val="continue"/>
            <w:vAlign w:val="center"/>
          </w:tcPr>
          <w:p>
            <w:pPr>
              <w:pStyle w:val="53"/>
              <w:widowControl w:val="0"/>
              <w:rPr>
                <w:kern w:val="0"/>
              </w:rPr>
            </w:pPr>
          </w:p>
        </w:tc>
        <w:tc>
          <w:tcPr>
            <w:tcW w:w="2042" w:type="dxa"/>
            <w:vAlign w:val="center"/>
          </w:tcPr>
          <w:p>
            <w:pPr>
              <w:pStyle w:val="53"/>
              <w:widowControl w:val="0"/>
              <w:rPr>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09" w:type="dxa"/>
            <w:vMerge w:val="continue"/>
            <w:vAlign w:val="center"/>
          </w:tcPr>
          <w:p>
            <w:pPr>
              <w:pStyle w:val="53"/>
              <w:widowControl w:val="0"/>
              <w:rPr>
                <w:kern w:val="0"/>
              </w:rPr>
            </w:pPr>
          </w:p>
        </w:tc>
        <w:tc>
          <w:tcPr>
            <w:tcW w:w="2109" w:type="dxa"/>
            <w:vAlign w:val="center"/>
          </w:tcPr>
          <w:p>
            <w:pPr>
              <w:pStyle w:val="53"/>
              <w:widowControl w:val="0"/>
              <w:rPr>
                <w:kern w:val="0"/>
              </w:rPr>
            </w:pPr>
            <w:r>
              <w:rPr>
                <w:rFonts w:hint="eastAsia"/>
                <w:kern w:val="0"/>
              </w:rPr>
              <w:t>消化加热装置</w:t>
            </w:r>
          </w:p>
        </w:tc>
        <w:tc>
          <w:tcPr>
            <w:tcW w:w="2042" w:type="dxa"/>
            <w:vMerge w:val="continue"/>
            <w:vAlign w:val="center"/>
          </w:tcPr>
          <w:p>
            <w:pPr>
              <w:pStyle w:val="53"/>
              <w:widowControl w:val="0"/>
              <w:rPr>
                <w:kern w:val="0"/>
              </w:rPr>
            </w:pPr>
          </w:p>
        </w:tc>
        <w:tc>
          <w:tcPr>
            <w:tcW w:w="2042" w:type="dxa"/>
            <w:vAlign w:val="center"/>
          </w:tcPr>
          <w:p>
            <w:pPr>
              <w:pStyle w:val="53"/>
              <w:widowControl w:val="0"/>
              <w:rPr>
                <w:kern w:val="0"/>
              </w:rPr>
            </w:pPr>
          </w:p>
        </w:tc>
      </w:tr>
    </w:tbl>
    <w:p>
      <w:pPr>
        <w:widowControl/>
        <w:spacing w:before="0" w:after="0" w:line="240" w:lineRule="auto"/>
        <w:ind w:firstLine="0" w:firstLineChars="0"/>
        <w:jc w:val="left"/>
        <w:rPr>
          <w:b/>
          <w:bCs/>
        </w:rPr>
      </w:pPr>
      <w:r>
        <w:rPr>
          <w:b/>
          <w:bCs/>
        </w:rPr>
        <w:br w:type="page"/>
      </w:r>
    </w:p>
    <w:p>
      <w:pPr>
        <w:pStyle w:val="5"/>
        <w:bidi w:val="0"/>
      </w:pPr>
      <w:bookmarkStart w:id="630" w:name="_Toc26026"/>
      <w:bookmarkStart w:id="631" w:name="_Toc107845208"/>
      <w:bookmarkStart w:id="632" w:name="_Toc116121541"/>
      <w:bookmarkStart w:id="633" w:name="_Toc118293302"/>
      <w:r>
        <w:rPr>
          <w:rFonts w:hint="eastAsia"/>
          <w:lang w:val="en-US" w:eastAsia="zh-CN"/>
        </w:rPr>
        <w:t>八、</w:t>
      </w:r>
      <w:r>
        <w:rPr>
          <w:rFonts w:hint="eastAsia"/>
        </w:rPr>
        <w:t>肥料常见质量问题及提高化肥检验方法</w:t>
      </w:r>
      <w:bookmarkEnd w:id="630"/>
      <w:bookmarkEnd w:id="631"/>
      <w:bookmarkEnd w:id="632"/>
      <w:bookmarkEnd w:id="633"/>
    </w:p>
    <w:p>
      <w:pPr>
        <w:ind w:firstLine="480"/>
        <w:rPr>
          <w:rFonts w:hint="eastAsia" w:eastAsia="宋体"/>
          <w:lang w:eastAsia="zh-CN"/>
        </w:rPr>
      </w:pPr>
      <w:r>
        <w:rPr>
          <w:rFonts w:hint="eastAsia"/>
        </w:rPr>
        <w:t>分析化肥产品常见质量不合格项目（养分含量、有机质含量、中微量元素含量、氯离子含量、</w:t>
      </w:r>
      <w:r>
        <w:t>pH值、粒度、水分）原因及其危害。从采样、称样量、检验人员综合水平及仪器准确度方面提高化肥检验准确度的方法。</w:t>
      </w:r>
    </w:p>
    <w:p>
      <w:pPr>
        <w:pStyle w:val="6"/>
        <w:bidi w:val="0"/>
        <w:rPr>
          <w:rFonts w:hint="eastAsia"/>
          <w:lang w:eastAsia="zh-CN"/>
        </w:rPr>
      </w:pPr>
      <w:bookmarkStart w:id="634" w:name="_Toc8511"/>
      <w:r>
        <w:rPr>
          <w:rFonts w:hint="eastAsia"/>
          <w:lang w:eastAsia="zh-CN"/>
        </w:rPr>
        <w:t>（</w:t>
      </w:r>
      <w:r>
        <w:rPr>
          <w:rFonts w:hint="eastAsia"/>
          <w:lang w:val="en-US" w:eastAsia="zh-CN"/>
        </w:rPr>
        <w:t>一</w:t>
      </w:r>
      <w:r>
        <w:rPr>
          <w:rFonts w:hint="eastAsia"/>
          <w:lang w:eastAsia="zh-CN"/>
        </w:rPr>
        <w:t>）</w:t>
      </w:r>
      <w:r>
        <w:rPr>
          <w:rFonts w:hint="eastAsia"/>
        </w:rPr>
        <w:t>提升化肥分析检验准确度的必要性</w:t>
      </w:r>
      <w:bookmarkEnd w:id="634"/>
    </w:p>
    <w:p>
      <w:pPr>
        <w:ind w:firstLine="480"/>
      </w:pPr>
      <w:r>
        <w:rPr>
          <w:rFonts w:hint="eastAsia"/>
        </w:rPr>
        <w:t>社会不断发展，科技水平不断提高，化肥作为提高农业生产量的重要组成部分，直接影响着我国粮食产量。从目前情况看，化肥的使用并没有给农产品质量以及产量带来明显的增多。根据相关调查，化肥质量无法达到实际需求的标准，特别是复合肥料很难满足需求。化学肥料使用主要目的是增加产量从而获得更大的效益，但是如果采用低质量化肥，反而会起到副作用影响产量。提升化肥分析检验准确度，不仅可以提升农业产量，一定程度上也保护了生态环境。对化肥成分进行分析、检验，可以进一步明确其质量，通过质量等级判定，对没有达标的质量化肥及时采取措施进行整改，严格要求其质量，从而提升化肥产品质量。准确度是检验化肥的重要标准，所以提高化肥质量的关键部分就是提升其准确度。从企业角度而言，在化肥产品质量得到提升的同时也促使企业产品质量得到保证，很好的推动企业品牌效益，使得企业获得更多的经济效益。</w:t>
      </w:r>
    </w:p>
    <w:p>
      <w:pPr>
        <w:pStyle w:val="6"/>
        <w:bidi w:val="0"/>
        <w:rPr>
          <w:rFonts w:hint="eastAsia"/>
          <w:lang w:eastAsia="zh-CN"/>
        </w:rPr>
      </w:pPr>
      <w:bookmarkStart w:id="635" w:name="_Toc16737"/>
      <w:r>
        <w:rPr>
          <w:rFonts w:hint="eastAsia"/>
          <w:lang w:eastAsia="zh-CN"/>
        </w:rPr>
        <w:t>（</w:t>
      </w:r>
      <w:r>
        <w:rPr>
          <w:rFonts w:hint="eastAsia"/>
          <w:lang w:val="en-US" w:eastAsia="zh-CN"/>
        </w:rPr>
        <w:t>二</w:t>
      </w:r>
      <w:r>
        <w:rPr>
          <w:rFonts w:hint="eastAsia"/>
          <w:lang w:eastAsia="zh-CN"/>
        </w:rPr>
        <w:t>）</w:t>
      </w:r>
      <w:r>
        <w:rPr>
          <w:rFonts w:hint="eastAsia"/>
        </w:rPr>
        <w:t>化肥产品常见质量不合格项目分析</w:t>
      </w:r>
      <w:bookmarkEnd w:id="635"/>
    </w:p>
    <w:p>
      <w:pPr>
        <w:ind w:firstLine="480"/>
        <w:rPr>
          <w:rFonts w:hint="eastAsia" w:eastAsia="宋体"/>
          <w:lang w:eastAsia="zh-CN"/>
        </w:rPr>
      </w:pPr>
      <w:r>
        <w:rPr>
          <w:rFonts w:hint="eastAsia"/>
          <w:lang w:eastAsia="zh-CN"/>
        </w:rPr>
        <w:t>（</w:t>
      </w:r>
      <w:r>
        <w:rPr>
          <w:rFonts w:hint="eastAsia"/>
          <w:lang w:val="en-US" w:eastAsia="zh-CN"/>
        </w:rPr>
        <w:t>一</w:t>
      </w:r>
      <w:r>
        <w:rPr>
          <w:rFonts w:hint="eastAsia"/>
          <w:lang w:eastAsia="zh-CN"/>
        </w:rPr>
        <w:t>）</w:t>
      </w:r>
      <w:r>
        <w:t>总养分含量不合格原因及危害。肥料中总氮、有效五氧化二磷和氧化钾含量之和称为总养分含量。总养分含量与肥料产品的生产成本相关，有些企业在肥料生产过程中故意减少养分含量来获取最大利益。施用总养分含量不合格的肥料，将影响作物的生长发育、产量和品质，达不到预期的增产效果，造成农民年收入减少，作物品质降低。</w:t>
      </w:r>
    </w:p>
    <w:p>
      <w:pPr>
        <w:ind w:firstLine="480"/>
        <w:rPr>
          <w:rFonts w:hint="eastAsia" w:eastAsia="宋体"/>
          <w:lang w:eastAsia="zh-CN"/>
        </w:rPr>
      </w:pPr>
      <w:r>
        <w:rPr>
          <w:rFonts w:hint="eastAsia"/>
          <w:lang w:eastAsia="zh-CN"/>
        </w:rPr>
        <w:t>（</w:t>
      </w:r>
      <w:r>
        <w:rPr>
          <w:rFonts w:hint="eastAsia"/>
          <w:lang w:val="en-US" w:eastAsia="zh-CN"/>
        </w:rPr>
        <w:t>二</w:t>
      </w:r>
      <w:r>
        <w:rPr>
          <w:rFonts w:hint="eastAsia"/>
          <w:lang w:eastAsia="zh-CN"/>
        </w:rPr>
        <w:t>）</w:t>
      </w:r>
      <w:r>
        <w:t>单养分含量不合格原因及危害。肥料中总氮、有效五氧化二磷和氧化钾对植物的生长有不同的作用。总氮是无机氮和有机氮的总和，包括有铵态氮、硝态氮、酰胺态氮、有机质氮几种存在方式。氮元素是蛋白质、核酸、叶绿素、酶的组成成分之一，是植物生长需要最多的营养元素，它主要以铵态氮和硝态氮两种无机氮形式被植物吸收。肥料中总氮不合格会导致植株矮小、根细、枝少等现象。磷是植物发芽过程必需</w:t>
      </w:r>
      <w:r>
        <w:rPr>
          <w:rFonts w:hint="eastAsia"/>
        </w:rPr>
        <w:t>的营养元素，它可增强植物的抗逆性，促进根茎的生长，提高果实的口感等。肥料中的钾元素能促使作物生长健壮，茎秆粗硬，增强对病虫害和倒伏的抵抗能力，促进糖分和淀粉的生成，氧化钾在植物生长过程中最重要的功能是促进酶的活化作用，促进光合作用和光合产物的运输。针对不同土壤环境和农作物品种设计合理的单养分配比，不但可以更好地发挥每个养分的作用，满足作物生长的不同需求，还能够防止过量施用肥料导致养分流失到环境中，给环境造成破坏。因此，单养分含量也是肥料产品的重要技术指标。导致单养分含量不合格的原因主要有：（</w:t>
      </w:r>
      <w:r>
        <w:t>1）企业使用养分</w:t>
      </w:r>
      <w:r>
        <w:rPr>
          <w:rFonts w:hint="eastAsia"/>
        </w:rPr>
        <w:t>含量达不到标准要求的原料；（</w:t>
      </w:r>
      <w:r>
        <w:t>2）生产工艺落后，在肥料生产过程中部分养分损失，包装袋标注的三元肥变成了二元肥；（3）由于氮、磷、钾3种单养分的价格差异，有些企业为了降低成本，故意加大单价低的养分量，减少单价高的养分量，虽然产品中总养分含量合格，但是单养分含量依然不合格。</w:t>
      </w:r>
    </w:p>
    <w:p>
      <w:pPr>
        <w:ind w:firstLine="480"/>
      </w:pPr>
      <w:r>
        <w:rPr>
          <w:rFonts w:hint="eastAsia"/>
          <w:lang w:eastAsia="zh-CN"/>
        </w:rPr>
        <w:t>（</w:t>
      </w:r>
      <w:r>
        <w:rPr>
          <w:rFonts w:hint="eastAsia"/>
          <w:lang w:val="en-US" w:eastAsia="zh-CN"/>
        </w:rPr>
        <w:t>三</w:t>
      </w:r>
      <w:r>
        <w:rPr>
          <w:rFonts w:hint="eastAsia"/>
          <w:lang w:eastAsia="zh-CN"/>
        </w:rPr>
        <w:t>）</w:t>
      </w:r>
      <w:r>
        <w:t>有机质含量不合格原因。有机质是土壤养分的主要来源，能提高土壤的通透性、保水性、保肥能力，改善土壤物理性质，促进土壤中有益微生物的活动。土壤微生物可以将有机质分解为无机养分供作物吸收，分解过程中产生的腐植酸有刺激作物生长发育的作用。对于有机-无机复混肥料、有机肥料、生物有机肥、复合微生物肥料来说，有机质就是产品的主要养分指标。</w:t>
      </w:r>
    </w:p>
    <w:p>
      <w:pPr>
        <w:ind w:firstLine="480"/>
        <w:rPr>
          <w:rFonts w:hint="eastAsia" w:eastAsia="宋体"/>
          <w:lang w:eastAsia="zh-CN"/>
        </w:rPr>
      </w:pPr>
      <w:r>
        <w:rPr>
          <w:rFonts w:hint="eastAsia"/>
          <w:lang w:eastAsia="zh-CN"/>
        </w:rPr>
        <w:t>（</w:t>
      </w:r>
      <w:r>
        <w:rPr>
          <w:rFonts w:hint="eastAsia"/>
          <w:lang w:val="en-US" w:eastAsia="zh-CN"/>
        </w:rPr>
        <w:t>四</w:t>
      </w:r>
      <w:r>
        <w:rPr>
          <w:rFonts w:hint="eastAsia"/>
          <w:lang w:eastAsia="zh-CN"/>
        </w:rPr>
        <w:t>）</w:t>
      </w:r>
      <w:r>
        <w:t>中微量元素含量不合格危害。中量元素含量是指水溶肥料中钙、镁元素的含量之和。中量元素含量达不到标准规定值，会降低植物抗病能力，作物易倒伏，果实发育不良，从而导致农作物减产。微量元素含量是指水溶肥料中铜、铁、锰、锌、硼、钼元素的含量之和。虽然植物对微量元素的需求量小，但缺乏微量元素，会使植物生长发育受到抑制；微量元素含量过高，植物也会中毒。</w:t>
      </w:r>
    </w:p>
    <w:p>
      <w:pPr>
        <w:ind w:firstLine="480"/>
        <w:rPr>
          <w:rFonts w:hint="eastAsia" w:eastAsia="宋体"/>
          <w:lang w:eastAsia="zh-CN"/>
        </w:rPr>
      </w:pPr>
      <w:r>
        <w:rPr>
          <w:rFonts w:hint="eastAsia"/>
          <w:lang w:eastAsia="zh-CN"/>
        </w:rPr>
        <w:t>（</w:t>
      </w:r>
      <w:r>
        <w:rPr>
          <w:rFonts w:hint="eastAsia"/>
          <w:lang w:val="en-US" w:eastAsia="zh-CN"/>
        </w:rPr>
        <w:t>五</w:t>
      </w:r>
      <w:r>
        <w:rPr>
          <w:rFonts w:hint="eastAsia"/>
          <w:lang w:eastAsia="zh-CN"/>
        </w:rPr>
        <w:t>）</w:t>
      </w:r>
      <w:r>
        <w:t>氯离子含量不合格原因及危害。氯元素是作物生长必不可少的微量元素，在一定浓度下可促进作物的生长，但是当浓度过高时会影响植物的生长。肥料氯离子含量超标有多种原因：一是使用了含氯原料（如氯化铵、氯化钾），但未在包装标识中标明；二是企业在生产过程中，对含氯原料用量控制不严，过量添加导致其成品氯离子含量超标；三是个别企业对标准掌握不足（按照氯离子含量高低，标准将含氯复混肥料</w:t>
      </w:r>
      <w:r>
        <w:rPr>
          <w:rFonts w:hint="eastAsia"/>
        </w:rPr>
        <w:t>产品分为高氯、中氯、低氯</w:t>
      </w:r>
      <w:r>
        <w:t>3种规格），对自身产品含氯情况不够了解。对忌氯作物使用了氯含量超标的肥料，易造成作物减产，甚至绝收；长期使用氯含量超标的肥料还会造成土壤酸化，容易激活土壤中的铝、锰等元素，毒害农作物，影响农产品品质。</w:t>
      </w:r>
    </w:p>
    <w:p>
      <w:pPr>
        <w:ind w:firstLine="480"/>
        <w:rPr>
          <w:rFonts w:hint="eastAsia" w:eastAsia="宋体"/>
          <w:lang w:eastAsia="zh-CN"/>
        </w:rPr>
      </w:pPr>
      <w:r>
        <w:rPr>
          <w:rFonts w:hint="eastAsia"/>
          <w:lang w:eastAsia="zh-CN"/>
        </w:rPr>
        <w:t>（</w:t>
      </w:r>
      <w:r>
        <w:rPr>
          <w:rFonts w:hint="eastAsia"/>
          <w:lang w:val="en-US" w:eastAsia="zh-CN"/>
        </w:rPr>
        <w:t>六</w:t>
      </w:r>
      <w:r>
        <w:rPr>
          <w:rFonts w:hint="eastAsia"/>
          <w:lang w:eastAsia="zh-CN"/>
        </w:rPr>
        <w:t>）</w:t>
      </w:r>
      <w:r>
        <w:t>pH值不合格原因及危害。农民在选择化肥时，可根据土壤的酸碱度选择适合的肥料，但若肥料的pH值不合格，会影响酸碱敏感作物对养分的吸收。生产企业对原料或工艺把关不严，使用了游离酸含量超标的原料，或原料配比不合理，均会导致肥料pH值不合格。过酸或过碱的肥料在使用过程中会对幼苗造成伤害。</w:t>
      </w:r>
    </w:p>
    <w:p>
      <w:pPr>
        <w:ind w:firstLine="480"/>
        <w:rPr>
          <w:rFonts w:hint="eastAsia" w:eastAsia="宋体"/>
          <w:lang w:eastAsia="zh-CN"/>
        </w:rPr>
      </w:pPr>
      <w:r>
        <w:rPr>
          <w:rFonts w:hint="eastAsia"/>
          <w:lang w:eastAsia="zh-CN"/>
        </w:rPr>
        <w:t>（</w:t>
      </w:r>
      <w:r>
        <w:rPr>
          <w:rFonts w:hint="eastAsia"/>
          <w:lang w:val="en-US" w:eastAsia="zh-CN"/>
        </w:rPr>
        <w:t>七</w:t>
      </w:r>
      <w:r>
        <w:rPr>
          <w:rFonts w:hint="eastAsia"/>
          <w:lang w:eastAsia="zh-CN"/>
        </w:rPr>
        <w:t>）</w:t>
      </w:r>
      <w:r>
        <w:t>粒度不合格原因及危害。化肥的粒度是化肥质量的重要指标。符合质量标准的产品，造粒均匀，工艺成熟，利于机械化操作，施用后，还可起到缓释作用，提高肥料的利用率。肥料粒度不合格将影响肥料的储存、使用。而个别企业对标准中粒度指标缺乏重视，生产过程控制不严，导致产品不合格。</w:t>
      </w:r>
    </w:p>
    <w:p>
      <w:pPr>
        <w:ind w:firstLine="480"/>
        <w:rPr>
          <w:rFonts w:hint="eastAsia" w:eastAsia="宋体"/>
          <w:lang w:eastAsia="zh-CN"/>
        </w:rPr>
      </w:pPr>
      <w:r>
        <w:rPr>
          <w:rFonts w:hint="eastAsia"/>
          <w:lang w:eastAsia="zh-CN"/>
        </w:rPr>
        <w:t>（</w:t>
      </w:r>
      <w:r>
        <w:rPr>
          <w:rFonts w:hint="eastAsia"/>
          <w:lang w:val="en-US" w:eastAsia="zh-CN"/>
        </w:rPr>
        <w:t>八</w:t>
      </w:r>
      <w:r>
        <w:rPr>
          <w:rFonts w:hint="eastAsia"/>
          <w:lang w:eastAsia="zh-CN"/>
        </w:rPr>
        <w:t>）</w:t>
      </w:r>
      <w:r>
        <w:t>水含量不合格原因及危害。水含量高会影响肥料的物理性能，易造成结块，导致施用不便。水含量不合格主要原因是干燥工序操作不当。例如，干燥时间短，离心机推料快慢程度不合理，储存仓库环境潮湿，通风不达标，运输保管条件不当，包装袋密封不好等方面也会导致肥料产品水含量高。</w:t>
      </w:r>
    </w:p>
    <w:p>
      <w:pPr>
        <w:pStyle w:val="6"/>
        <w:bidi w:val="0"/>
      </w:pPr>
      <w:bookmarkStart w:id="636" w:name="_Toc8008"/>
      <w:r>
        <w:rPr>
          <w:rFonts w:hint="eastAsia"/>
          <w:lang w:eastAsia="zh-CN"/>
        </w:rPr>
        <w:t>（</w:t>
      </w:r>
      <w:r>
        <w:rPr>
          <w:rFonts w:hint="eastAsia"/>
          <w:lang w:val="en-US" w:eastAsia="zh-CN"/>
        </w:rPr>
        <w:t>三</w:t>
      </w:r>
      <w:r>
        <w:rPr>
          <w:rFonts w:hint="eastAsia"/>
          <w:lang w:eastAsia="zh-CN"/>
        </w:rPr>
        <w:t>）</w:t>
      </w:r>
      <w:r>
        <w:rPr>
          <w:rFonts w:hint="eastAsia"/>
        </w:rPr>
        <w:t>提高化肥检验准确度的方法</w:t>
      </w:r>
      <w:bookmarkEnd w:id="636"/>
    </w:p>
    <w:p>
      <w:pPr>
        <w:ind w:firstLine="480"/>
        <w:rPr>
          <w:rFonts w:hint="eastAsia" w:eastAsia="宋体"/>
          <w:lang w:eastAsia="zh-CN"/>
        </w:rPr>
      </w:pPr>
      <w:r>
        <w:rPr>
          <w:rFonts w:hint="eastAsia"/>
          <w:lang w:eastAsia="zh-CN"/>
        </w:rPr>
        <w:t>（</w:t>
      </w:r>
      <w:r>
        <w:rPr>
          <w:rFonts w:hint="eastAsia"/>
          <w:lang w:val="en-US" w:eastAsia="zh-CN"/>
        </w:rPr>
        <w:t>一</w:t>
      </w:r>
      <w:r>
        <w:rPr>
          <w:rFonts w:hint="eastAsia"/>
          <w:lang w:eastAsia="zh-CN"/>
        </w:rPr>
        <w:t>）</w:t>
      </w:r>
      <w:r>
        <w:t>化肥正确采样、抽样。选用专门的采样工具，抽样基于样品的随机性和均匀性，使样品有代表性。</w:t>
      </w:r>
    </w:p>
    <w:p>
      <w:pPr>
        <w:ind w:firstLine="480"/>
        <w:rPr>
          <w:rFonts w:hint="eastAsia" w:eastAsia="宋体"/>
          <w:lang w:eastAsia="zh-CN"/>
        </w:rPr>
      </w:pPr>
      <w:r>
        <w:rPr>
          <w:rFonts w:hint="eastAsia"/>
          <w:lang w:eastAsia="zh-CN"/>
        </w:rPr>
        <w:t>（</w:t>
      </w:r>
      <w:r>
        <w:rPr>
          <w:rFonts w:hint="eastAsia"/>
          <w:lang w:val="en-US" w:eastAsia="zh-CN"/>
        </w:rPr>
        <w:t>二</w:t>
      </w:r>
      <w:r>
        <w:rPr>
          <w:rFonts w:hint="eastAsia"/>
          <w:lang w:eastAsia="zh-CN"/>
        </w:rPr>
        <w:t>）</w:t>
      </w:r>
      <w:r>
        <w:t>增加称样量来降低检验误差。增加称样量可以使有效成分增多，减少化肥中杂质对检测结果的影响。化肥中杂质对磷和钾检测中沉淀质量以及氮元素检测的滴定都有影响，且电子天平自身</w:t>
      </w:r>
      <w:r>
        <w:rPr>
          <w:rFonts w:hint="eastAsia"/>
        </w:rPr>
        <w:t>存在系统误差，因此，增加称样量可以减少相对误差。</w:t>
      </w:r>
    </w:p>
    <w:p>
      <w:pPr>
        <w:ind w:firstLine="480"/>
        <w:rPr>
          <w:rFonts w:hint="eastAsia" w:eastAsia="宋体"/>
          <w:lang w:eastAsia="zh-CN"/>
        </w:rPr>
      </w:pPr>
      <w:r>
        <w:rPr>
          <w:rFonts w:hint="eastAsia"/>
          <w:lang w:eastAsia="zh-CN"/>
        </w:rPr>
        <w:t>（</w:t>
      </w:r>
      <w:r>
        <w:rPr>
          <w:rFonts w:hint="eastAsia"/>
          <w:lang w:val="en-US" w:eastAsia="zh-CN"/>
        </w:rPr>
        <w:t>三</w:t>
      </w:r>
      <w:r>
        <w:rPr>
          <w:rFonts w:hint="eastAsia"/>
          <w:lang w:eastAsia="zh-CN"/>
        </w:rPr>
        <w:t>）</w:t>
      </w:r>
      <w:r>
        <w:t>提升检验人员综合水平。提高检验人员的专业水平和业务水平，提高实验能力和责任心，做到对数据负责。对可疑数据进行分析，也可通过进行不同检验人员同实验数据比对或是相同人员多次平行实验提高检测准确度。</w:t>
      </w:r>
    </w:p>
    <w:p>
      <w:pPr>
        <w:ind w:firstLine="480"/>
        <w:rPr>
          <w:rFonts w:hint="eastAsia" w:eastAsia="宋体"/>
          <w:lang w:eastAsia="zh-CN"/>
        </w:rPr>
      </w:pPr>
      <w:r>
        <w:rPr>
          <w:rFonts w:hint="eastAsia"/>
          <w:lang w:eastAsia="zh-CN"/>
        </w:rPr>
        <w:t>（</w:t>
      </w:r>
      <w:r>
        <w:rPr>
          <w:rFonts w:hint="eastAsia"/>
          <w:lang w:val="en-US" w:eastAsia="zh-CN"/>
        </w:rPr>
        <w:t>四</w:t>
      </w:r>
      <w:r>
        <w:rPr>
          <w:rFonts w:hint="eastAsia"/>
          <w:lang w:eastAsia="zh-CN"/>
        </w:rPr>
        <w:t>）</w:t>
      </w:r>
      <w:r>
        <w:t>选用高精密度仪器。引入准确度和精密度高的仪器及玻璃器皿，减少环境和人员操作带来的系统误差和人员操作误差，提高实验数据的准确度。</w:t>
      </w:r>
    </w:p>
    <w:p>
      <w:pPr>
        <w:ind w:firstLine="480"/>
      </w:pPr>
      <w:r>
        <w:rPr>
          <w:rFonts w:hint="eastAsia"/>
        </w:rPr>
        <w:t>总之，在我国现代农业发展进程中，化肥作为重要的生产资料，其质量直接影响着农业增产。因此，需要全面提升化肥分析检测准确度，满足农业发展需求。提升化肥分析检验的准确度可以实现现代农业高效生产的发展目标，但是这是一个长期的过程，所以需要化肥生产企业以及分析检测工作人员的责任意识、追求卓越的精神去提升工作精准度，进而提升化肥质量，推动我国农业可持续发展。</w:t>
      </w:r>
    </w:p>
    <w:p>
      <w:pPr>
        <w:widowControl/>
        <w:spacing w:before="0" w:after="0" w:line="240" w:lineRule="auto"/>
        <w:ind w:firstLine="0" w:firstLineChars="0"/>
        <w:jc w:val="left"/>
      </w:pPr>
      <w:r>
        <w:br w:type="page"/>
      </w:r>
    </w:p>
    <w:p>
      <w:pPr>
        <w:pStyle w:val="5"/>
        <w:bidi w:val="0"/>
      </w:pPr>
      <w:bookmarkStart w:id="637" w:name="_Toc107845209"/>
      <w:bookmarkStart w:id="638" w:name="_Toc116121542"/>
      <w:bookmarkStart w:id="639" w:name="_Toc26077"/>
      <w:bookmarkStart w:id="640" w:name="_Toc118293303"/>
      <w:r>
        <w:rPr>
          <w:rFonts w:hint="eastAsia"/>
          <w:lang w:val="en-US" w:eastAsia="zh-CN"/>
        </w:rPr>
        <w:t>九、</w:t>
      </w:r>
      <w:r>
        <w:rPr>
          <w:rFonts w:hint="eastAsia"/>
        </w:rPr>
        <w:t>有机肥主要指标的质量检测方法</w:t>
      </w:r>
      <w:bookmarkEnd w:id="637"/>
      <w:bookmarkEnd w:id="638"/>
      <w:bookmarkEnd w:id="639"/>
      <w:bookmarkEnd w:id="640"/>
    </w:p>
    <w:p>
      <w:pPr>
        <w:pStyle w:val="6"/>
        <w:bidi w:val="0"/>
      </w:pPr>
      <w:bookmarkStart w:id="641" w:name="_Toc24498"/>
      <w:r>
        <w:rPr>
          <w:rFonts w:hint="eastAsia"/>
          <w:lang w:eastAsia="zh-CN"/>
        </w:rPr>
        <w:t>（</w:t>
      </w:r>
      <w:r>
        <w:rPr>
          <w:rFonts w:hint="eastAsia"/>
          <w:lang w:val="en-US" w:eastAsia="zh-CN"/>
        </w:rPr>
        <w:t>一</w:t>
      </w:r>
      <w:r>
        <w:rPr>
          <w:rFonts w:hint="eastAsia"/>
          <w:lang w:eastAsia="zh-CN"/>
        </w:rPr>
        <w:t>）</w:t>
      </w:r>
      <w:r>
        <w:rPr>
          <w:rFonts w:hint="eastAsia"/>
        </w:rPr>
        <w:t>各个指标的标准</w:t>
      </w:r>
      <w:bookmarkEnd w:id="641"/>
    </w:p>
    <w:p>
      <w:pPr>
        <w:ind w:firstLine="482"/>
        <w:rPr>
          <w:b/>
          <w:bCs/>
        </w:rPr>
      </w:pPr>
      <w:r>
        <w:rPr>
          <w:rFonts w:hint="eastAsia"/>
          <w:b/>
          <w:bCs/>
          <w:lang w:eastAsia="zh-CN"/>
        </w:rPr>
        <w:t>（</w:t>
      </w:r>
      <w:r>
        <w:rPr>
          <w:rFonts w:hint="eastAsia"/>
          <w:b/>
          <w:bCs/>
          <w:lang w:val="en-US" w:eastAsia="zh-CN"/>
        </w:rPr>
        <w:t>一</w:t>
      </w:r>
      <w:r>
        <w:rPr>
          <w:rFonts w:hint="eastAsia"/>
          <w:b/>
          <w:bCs/>
          <w:lang w:eastAsia="zh-CN"/>
        </w:rPr>
        <w:t>）</w:t>
      </w:r>
      <w:r>
        <w:rPr>
          <w:b/>
          <w:bCs/>
        </w:rPr>
        <w:t>各个技术指标</w:t>
      </w:r>
    </w:p>
    <w:tbl>
      <w:tblPr>
        <w:tblStyle w:val="33"/>
        <w:tblW w:w="8312" w:type="dxa"/>
        <w:jc w:val="center"/>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4673"/>
        <w:gridCol w:w="3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jc w:val="center"/>
        </w:trPr>
        <w:tc>
          <w:tcPr>
            <w:tcW w:w="4628" w:type="dxa"/>
            <w:vAlign w:val="center"/>
          </w:tcPr>
          <w:p>
            <w:pPr>
              <w:pStyle w:val="53"/>
            </w:pPr>
            <w:r>
              <w:t>项目</w:t>
            </w:r>
          </w:p>
        </w:tc>
        <w:tc>
          <w:tcPr>
            <w:tcW w:w="3594" w:type="dxa"/>
            <w:vAlign w:val="center"/>
          </w:tcPr>
          <w:p>
            <w:pPr>
              <w:pStyle w:val="53"/>
            </w:pPr>
            <w: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jc w:val="center"/>
        </w:trPr>
        <w:tc>
          <w:tcPr>
            <w:tcW w:w="4628" w:type="dxa"/>
            <w:vAlign w:val="center"/>
          </w:tcPr>
          <w:p>
            <w:pPr>
              <w:pStyle w:val="53"/>
            </w:pPr>
            <w:r>
              <w:t>有效活菌数</w:t>
            </w:r>
          </w:p>
        </w:tc>
        <w:tc>
          <w:tcPr>
            <w:tcW w:w="3594" w:type="dxa"/>
            <w:vAlign w:val="center"/>
          </w:tcPr>
          <w:p>
            <w:pPr>
              <w:pStyle w:val="53"/>
            </w:pPr>
            <w:r>
              <w:t>≧0.2亿/g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jc w:val="center"/>
        </w:trPr>
        <w:tc>
          <w:tcPr>
            <w:tcW w:w="4628" w:type="dxa"/>
            <w:vAlign w:val="center"/>
          </w:tcPr>
          <w:p>
            <w:pPr>
              <w:pStyle w:val="53"/>
            </w:pPr>
            <w:r>
              <w:t>有机质（以干计）</w:t>
            </w:r>
          </w:p>
        </w:tc>
        <w:tc>
          <w:tcPr>
            <w:tcW w:w="3594" w:type="dxa"/>
            <w:vAlign w:val="center"/>
          </w:tcPr>
          <w:p>
            <w:pPr>
              <w:pStyle w:val="53"/>
            </w:pPr>
            <w: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jc w:val="center"/>
        </w:trPr>
        <w:tc>
          <w:tcPr>
            <w:tcW w:w="4628" w:type="dxa"/>
            <w:vAlign w:val="center"/>
          </w:tcPr>
          <w:p>
            <w:pPr>
              <w:pStyle w:val="53"/>
            </w:pPr>
            <w:r>
              <w:t>水分</w:t>
            </w:r>
          </w:p>
        </w:tc>
        <w:tc>
          <w:tcPr>
            <w:tcW w:w="3594" w:type="dxa"/>
            <w:vAlign w:val="center"/>
          </w:tcPr>
          <w:p>
            <w:pPr>
              <w:pStyle w:val="53"/>
            </w:pPr>
            <w: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jc w:val="center"/>
        </w:trPr>
        <w:tc>
          <w:tcPr>
            <w:tcW w:w="4628" w:type="dxa"/>
            <w:vAlign w:val="center"/>
          </w:tcPr>
          <w:p>
            <w:pPr>
              <w:pStyle w:val="53"/>
            </w:pPr>
            <w:r>
              <w:t>PH</w:t>
            </w:r>
          </w:p>
        </w:tc>
        <w:tc>
          <w:tcPr>
            <w:tcW w:w="3594" w:type="dxa"/>
            <w:vAlign w:val="center"/>
          </w:tcPr>
          <w:p>
            <w:pPr>
              <w:pStyle w:val="53"/>
            </w:pPr>
            <w:r>
              <w:t>5.5-8.5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jc w:val="center"/>
        </w:trPr>
        <w:tc>
          <w:tcPr>
            <w:tcW w:w="4628" w:type="dxa"/>
            <w:vAlign w:val="center"/>
          </w:tcPr>
          <w:p>
            <w:pPr>
              <w:pStyle w:val="53"/>
            </w:pPr>
            <w:r>
              <w:t>粪大肠菌群数</w:t>
            </w:r>
          </w:p>
        </w:tc>
        <w:tc>
          <w:tcPr>
            <w:tcW w:w="3594" w:type="dxa"/>
            <w:vAlign w:val="center"/>
          </w:tcPr>
          <w:p>
            <w:pPr>
              <w:pStyle w:val="53"/>
            </w:pPr>
            <w:r>
              <w:t>≦100个/g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jc w:val="center"/>
        </w:trPr>
        <w:tc>
          <w:tcPr>
            <w:tcW w:w="4628" w:type="dxa"/>
            <w:vAlign w:val="center"/>
          </w:tcPr>
          <w:p>
            <w:pPr>
              <w:pStyle w:val="53"/>
            </w:pPr>
            <w:r>
              <w:t>蛔虫卵死亡率</w:t>
            </w:r>
          </w:p>
        </w:tc>
        <w:tc>
          <w:tcPr>
            <w:tcW w:w="3594" w:type="dxa"/>
            <w:vAlign w:val="center"/>
          </w:tcPr>
          <w:p>
            <w:pPr>
              <w:pStyle w:val="53"/>
            </w:pPr>
            <w: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jc w:val="center"/>
        </w:trPr>
        <w:tc>
          <w:tcPr>
            <w:tcW w:w="4628" w:type="dxa"/>
            <w:vAlign w:val="center"/>
          </w:tcPr>
          <w:p>
            <w:pPr>
              <w:pStyle w:val="53"/>
            </w:pPr>
            <w:r>
              <w:t>总养分质量分数（N+P5O2+K2O，以烘干计）</w:t>
            </w:r>
          </w:p>
        </w:tc>
        <w:tc>
          <w:tcPr>
            <w:tcW w:w="3594" w:type="dxa"/>
            <w:vAlign w:val="center"/>
          </w:tcPr>
          <w:p>
            <w:pPr>
              <w:pStyle w:val="53"/>
            </w:pPr>
            <w:r>
              <w:t>≧5%</w:t>
            </w:r>
          </w:p>
        </w:tc>
      </w:tr>
    </w:tbl>
    <w:p>
      <w:pPr>
        <w:ind w:firstLine="482"/>
        <w:rPr>
          <w:b/>
          <w:bCs/>
        </w:rPr>
      </w:pPr>
      <w:r>
        <w:rPr>
          <w:rFonts w:hint="eastAsia"/>
          <w:b/>
          <w:bCs/>
          <w:lang w:eastAsia="zh-CN"/>
        </w:rPr>
        <w:t>（</w:t>
      </w:r>
      <w:r>
        <w:rPr>
          <w:rFonts w:hint="eastAsia"/>
          <w:b/>
          <w:bCs/>
          <w:lang w:val="en-US" w:eastAsia="zh-CN"/>
        </w:rPr>
        <w:t>二</w:t>
      </w:r>
      <w:r>
        <w:rPr>
          <w:rFonts w:hint="eastAsia"/>
          <w:b/>
          <w:bCs/>
          <w:lang w:eastAsia="zh-CN"/>
        </w:rPr>
        <w:t>）</w:t>
      </w:r>
      <w:r>
        <w:rPr>
          <w:b/>
          <w:bCs/>
        </w:rPr>
        <w:t>重金属指标</w:t>
      </w:r>
    </w:p>
    <w:tbl>
      <w:tblPr>
        <w:tblStyle w:val="33"/>
        <w:tblW w:w="8312" w:type="dxa"/>
        <w:jc w:val="center"/>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681"/>
        <w:gridCol w:w="5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jc w:val="center"/>
        </w:trPr>
        <w:tc>
          <w:tcPr>
            <w:tcW w:w="2636" w:type="dxa"/>
            <w:vAlign w:val="center"/>
          </w:tcPr>
          <w:p>
            <w:pPr>
              <w:pStyle w:val="53"/>
            </w:pPr>
            <w:r>
              <w:t>项目</w:t>
            </w:r>
          </w:p>
        </w:tc>
        <w:tc>
          <w:tcPr>
            <w:tcW w:w="5586" w:type="dxa"/>
            <w:vAlign w:val="center"/>
          </w:tcPr>
          <w:p>
            <w:pPr>
              <w:pStyle w:val="53"/>
            </w:pPr>
            <w: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jc w:val="center"/>
        </w:trPr>
        <w:tc>
          <w:tcPr>
            <w:tcW w:w="2636" w:type="dxa"/>
            <w:vAlign w:val="center"/>
          </w:tcPr>
          <w:p>
            <w:pPr>
              <w:pStyle w:val="53"/>
            </w:pPr>
            <w:r>
              <w:t>总AS</w:t>
            </w:r>
          </w:p>
        </w:tc>
        <w:tc>
          <w:tcPr>
            <w:tcW w:w="5586" w:type="dxa"/>
            <w:vAlign w:val="center"/>
          </w:tcPr>
          <w:p>
            <w:pPr>
              <w:pStyle w:val="53"/>
            </w:pPr>
            <w:r>
              <w:t>≦15mg/kg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jc w:val="center"/>
        </w:trPr>
        <w:tc>
          <w:tcPr>
            <w:tcW w:w="2636" w:type="dxa"/>
            <w:vAlign w:val="center"/>
          </w:tcPr>
          <w:p>
            <w:pPr>
              <w:pStyle w:val="53"/>
            </w:pPr>
            <w:r>
              <w:t>总Cd</w:t>
            </w:r>
          </w:p>
        </w:tc>
        <w:tc>
          <w:tcPr>
            <w:tcW w:w="5586" w:type="dxa"/>
            <w:vAlign w:val="center"/>
          </w:tcPr>
          <w:p>
            <w:pPr>
              <w:pStyle w:val="53"/>
            </w:pPr>
            <w:r>
              <w:t>≦3mg/kg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jc w:val="center"/>
        </w:trPr>
        <w:tc>
          <w:tcPr>
            <w:tcW w:w="2636" w:type="dxa"/>
            <w:vAlign w:val="center"/>
          </w:tcPr>
          <w:p>
            <w:pPr>
              <w:pStyle w:val="53"/>
            </w:pPr>
            <w:r>
              <w:t>总Pb</w:t>
            </w:r>
          </w:p>
        </w:tc>
        <w:tc>
          <w:tcPr>
            <w:tcW w:w="5586" w:type="dxa"/>
            <w:vAlign w:val="center"/>
          </w:tcPr>
          <w:p>
            <w:pPr>
              <w:pStyle w:val="53"/>
            </w:pPr>
            <w:r>
              <w:t>≦50mg/kg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jc w:val="center"/>
        </w:trPr>
        <w:tc>
          <w:tcPr>
            <w:tcW w:w="2636" w:type="dxa"/>
            <w:vAlign w:val="center"/>
          </w:tcPr>
          <w:p>
            <w:pPr>
              <w:pStyle w:val="53"/>
            </w:pPr>
            <w:r>
              <w:t>总Cr</w:t>
            </w:r>
          </w:p>
        </w:tc>
        <w:tc>
          <w:tcPr>
            <w:tcW w:w="5586" w:type="dxa"/>
            <w:vAlign w:val="center"/>
          </w:tcPr>
          <w:p>
            <w:pPr>
              <w:pStyle w:val="53"/>
            </w:pPr>
            <w:r>
              <w:t>≦150mg/kg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jc w:val="center"/>
        </w:trPr>
        <w:tc>
          <w:tcPr>
            <w:tcW w:w="2636" w:type="dxa"/>
            <w:vAlign w:val="center"/>
          </w:tcPr>
          <w:p>
            <w:pPr>
              <w:pStyle w:val="53"/>
            </w:pPr>
            <w:r>
              <w:t>总Hg</w:t>
            </w:r>
          </w:p>
        </w:tc>
        <w:tc>
          <w:tcPr>
            <w:tcW w:w="5586" w:type="dxa"/>
            <w:vAlign w:val="center"/>
          </w:tcPr>
          <w:p>
            <w:pPr>
              <w:pStyle w:val="53"/>
            </w:pPr>
            <w:r>
              <w:t>≦2mg/kg</w:t>
            </w:r>
          </w:p>
        </w:tc>
      </w:tr>
    </w:tbl>
    <w:p>
      <w:pPr>
        <w:ind w:firstLine="480"/>
      </w:pPr>
    </w:p>
    <w:p>
      <w:pPr>
        <w:spacing w:before="0" w:after="0" w:line="240" w:lineRule="auto"/>
        <w:ind w:firstLine="0" w:firstLineChars="0"/>
        <w:jc w:val="left"/>
      </w:pPr>
      <w:r>
        <w:br w:type="page"/>
      </w:r>
    </w:p>
    <w:p>
      <w:pPr>
        <w:pStyle w:val="6"/>
        <w:bidi w:val="0"/>
      </w:pPr>
      <w:bookmarkStart w:id="642" w:name="_Toc32292"/>
      <w:r>
        <w:rPr>
          <w:rFonts w:hint="eastAsia"/>
          <w:lang w:eastAsia="zh-CN"/>
        </w:rPr>
        <w:t>（</w:t>
      </w:r>
      <w:r>
        <w:rPr>
          <w:rFonts w:hint="eastAsia"/>
          <w:lang w:val="en-US" w:eastAsia="zh-CN"/>
        </w:rPr>
        <w:t>二</w:t>
      </w:r>
      <w:r>
        <w:rPr>
          <w:rFonts w:hint="eastAsia"/>
          <w:lang w:eastAsia="zh-CN"/>
        </w:rPr>
        <w:t>）</w:t>
      </w:r>
      <w:r>
        <w:rPr>
          <w:rFonts w:hint="eastAsia"/>
        </w:rPr>
        <w:t>各个指标检测方法</w:t>
      </w:r>
      <w:bookmarkEnd w:id="642"/>
    </w:p>
    <w:p>
      <w:pPr>
        <w:keepNext w:val="0"/>
        <w:keepLines w:val="0"/>
        <w:pageBreakBefore w:val="0"/>
        <w:kinsoku/>
        <w:wordWrap/>
        <w:overflowPunct/>
        <w:topLinePunct w:val="0"/>
        <w:autoSpaceDE/>
        <w:autoSpaceDN/>
        <w:bidi w:val="0"/>
        <w:adjustRightInd w:val="0"/>
        <w:snapToGrid w:val="0"/>
        <w:spacing w:line="480" w:lineRule="auto"/>
        <w:ind w:left="0" w:leftChars="0" w:firstLine="562" w:firstLineChars="200"/>
        <w:textAlignment w:val="auto"/>
        <w:rPr>
          <w:b/>
          <w:bCs/>
        </w:rPr>
      </w:pPr>
      <w:r>
        <w:rPr>
          <w:rFonts w:hint="eastAsia"/>
          <w:b/>
          <w:bCs/>
          <w:lang w:eastAsia="zh-CN"/>
        </w:rPr>
        <w:t>（</w:t>
      </w:r>
      <w:r>
        <w:rPr>
          <w:rFonts w:hint="eastAsia"/>
          <w:b/>
          <w:bCs/>
          <w:lang w:val="en-US" w:eastAsia="zh-CN"/>
        </w:rPr>
        <w:t>一</w:t>
      </w:r>
      <w:r>
        <w:rPr>
          <w:rFonts w:hint="eastAsia"/>
          <w:b/>
          <w:bCs/>
          <w:lang w:eastAsia="zh-CN"/>
        </w:rPr>
        <w:t>）</w:t>
      </w:r>
      <w:r>
        <w:rPr>
          <w:b/>
          <w:bCs/>
        </w:rPr>
        <w:t>有效活菌数的测定</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val="en-US" w:eastAsia="zh-CN"/>
        </w:rPr>
        <w:t>1、</w:t>
      </w:r>
      <w:r>
        <w:t>稀释</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称取固体样品</w:t>
      </w:r>
      <w:r>
        <w:t>10g，加入带玻璃珠的100ml的无菌水中，静置20分钟，在旋转式摇床上200r/min充分震荡30分钟，即成母液菌悬液。</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用</w:t>
      </w:r>
      <w:r>
        <w:t>5ml无菌转液管分别吸取5ml上述母液菌悬液加入45ml无菌水中，按1比10进行系列稀释，分别得到10-1,10-2,10-3、、、稀释倍数的菌悬液。</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val="en-US" w:eastAsia="zh-CN"/>
        </w:rPr>
        <w:t>2、</w:t>
      </w:r>
      <w:r>
        <w:t>加样及培养</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每个样品取</w:t>
      </w:r>
      <w:r>
        <w:t>3个连续适宜稀释度，用0.5ml无菌移液管分别吸取不同稀释度菌悬液0.1ml，加至预先制备好的固体培养基平板上，分别用无菌玻璃刮刀将不同稀释度的菌悬液均匀地涂布于琼脂表面。</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每一稀释度重复</w:t>
      </w:r>
      <w:r>
        <w:t>3次，同时以无菌水作空白对照，于适宜的条件下培养。</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val="en-US" w:eastAsia="zh-CN"/>
        </w:rPr>
        <w:t>3、</w:t>
      </w:r>
      <w:r>
        <w:t>菌落识别</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根据所检测菌种的技术资料，每个稀释度取不同类型代表菌落通过涂片、染色、镜检等技术手段确认有效菌。当空白对照培养皿出现菌落数时，检测结果无效，应该重做。</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val="en-US" w:eastAsia="zh-CN"/>
        </w:rPr>
        <w:t>4、</w:t>
      </w:r>
      <w:r>
        <w:t>菌落计数</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以出现</w:t>
      </w:r>
      <w:r>
        <w:t>20-30个菌落数的稀释度的平板为计数标准，（丝状真菌为10-150个菌落数），分别统计有效活菌数目和杂菌数目。当只有一个稀释度，其有效菌平均菌落数在20-300个之间时，则以该菌落数计算。若有两个稀释度，其有效菌落数在20-300个之间时，应该两者菌落总数之比值决定，若其比值小于等于2应该计算两者的平均数；若大于2，则以稀释度小的菌落数平均数计算。有效活菌数按下列公式计算，同事计算杂菌数。</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N1=</w:t>
      </w:r>
      <w:r>
        <w:rPr>
          <w:rFonts w:hint="eastAsia"/>
          <w:lang w:eastAsia="zh-CN"/>
        </w:rPr>
        <w:t>（</w:t>
      </w:r>
      <w:r>
        <w:t>x*k*v1/m0*v2</w:t>
      </w:r>
      <w:r>
        <w:rPr>
          <w:rFonts w:hint="eastAsia"/>
          <w:lang w:eastAsia="zh-CN"/>
        </w:rPr>
        <w:t>）</w:t>
      </w:r>
      <w:r>
        <w:t>*10</w:t>
      </w:r>
      <w:r>
        <w:rPr>
          <w:vertAlign w:val="superscript"/>
        </w:rPr>
        <w:t>8</w:t>
      </w:r>
      <w:r>
        <w:t>N2=</w:t>
      </w:r>
      <w:r>
        <w:rPr>
          <w:rFonts w:hint="eastAsia"/>
          <w:lang w:eastAsia="zh-CN"/>
        </w:rPr>
        <w:t>（</w:t>
      </w:r>
      <w:r>
        <w:t>x`*k*v1/v0*v2</w:t>
      </w:r>
      <w:r>
        <w:rPr>
          <w:rFonts w:hint="eastAsia"/>
          <w:lang w:eastAsia="zh-CN"/>
        </w:rPr>
        <w:t>）</w:t>
      </w:r>
      <w:r>
        <w:t>*10</w:t>
      </w:r>
      <w:r>
        <w:rPr>
          <w:vertAlign w:val="superscript"/>
        </w:rPr>
        <w:t>8</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式中：</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N1——————质量有效活菌数，单位为亿每克；</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N2——————体积有效活菌数，单位为亿每毫升；</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X</w:t>
      </w:r>
      <w:r>
        <w:rPr>
          <w:rFonts w:hint="eastAsia"/>
        </w:rPr>
        <w:t>*</w:t>
      </w:r>
      <w:r>
        <w:t>——————有效菌落平均数；</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K———————稀释倍数；</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V1———————基础液体积，单位为毫升；</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V2———————菌悬液加入量，单位为毫升；</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V0———————样品量，单位为毫升；</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M0———————样品量，单位为克。</w:t>
      </w:r>
    </w:p>
    <w:p>
      <w:pPr>
        <w:keepNext w:val="0"/>
        <w:keepLines w:val="0"/>
        <w:pageBreakBefore w:val="0"/>
        <w:kinsoku/>
        <w:wordWrap/>
        <w:overflowPunct/>
        <w:topLinePunct w:val="0"/>
        <w:autoSpaceDE/>
        <w:autoSpaceDN/>
        <w:bidi w:val="0"/>
        <w:adjustRightInd w:val="0"/>
        <w:snapToGrid w:val="0"/>
        <w:spacing w:line="480" w:lineRule="auto"/>
        <w:ind w:left="0" w:leftChars="0" w:firstLine="562" w:firstLineChars="200"/>
        <w:textAlignment w:val="auto"/>
        <w:rPr>
          <w:b/>
          <w:bCs/>
        </w:rPr>
      </w:pPr>
      <w:r>
        <w:rPr>
          <w:rFonts w:hint="eastAsia"/>
          <w:b/>
          <w:bCs/>
          <w:lang w:eastAsia="zh-CN"/>
        </w:rPr>
        <w:t>（</w:t>
      </w:r>
      <w:r>
        <w:rPr>
          <w:rFonts w:hint="eastAsia"/>
          <w:b/>
          <w:bCs/>
          <w:lang w:val="en-US" w:eastAsia="zh-CN"/>
        </w:rPr>
        <w:t>二</w:t>
      </w:r>
      <w:r>
        <w:rPr>
          <w:rFonts w:hint="eastAsia"/>
          <w:b/>
          <w:bCs/>
          <w:lang w:eastAsia="zh-CN"/>
        </w:rPr>
        <w:t>）</w:t>
      </w:r>
      <w:r>
        <w:rPr>
          <w:b/>
          <w:bCs/>
        </w:rPr>
        <w:t>有机质的测定</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val="en-US" w:eastAsia="zh-CN"/>
        </w:rPr>
        <w:t>1、</w:t>
      </w:r>
      <w:r>
        <w:t>方法原理</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用定量的重铬酸钾</w:t>
      </w:r>
      <w:r>
        <w:t>-硫酸溶液，在加热条件下，使有机肥料中的有机碳氧化，多余的重铬酸钾用硫酸亚铁标准溶液滴定，同时以二氧化硅为添加物作空白试验。根据氧化前后氧化剂好量，计算有机碳含量，乘以系数1.724，为有机质含量。</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val="en-US" w:eastAsia="zh-CN"/>
        </w:rPr>
        <w:t>2、</w:t>
      </w:r>
      <w:r>
        <w:t>试剂及制备</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重铬酸钾标准溶液</w:t>
      </w:r>
      <w:r>
        <w:t>0.1mol/L：称取经过130摄氏度烘3-4小时的重铬酸钾4.9031g，先用少量水溶解，然后转移入1L容量瓶中，用水稀释至刻度，摇匀别用。</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重铬酸钾溶液</w:t>
      </w:r>
      <w:r>
        <w:t>0.8mol/L：称取重铬酸钾39.23g，先用少量水溶解，然后转入1L的容量瓶中，稀释至刻度，摇匀备用。</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硫酸亚铁</w:t>
      </w:r>
      <w:r>
        <w:t>0.2mol/L：称取七水硫酸亚铁55.6g，溶于900ml水中，加硫酸20ml溶解，稀释定容至1L，摇匀备用，此溶液的准确浓度以0.1mol/L重铬酸钾标准液标定，现用现标定。</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0.2mol/L的硫酸亚铁标准溶液的标定：吸取重铬酸钾标准溶液20ml，加入150ml三角瓶中，加硫酸3-5ml和2-3滴邻啡啰啉指示剂，用硫酸亚铁标准液滴定，根据硫酸亚铁标准液滴定时的消耗量按下式计算其准确浓度。</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C=c1*v1/V2</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C1————重铬酸钾标准溶液的浓度，单位为摩尔每升；</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V1————吸取标准重铬酸钾的体积，单位为毫升；</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V2————滴定时消耗硫酸亚铁标准溶液的体积，单位为毫升。</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邻啡啰啉指示剂：称取硫酸亚铁（分析纯）</w:t>
      </w:r>
      <w:r>
        <w:t>0.695g和邻啡啰啉1.485g溶液100ml水中，摇匀备用，指示剂易变质，应该密闭保存于棕色瓶中。</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val="en-US" w:eastAsia="zh-CN"/>
        </w:rPr>
        <w:t>3、</w:t>
      </w:r>
      <w:r>
        <w:t>测定步骤</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称取试样</w:t>
      </w:r>
      <w:r>
        <w:t>0.2-0.5g，置于500ml的试剂瓶中，准确加入0.8mol/L重铬酸钾溶液50ml，再加入50ml浓硫酸，加一弯颈小漏斗，置于沸水中，待水浴沸腾后保持三十分钟。取出冷却至室温，用水冲洗小漏斗，洗液承接于三角瓶中。取下三角瓶，将反应物无损转入250ml容量瓶中，冷却至室温，定容，吸取50ml溶液于250ml三角瓶，加水至约100ml，加2-3滴邻啡啰啉指示剂，用02.mol/l硫酸亚铁标准溶液滴定近终点时，溶液由绿色变成暗绿色，再逐滴加入硫酸亚铁标准溶液直至生成砖红色为止。同时称取02.g二氧化</w:t>
      </w:r>
      <w:r>
        <w:rPr>
          <w:rFonts w:hint="eastAsia"/>
        </w:rPr>
        <w:t>硅代替试样，按照相同分析步骤，使用同样的试剂，进行空白试验。</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如果滴定试样所用硫酸亚铁标准溶液用量不到空白试样所用硫酸亚铁标准液用量的三分之一时，则应减少称取量，重新测定。</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val="en-US" w:eastAsia="zh-CN"/>
        </w:rPr>
        <w:t>4、</w:t>
      </w:r>
      <w:r>
        <w:t>分析结果</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有机质的含量以肥料的质量分数表示</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W（%）=c（v0-v）*0.003*100*1.5*1.724*D/（m（1-x0））</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式中：</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C——————指定标准溶液的摩尔浓度，单位为摩尔每升；</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V0——————空白试验时，消耗标定标准溶液的体积，单位为毫升；</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V——————样品测定时，消耗指定标准溶液的体积，单位为毫升；</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0.003——————四分之一碳原子的摩尔质量；</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1.724——————有机碳换算成有机质的系数；</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1.5——————氧化校正系数；</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m——————风干样质量，单位为g；</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x0——————风干样含水量；</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D——————分取倍数，定容体积/分取体积，250/50。</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eastAsia="zh-CN"/>
        </w:rPr>
        <w:t>（</w:t>
      </w:r>
      <w:r>
        <w:rPr>
          <w:rFonts w:hint="eastAsia"/>
          <w:lang w:val="en-US" w:eastAsia="zh-CN"/>
        </w:rPr>
        <w:t>三</w:t>
      </w:r>
      <w:r>
        <w:rPr>
          <w:rFonts w:hint="eastAsia"/>
          <w:lang w:eastAsia="zh-CN"/>
        </w:rPr>
        <w:t>）</w:t>
      </w:r>
      <w:r>
        <w:t>水分含量测定</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将空铝合置于干燥箱中</w:t>
      </w:r>
      <w:r>
        <w:t>105摄氏度烘干0.5小时，冷却后称量记录空铝合的质量，然后称取2份平行样品，每份20g，分别加入铝合中并记录质量，将装好样品的铝合置于干燥箱中105摄氏度下烘干4-6小时，取出置于干燥器中冷去20min，后进行称量，水分含量按照下式计算，结果为两次测量的平均值。</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W（%）=</w:t>
      </w:r>
      <w:r>
        <w:rPr>
          <w:rFonts w:hint="eastAsia"/>
          <w:lang w:eastAsia="zh-CN"/>
        </w:rPr>
        <w:t>（</w:t>
      </w:r>
      <w:r>
        <w:t>（m1-m2）/</w:t>
      </w:r>
      <w:r>
        <w:rPr>
          <w:rFonts w:hint="eastAsia"/>
          <w:lang w:eastAsia="zh-CN"/>
        </w:rPr>
        <w:t>（</w:t>
      </w:r>
      <w:r>
        <w:t>m1-m0</w:t>
      </w:r>
      <w:r>
        <w:rPr>
          <w:rFonts w:hint="eastAsia"/>
          <w:lang w:eastAsia="zh-CN"/>
        </w:rPr>
        <w:t>））</w:t>
      </w:r>
      <w:r>
        <w:t>*100</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式中：</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W——————样品水分含量，单位为百分率；</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M0——————空铝合的质量，单位为g</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M1——————样品盒铝合的质量，单位为g；</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M2——————烘干后样品盒铝合的质量，单位为g；</w:t>
      </w:r>
    </w:p>
    <w:p>
      <w:pPr>
        <w:keepNext w:val="0"/>
        <w:keepLines w:val="0"/>
        <w:pageBreakBefore w:val="0"/>
        <w:kinsoku/>
        <w:wordWrap/>
        <w:overflowPunct/>
        <w:topLinePunct w:val="0"/>
        <w:autoSpaceDE/>
        <w:autoSpaceDN/>
        <w:bidi w:val="0"/>
        <w:adjustRightInd w:val="0"/>
        <w:snapToGrid w:val="0"/>
        <w:spacing w:line="480" w:lineRule="auto"/>
        <w:ind w:left="0" w:leftChars="0" w:firstLine="562" w:firstLineChars="200"/>
        <w:textAlignment w:val="auto"/>
        <w:rPr>
          <w:b/>
          <w:bCs/>
        </w:rPr>
      </w:pPr>
      <w:r>
        <w:rPr>
          <w:rFonts w:hint="eastAsia"/>
          <w:b/>
          <w:bCs/>
          <w:lang w:eastAsia="zh-CN"/>
        </w:rPr>
        <w:t>（</w:t>
      </w:r>
      <w:r>
        <w:rPr>
          <w:rFonts w:hint="eastAsia"/>
          <w:b/>
          <w:bCs/>
          <w:lang w:val="en-US" w:eastAsia="zh-CN"/>
        </w:rPr>
        <w:t>四</w:t>
      </w:r>
      <w:r>
        <w:rPr>
          <w:rFonts w:hint="eastAsia"/>
          <w:b/>
          <w:bCs/>
          <w:lang w:eastAsia="zh-CN"/>
        </w:rPr>
        <w:t>）</w:t>
      </w:r>
      <w:r>
        <w:rPr>
          <w:b/>
          <w:bCs/>
        </w:rPr>
        <w:t>PH的测定</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打开酸度计电源预热</w:t>
      </w:r>
      <w:r>
        <w:t>30min，用标准溶液校准。</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PH的测定，每个样品重复3次，计算三次的平均值。</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测定步骤：称取样品</w:t>
      </w:r>
      <w:r>
        <w:t>15g，放入50ml的烧杯中，按1:2的比例将无离子水</w:t>
      </w:r>
      <w:r>
        <w:rPr>
          <w:rFonts w:hint="eastAsia"/>
        </w:rPr>
        <w:t>加到烧杯中，搅拌均匀。然后静置</w:t>
      </w:r>
      <w:r>
        <w:t>30min，测样品悬液的PH，仪器读数稳定后</w:t>
      </w:r>
      <w:r>
        <w:rPr>
          <w:rFonts w:hint="eastAsia"/>
        </w:rPr>
        <w:t>记录。</w:t>
      </w:r>
    </w:p>
    <w:p>
      <w:pPr>
        <w:keepNext w:val="0"/>
        <w:keepLines w:val="0"/>
        <w:pageBreakBefore w:val="0"/>
        <w:kinsoku/>
        <w:wordWrap/>
        <w:overflowPunct/>
        <w:topLinePunct w:val="0"/>
        <w:autoSpaceDE/>
        <w:autoSpaceDN/>
        <w:bidi w:val="0"/>
        <w:adjustRightInd w:val="0"/>
        <w:snapToGrid w:val="0"/>
        <w:spacing w:line="480" w:lineRule="auto"/>
        <w:ind w:left="0" w:leftChars="0" w:firstLine="562" w:firstLineChars="200"/>
        <w:textAlignment w:val="auto"/>
        <w:rPr>
          <w:b/>
          <w:bCs/>
        </w:rPr>
      </w:pPr>
      <w:r>
        <w:rPr>
          <w:rFonts w:hint="eastAsia"/>
          <w:b/>
          <w:bCs/>
          <w:lang w:eastAsia="zh-CN"/>
        </w:rPr>
        <w:t>（</w:t>
      </w:r>
      <w:r>
        <w:rPr>
          <w:rFonts w:hint="eastAsia"/>
          <w:b/>
          <w:bCs/>
          <w:lang w:val="en-US" w:eastAsia="zh-CN"/>
        </w:rPr>
        <w:t>五</w:t>
      </w:r>
      <w:r>
        <w:rPr>
          <w:rFonts w:hint="eastAsia"/>
          <w:b/>
          <w:bCs/>
          <w:lang w:eastAsia="zh-CN"/>
        </w:rPr>
        <w:t>）</w:t>
      </w:r>
      <w:r>
        <w:rPr>
          <w:b/>
          <w:bCs/>
        </w:rPr>
        <w:t>粪大肠菌群数的测定</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val="en-US" w:eastAsia="zh-CN"/>
        </w:rPr>
        <w:t>1、</w:t>
      </w:r>
      <w:r>
        <w:t>样品稀释</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在无菌操作下称取样品</w:t>
      </w:r>
      <w:r>
        <w:t>10g或吸取样品10ml，加入到带玻璃珠的90ml无菌</w:t>
      </w:r>
      <w:r>
        <w:rPr>
          <w:rFonts w:hint="eastAsia"/>
        </w:rPr>
        <w:t>水中，置于摇床上</w:t>
      </w:r>
      <w:r>
        <w:t>200r/min充分震荡30min，即成10-1稀释液。</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val="en-US" w:eastAsia="zh-CN"/>
        </w:rPr>
        <w:t>2、</w:t>
      </w:r>
      <w:r>
        <w:t>乳糖发酵试验</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选取三个连续适宜稀释液，分别吸取不同稀释液</w:t>
      </w:r>
      <w:r>
        <w:t>1ml加入到乳糖胆盐发酵</w:t>
      </w:r>
      <w:r>
        <w:rPr>
          <w:rFonts w:hint="eastAsia"/>
        </w:rPr>
        <w:t>管内，每一稀释度接种</w:t>
      </w:r>
      <w:r>
        <w:t>3支发酵管，置44.5摄氏度恒温水浴或隔水式培养箱内，</w:t>
      </w:r>
      <w:r>
        <w:rPr>
          <w:rFonts w:hint="eastAsia"/>
        </w:rPr>
        <w:t>培养</w:t>
      </w:r>
      <w:r>
        <w:t>24小时。如果所有乳糖胆盐发酵管都不产气不产酸，则为粪大肠菌群阴性，</w:t>
      </w:r>
      <w:r>
        <w:rPr>
          <w:rFonts w:hint="eastAsia"/>
        </w:rPr>
        <w:t>如果有产酸产气或只有产酸的发酵管，则按分离培养步骤进行。</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val="en-US" w:eastAsia="zh-CN"/>
        </w:rPr>
        <w:t>3、</w:t>
      </w:r>
      <w:r>
        <w:t>分离培养</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从产酸产气或只产酸的发酵管中分别挑取发酵液在伊红美蓝琼脂平板上划线，置于</w:t>
      </w:r>
      <w:r>
        <w:t>36摄氏度条件下培养18-24小时。</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val="en-US" w:eastAsia="zh-CN"/>
        </w:rPr>
        <w:t>4、</w:t>
      </w:r>
      <w:r>
        <w:t>证实试验</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从（</w:t>
      </w:r>
      <w:r>
        <w:t>3）中分离平板上挑取可疑菌落，进行革兰氏染色，染色反应阳性为粪</w:t>
      </w:r>
      <w:r>
        <w:rPr>
          <w:rFonts w:hint="eastAsia"/>
        </w:rPr>
        <w:t>大肠菌群阴性；如果为革兰氏阴性无芽孢杆菌则挑取同样菌落接种在乳糖发酵管中，置</w:t>
      </w:r>
      <w:r>
        <w:t>44.5摄氏度条件下培养24小时。观察产气情况，不产气为粪大肠菌群</w:t>
      </w:r>
      <w:r>
        <w:rPr>
          <w:rFonts w:hint="eastAsia"/>
        </w:rPr>
        <w:t>阴性，产气为粪大肠菌群阳性。</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val="en-US" w:eastAsia="zh-CN"/>
        </w:rPr>
        <w:t>5、</w:t>
      </w:r>
      <w:r>
        <w:t>结果</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证实试验为粪大肠菌群阳性的，根据粪大肠菌群阳性发酵管数，查</w:t>
      </w:r>
      <w:r>
        <w:t>MPN检</w:t>
      </w:r>
      <w:r>
        <w:rPr>
          <w:rFonts w:hint="eastAsia"/>
        </w:rPr>
        <w:t>索表，得出每克肥料样品中的粪大肠菌群数。</w:t>
      </w:r>
    </w:p>
    <w:p>
      <w:pPr>
        <w:keepNext w:val="0"/>
        <w:keepLines w:val="0"/>
        <w:pageBreakBefore w:val="0"/>
        <w:kinsoku/>
        <w:wordWrap/>
        <w:overflowPunct/>
        <w:topLinePunct w:val="0"/>
        <w:autoSpaceDE/>
        <w:autoSpaceDN/>
        <w:bidi w:val="0"/>
        <w:adjustRightInd w:val="0"/>
        <w:snapToGrid w:val="0"/>
        <w:spacing w:line="480" w:lineRule="auto"/>
        <w:ind w:left="0" w:leftChars="0" w:firstLine="562" w:firstLineChars="200"/>
        <w:textAlignment w:val="auto"/>
        <w:rPr>
          <w:b/>
          <w:bCs/>
        </w:rPr>
      </w:pPr>
      <w:r>
        <w:rPr>
          <w:rFonts w:hint="eastAsia"/>
          <w:b/>
          <w:bCs/>
          <w:lang w:eastAsia="zh-CN"/>
        </w:rPr>
        <w:t>（</w:t>
      </w:r>
      <w:r>
        <w:rPr>
          <w:rFonts w:hint="eastAsia"/>
          <w:b/>
          <w:bCs/>
          <w:lang w:val="en-US" w:eastAsia="zh-CN"/>
        </w:rPr>
        <w:t>六</w:t>
      </w:r>
      <w:r>
        <w:rPr>
          <w:rFonts w:hint="eastAsia"/>
          <w:b/>
          <w:bCs/>
          <w:lang w:eastAsia="zh-CN"/>
        </w:rPr>
        <w:t>）</w:t>
      </w:r>
      <w:r>
        <w:rPr>
          <w:b/>
          <w:bCs/>
        </w:rPr>
        <w:t>蛔虫卵死亡率的测定</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val="en-US" w:eastAsia="zh-CN"/>
        </w:rPr>
        <w:t>1、</w:t>
      </w:r>
      <w:r>
        <w:t>测定方法原理</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将碱性溶液与肥料样品充分混合，分离蛔虫卵，然后用密度较蛔虫卵密度大的溶液为漂浮液，使蛔虫卵漂浮在溶液的表面，从而收集检验。</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val="en-US" w:eastAsia="zh-CN"/>
        </w:rPr>
        <w:t>2、</w:t>
      </w:r>
      <w:r>
        <w:t>试验方法</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eastAsia="zh-CN"/>
        </w:rPr>
        <w:t>（</w:t>
      </w:r>
      <w:r>
        <w:rPr>
          <w:rFonts w:hint="eastAsia"/>
          <w:lang w:val="en-US" w:eastAsia="zh-CN"/>
        </w:rPr>
        <w:t>1</w:t>
      </w:r>
      <w:r>
        <w:rPr>
          <w:rFonts w:hint="eastAsia"/>
          <w:lang w:eastAsia="zh-CN"/>
        </w:rPr>
        <w:t>）</w:t>
      </w:r>
      <w:r>
        <w:rPr>
          <w:rFonts w:hint="eastAsia"/>
        </w:rPr>
        <w:t>蛔虫卵分离</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称取</w:t>
      </w:r>
      <w:r>
        <w:t>5.0～10.0g样品（颗粒较大的样品应先进行研磨），放于容量为50mL</w:t>
      </w:r>
      <w:r>
        <w:rPr>
          <w:rFonts w:hint="eastAsia"/>
        </w:rPr>
        <w:t>离心管中，注入</w:t>
      </w:r>
      <w:r>
        <w:t>NaOH溶液25～30mL,另加玻璃珠约10粒，用橡皮塞塞紧管口，</w:t>
      </w:r>
      <w:r>
        <w:rPr>
          <w:rFonts w:hint="eastAsia"/>
        </w:rPr>
        <w:t>放置在振荡器上，静置</w:t>
      </w:r>
      <w:r>
        <w:t>30min后，以200～300r/min频率振荡10～15min。振</w:t>
      </w:r>
      <w:r>
        <w:rPr>
          <w:rFonts w:hint="eastAsia"/>
        </w:rPr>
        <w:t>荡完毕，取下离心管上的橡皮塞，用玻璃棒将离心管中的样品充分搅匀，再次用橡皮塞塞紧管口，静置</w:t>
      </w:r>
      <w:r>
        <w:t>15～30min后，振荡10～15min。</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eastAsia="zh-CN"/>
        </w:rPr>
        <w:t>（</w:t>
      </w:r>
      <w:r>
        <w:rPr>
          <w:rFonts w:hint="eastAsia"/>
          <w:lang w:val="en-US" w:eastAsia="zh-CN"/>
        </w:rPr>
        <w:t>2</w:t>
      </w:r>
      <w:r>
        <w:rPr>
          <w:rFonts w:hint="eastAsia"/>
          <w:lang w:eastAsia="zh-CN"/>
        </w:rPr>
        <w:t>）</w:t>
      </w:r>
      <w:r>
        <w:rPr>
          <w:rFonts w:hint="eastAsia"/>
        </w:rPr>
        <w:t>离心沉淀</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从振荡器上取下离心管，拔掉橡皮塞，用滴管吸取蒸馏水，将附着于橡皮塞上和管口内壁的样品冲入管中，以～</w:t>
      </w:r>
      <w:r>
        <w:t>2500r/min速度离心3～5min后，弃去</w:t>
      </w:r>
      <w:r>
        <w:rPr>
          <w:rFonts w:hint="eastAsia"/>
        </w:rPr>
        <w:t>上清液。然后加适量蒸馏水，并用玻璃棒将沉淀物搅起，按上述方法重复洗涤三次。</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eastAsia="zh-CN"/>
        </w:rPr>
        <w:t>（</w:t>
      </w:r>
      <w:r>
        <w:rPr>
          <w:rFonts w:hint="eastAsia"/>
          <w:lang w:val="en-US" w:eastAsia="zh-CN"/>
        </w:rPr>
        <w:t>3</w:t>
      </w:r>
      <w:r>
        <w:rPr>
          <w:rFonts w:hint="eastAsia"/>
          <w:lang w:eastAsia="zh-CN"/>
        </w:rPr>
        <w:t>）</w:t>
      </w:r>
      <w:r>
        <w:rPr>
          <w:rFonts w:hint="eastAsia"/>
        </w:rPr>
        <w:t>离心漂浮</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往离心管中加入少量饱和</w:t>
      </w:r>
      <w:r>
        <w:t>NaNO3溶液，用玻璃棒将沉淀物搅成糊状后，再</w:t>
      </w:r>
      <w:r>
        <w:rPr>
          <w:rFonts w:hint="eastAsia"/>
        </w:rPr>
        <w:t>徐徐添加饱和</w:t>
      </w:r>
      <w:r>
        <w:t>NaNO3溶液，随加随搅，直加到离管口约1cm为止，用饱和NaNO3</w:t>
      </w:r>
      <w:r>
        <w:rPr>
          <w:rFonts w:hint="eastAsia"/>
        </w:rPr>
        <w:t>溶液冲洗玻璃棒，洗液并入离心管中，以～</w:t>
      </w:r>
      <w:r>
        <w:t>2500r/min速度离心3～5min。</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用金属丝圈不断将离心管表层液膜移于盛有半杯蒸馏水的烧杯中，约</w:t>
      </w:r>
      <w:r>
        <w:t>30次</w:t>
      </w:r>
      <w:r>
        <w:rPr>
          <w:rFonts w:hint="eastAsia"/>
        </w:rPr>
        <w:t>后，适当增加一些饱和</w:t>
      </w:r>
      <w:r>
        <w:t>NaNO3溶液于离心管中，再次搅拌、离心及移置液膜，</w:t>
      </w:r>
      <w:r>
        <w:rPr>
          <w:rFonts w:hint="eastAsia"/>
        </w:rPr>
        <w:t>如此重复操作３～４次，直到液膜涂片观察不到蛔虫卵为止。</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eastAsia="zh-CN"/>
        </w:rPr>
        <w:t>（</w:t>
      </w:r>
      <w:r>
        <w:rPr>
          <w:rFonts w:hint="eastAsia"/>
          <w:lang w:val="en-US" w:eastAsia="zh-CN"/>
        </w:rPr>
        <w:t>4</w:t>
      </w:r>
      <w:r>
        <w:rPr>
          <w:rFonts w:hint="eastAsia"/>
          <w:lang w:eastAsia="zh-CN"/>
        </w:rPr>
        <w:t>）</w:t>
      </w:r>
      <w:r>
        <w:rPr>
          <w:rFonts w:hint="eastAsia"/>
        </w:rPr>
        <w:t>抽滤镜检</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将烧杯中混合悬液，经过覆以微孔火棉胶滤膜的高尔特曼氏漏斗抽滤。若混合悬液的浑浊度大，可更换滤膜。</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抽滤完毕，用弯头镊子将滤膜从漏斗的滤台上小心取下，置于载玻片上，滴加二、三滴甘油溶液，于低倍显微镜下对整张滤膜进行观察和蛔虫卵计数。</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当观察有蛔虫卵时，将含有蛔虫卵的滤膜进行培养。</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eastAsia="zh-CN"/>
        </w:rPr>
        <w:t>（</w:t>
      </w:r>
      <w:r>
        <w:rPr>
          <w:rFonts w:hint="eastAsia"/>
          <w:lang w:val="en-US" w:eastAsia="zh-CN"/>
        </w:rPr>
        <w:t>5</w:t>
      </w:r>
      <w:r>
        <w:rPr>
          <w:rFonts w:hint="eastAsia"/>
          <w:lang w:eastAsia="zh-CN"/>
        </w:rPr>
        <w:t>）</w:t>
      </w:r>
      <w:r>
        <w:rPr>
          <w:rFonts w:hint="eastAsia"/>
        </w:rPr>
        <w:t>培养</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在培养皿的底部平铺一层厚约</w:t>
      </w:r>
      <w:r>
        <w:t>1cm的脱脂棉，脱脂棉上铺一张直径与培养</w:t>
      </w:r>
      <w:r>
        <w:rPr>
          <w:rFonts w:hint="eastAsia"/>
        </w:rPr>
        <w:t>皿相适的普通滤纸。为防止霉菌和原生动物的繁殖，可加入甲醛溶液或甲醛生理盐水，以浸透滤纸和脱脂棉为宜。</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将含蛔虫卵的滤膜平铺在滤纸上，培养皿加盖后置于恒温培养箱中，在</w:t>
      </w:r>
      <w:r>
        <w:t>28℃～30℃条件下培养，培养过程中经常滴加蒸馏水或甲醛溶液，使滤膜保持</w:t>
      </w:r>
      <w:r>
        <w:rPr>
          <w:rFonts w:hint="eastAsia"/>
        </w:rPr>
        <w:t>潮湿状态。</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eastAsia="zh-CN"/>
        </w:rPr>
        <w:t>（</w:t>
      </w:r>
      <w:r>
        <w:rPr>
          <w:rFonts w:hint="eastAsia"/>
          <w:lang w:val="en-US" w:eastAsia="zh-CN"/>
        </w:rPr>
        <w:t>6</w:t>
      </w:r>
      <w:r>
        <w:rPr>
          <w:rFonts w:hint="eastAsia"/>
          <w:lang w:eastAsia="zh-CN"/>
        </w:rPr>
        <w:t>）</w:t>
      </w:r>
      <w:r>
        <w:rPr>
          <w:rFonts w:hint="eastAsia"/>
        </w:rPr>
        <w:t>镜检</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培养</w:t>
      </w:r>
      <w:r>
        <w:t>10～15d，自培养皿中取出滤膜置于载玻片上，滴加甘油溶液，使其</w:t>
      </w:r>
      <w:r>
        <w:rPr>
          <w:rFonts w:hint="eastAsia"/>
        </w:rPr>
        <w:t>透明后，在低倍镜下查找蛔虫卵，然后在高倍镜下根据形态，鉴定卵的死活，并加以计数。镜检时若感觉视野的亮度和膜的透明度不够，可在载玻片上滴一滴蒸馏水，用盖玻片从滤膜上刮下少许含卵滤渣，与水混合均匀，盖上盖玻片进行镜检。</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eastAsia="zh-CN"/>
        </w:rPr>
        <w:t>（</w:t>
      </w:r>
      <w:r>
        <w:rPr>
          <w:rFonts w:hint="eastAsia"/>
          <w:lang w:val="en-US" w:eastAsia="zh-CN"/>
        </w:rPr>
        <w:t>7</w:t>
      </w:r>
      <w:r>
        <w:rPr>
          <w:rFonts w:hint="eastAsia"/>
          <w:lang w:eastAsia="zh-CN"/>
        </w:rPr>
        <w:t>）</w:t>
      </w:r>
      <w:r>
        <w:rPr>
          <w:rFonts w:hint="eastAsia"/>
        </w:rPr>
        <w:t>判定</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凡含有幼虫的，都认为是活卵，未孵化或单细胞的都判为死卵。</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eastAsia="zh-CN"/>
        </w:rPr>
        <w:t>（</w:t>
      </w:r>
      <w:r>
        <w:rPr>
          <w:rFonts w:hint="eastAsia"/>
          <w:lang w:val="en-US" w:eastAsia="zh-CN"/>
        </w:rPr>
        <w:t>8</w:t>
      </w:r>
      <w:r>
        <w:rPr>
          <w:rFonts w:hint="eastAsia"/>
          <w:lang w:eastAsia="zh-CN"/>
        </w:rPr>
        <w:t>）</w:t>
      </w:r>
      <w:r>
        <w:rPr>
          <w:rFonts w:hint="eastAsia"/>
        </w:rPr>
        <w:t>结果计算</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K=100</w:t>
      </w:r>
      <w:r>
        <w:rPr>
          <w:rFonts w:hint="eastAsia"/>
          <w:lang w:eastAsia="zh-CN"/>
        </w:rPr>
        <w:t>（</w:t>
      </w:r>
      <w:r>
        <w:t>N1-N2</w:t>
      </w:r>
      <w:r>
        <w:rPr>
          <w:rFonts w:hint="eastAsia"/>
          <w:lang w:eastAsia="zh-CN"/>
        </w:rPr>
        <w:t>）</w:t>
      </w:r>
      <w:r>
        <w:t>/N1</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式中：</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K—蛔虫卵死亡率（%）</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N1—镜检总卵数</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N2—培养后镜检活卵数</w:t>
      </w:r>
    </w:p>
    <w:p>
      <w:pPr>
        <w:keepNext w:val="0"/>
        <w:keepLines w:val="0"/>
        <w:pageBreakBefore w:val="0"/>
        <w:kinsoku/>
        <w:wordWrap/>
        <w:overflowPunct/>
        <w:topLinePunct w:val="0"/>
        <w:autoSpaceDE/>
        <w:autoSpaceDN/>
        <w:bidi w:val="0"/>
        <w:adjustRightInd w:val="0"/>
        <w:snapToGrid w:val="0"/>
        <w:spacing w:line="480" w:lineRule="auto"/>
        <w:ind w:left="0" w:leftChars="0" w:firstLine="562" w:firstLineChars="200"/>
        <w:textAlignment w:val="auto"/>
        <w:rPr>
          <w:b/>
          <w:bCs/>
        </w:rPr>
      </w:pPr>
      <w:r>
        <w:rPr>
          <w:rFonts w:hint="eastAsia"/>
          <w:b/>
          <w:bCs/>
          <w:lang w:eastAsia="zh-CN"/>
        </w:rPr>
        <w:t>（</w:t>
      </w:r>
      <w:r>
        <w:rPr>
          <w:rFonts w:hint="eastAsia"/>
          <w:b/>
          <w:bCs/>
          <w:lang w:val="en-US" w:eastAsia="zh-CN"/>
        </w:rPr>
        <w:t>七</w:t>
      </w:r>
      <w:r>
        <w:rPr>
          <w:rFonts w:hint="eastAsia"/>
          <w:b/>
          <w:bCs/>
          <w:lang w:eastAsia="zh-CN"/>
        </w:rPr>
        <w:t>）</w:t>
      </w:r>
      <w:r>
        <w:rPr>
          <w:b/>
          <w:bCs/>
        </w:rPr>
        <w:t>总氮的测定</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val="en-US" w:eastAsia="zh-CN"/>
        </w:rPr>
        <w:t>1、</w:t>
      </w:r>
      <w:r>
        <w:t>方法原理</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有机肥中的有机氮经过硫酸</w:t>
      </w:r>
      <w:r>
        <w:t>-过氧化氢消煮，转化为铵态氮。碱化后蒸馏出</w:t>
      </w:r>
      <w:r>
        <w:rPr>
          <w:rFonts w:hint="eastAsia"/>
        </w:rPr>
        <w:t>来的氨用硼酸溶液吸收，以标准酸溶液滴定，计算样品中总氮含量。</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val="en-US" w:eastAsia="zh-CN"/>
        </w:rPr>
        <w:t>2、</w:t>
      </w:r>
      <w:r>
        <w:t>试剂</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密度</w:t>
      </w:r>
      <w:r>
        <w:t>1.84的硫酸，30%过氧化氢，40%氢氧化钠溶液，2%硼酸溶液，</w:t>
      </w:r>
      <w:r>
        <w:rPr>
          <w:rFonts w:hint="eastAsia"/>
        </w:rPr>
        <w:t>定氮混合指示剂（</w:t>
      </w:r>
      <w:r>
        <w:t>0.5g溴甲酚绿和0.1g甲基红溶液100ml的95%的乙醇中），</w:t>
      </w:r>
      <w:r>
        <w:rPr>
          <w:rFonts w:hint="eastAsia"/>
        </w:rPr>
        <w:t>硼酸</w:t>
      </w:r>
      <w:r>
        <w:t>-指示剂混合液：每升2%硼酸溶液加入20ml定氮混合指示剂，并用稀</w:t>
      </w:r>
      <w:r>
        <w:rPr>
          <w:rFonts w:hint="eastAsia"/>
        </w:rPr>
        <w:t>碱或稀酸调至红紫色（</w:t>
      </w:r>
      <w:r>
        <w:t>PH约4.5）。此溶液放置时间不宜过长，如在使用过程中PH有变化，需随时用稀碱或稀酸调节。</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硫酸（</w:t>
      </w:r>
      <w:r>
        <w:t>0.025mol/L）或盐酸（0.05mol/L）标准溶液</w:t>
      </w:r>
      <w:r>
        <w:rPr>
          <w:rFonts w:hint="eastAsia"/>
        </w:rPr>
        <w:t>。</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val="en-US" w:eastAsia="zh-CN"/>
        </w:rPr>
        <w:t>3、</w:t>
      </w:r>
      <w:r>
        <w:t>步骤</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eastAsia="zh-CN"/>
        </w:rPr>
        <w:t>（</w:t>
      </w:r>
      <w:r>
        <w:rPr>
          <w:rFonts w:hint="eastAsia"/>
          <w:lang w:val="en-US" w:eastAsia="zh-CN"/>
        </w:rPr>
        <w:t>1</w:t>
      </w:r>
      <w:r>
        <w:rPr>
          <w:rFonts w:hint="eastAsia"/>
          <w:lang w:eastAsia="zh-CN"/>
        </w:rPr>
        <w:t>）</w:t>
      </w:r>
      <w:r>
        <w:rPr>
          <w:rFonts w:hint="eastAsia"/>
        </w:rPr>
        <w:t>试样溶液制备</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称取过筛的风干试样</w:t>
      </w:r>
      <w:r>
        <w:t>0.5-1g，置于凯氏烧瓶底部，用少量水冲洗沾附在瓶</w:t>
      </w:r>
      <w:r>
        <w:rPr>
          <w:rFonts w:hint="eastAsia"/>
        </w:rPr>
        <w:t>壁上的试样，加</w:t>
      </w:r>
      <w:r>
        <w:t>5ml硫酸和1.5ml过氧化氢，小心摇匀，瓶口放一弯劲小漏斗，</w:t>
      </w:r>
      <w:r>
        <w:rPr>
          <w:rFonts w:hint="eastAsia"/>
        </w:rPr>
        <w:t>放置过夜。在可调电炉上缓慢升温至硫酸冒烟，取下，稍冷加</w:t>
      </w:r>
      <w:r>
        <w:t>15滴过氧化氢，</w:t>
      </w:r>
      <w:r>
        <w:rPr>
          <w:rFonts w:hint="eastAsia"/>
        </w:rPr>
        <w:t>轻轻摇动凯斯烧瓶继续加热</w:t>
      </w:r>
      <w:r>
        <w:t>10min，除尽剩余的过氧化氢。取下稍冷，小心加水</w:t>
      </w:r>
      <w:r>
        <w:rPr>
          <w:rFonts w:hint="eastAsia"/>
        </w:rPr>
        <w:t>至</w:t>
      </w:r>
      <w:r>
        <w:t>20-30ml，加热至沸。取下冷却，用少量水冲洗弯劲小漏斗，洗液收入原凯斯</w:t>
      </w:r>
      <w:r>
        <w:rPr>
          <w:rFonts w:hint="eastAsia"/>
        </w:rPr>
        <w:t>烧瓶中。将消煮液移入</w:t>
      </w:r>
      <w:r>
        <w:t>100ml容量瓶中，加水定容，静置澄清或用无磷滤纸干</w:t>
      </w:r>
      <w:r>
        <w:rPr>
          <w:rFonts w:hint="eastAsia"/>
        </w:rPr>
        <w:t>过滤到具塞三角瓶中，备用。</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eastAsia="zh-CN"/>
        </w:rPr>
        <w:t>（</w:t>
      </w:r>
      <w:r>
        <w:rPr>
          <w:rFonts w:hint="eastAsia"/>
          <w:lang w:val="en-US" w:eastAsia="zh-CN"/>
        </w:rPr>
        <w:t>2</w:t>
      </w:r>
      <w:r>
        <w:rPr>
          <w:rFonts w:hint="eastAsia"/>
          <w:lang w:eastAsia="zh-CN"/>
        </w:rPr>
        <w:t>）</w:t>
      </w:r>
      <w:r>
        <w:rPr>
          <w:rFonts w:hint="eastAsia"/>
        </w:rPr>
        <w:t>空白试样</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除不加试样外，试剂用量和操作同上步骤。</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eastAsia="zh-CN"/>
        </w:rPr>
        <w:t>（</w:t>
      </w:r>
      <w:r>
        <w:rPr>
          <w:rFonts w:hint="eastAsia"/>
          <w:lang w:val="en-US" w:eastAsia="zh-CN"/>
        </w:rPr>
        <w:t>3</w:t>
      </w:r>
      <w:r>
        <w:rPr>
          <w:rFonts w:hint="eastAsia"/>
          <w:lang w:eastAsia="zh-CN"/>
        </w:rPr>
        <w:t>）</w:t>
      </w:r>
      <w:r>
        <w:rPr>
          <w:rFonts w:hint="eastAsia"/>
        </w:rPr>
        <w:t>测定</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蒸馏前检查蒸馏装置是否漏气，并进行空蒸馏清洗管道。</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吸取消煮清液</w:t>
      </w:r>
      <w:r>
        <w:t>50ml于蒸馏瓶内，加入200ml水。于250ml三角瓶加入10ml硼</w:t>
      </w:r>
      <w:r>
        <w:rPr>
          <w:rFonts w:hint="eastAsia"/>
        </w:rPr>
        <w:t>酸</w:t>
      </w:r>
      <w:r>
        <w:t>-指示剂混合液承接于冷凝管下端，管口插入硼酸液面中。由筒型漏斗像蒸馏</w:t>
      </w:r>
      <w:r>
        <w:rPr>
          <w:rFonts w:hint="eastAsia"/>
        </w:rPr>
        <w:t>瓶内缓慢加入</w:t>
      </w:r>
      <w:r>
        <w:t>15ml氢氧化钠溶液，关好活塞。加热蒸馏，待蒸馏出体积约100ml，</w:t>
      </w:r>
      <w:r>
        <w:rPr>
          <w:rFonts w:hint="eastAsia"/>
        </w:rPr>
        <w:t>即可停止蒸馏。</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用硫酸标准溶液或盐酸标准溶液滴定溜出液，由蓝色刚变至紫红色为终点，记录消耗酸标准溶液的体积。空白测定所消耗标准液的体积不得超过</w:t>
      </w:r>
      <w:r>
        <w:t>01.ml，否</w:t>
      </w:r>
      <w:r>
        <w:rPr>
          <w:rFonts w:hint="eastAsia"/>
        </w:rPr>
        <w:t>则应重新测定。</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eastAsia="zh-CN"/>
        </w:rPr>
        <w:t>（</w:t>
      </w:r>
      <w:r>
        <w:rPr>
          <w:rFonts w:hint="eastAsia"/>
          <w:lang w:val="en-US" w:eastAsia="zh-CN"/>
        </w:rPr>
        <w:t>4</w:t>
      </w:r>
      <w:r>
        <w:rPr>
          <w:rFonts w:hint="eastAsia"/>
          <w:lang w:eastAsia="zh-CN"/>
        </w:rPr>
        <w:t>）</w:t>
      </w:r>
      <w:r>
        <w:rPr>
          <w:rFonts w:hint="eastAsia"/>
        </w:rPr>
        <w:t>分析结果</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肥料中总氮含量以肥料的质量分数表示</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rPr>
          <w:rFonts w:hint="eastAsia" w:eastAsia="宋体"/>
          <w:lang w:eastAsia="zh-CN"/>
        </w:rPr>
      </w:pPr>
      <w:r>
        <w:t>N</w:t>
      </w:r>
      <w:r>
        <w:rPr>
          <w:rFonts w:hint="eastAsia"/>
          <w:lang w:eastAsia="zh-CN"/>
        </w:rPr>
        <w:t>（</w:t>
      </w:r>
      <w:r>
        <w:t>%</w:t>
      </w:r>
      <w:r>
        <w:rPr>
          <w:rFonts w:hint="eastAsia"/>
          <w:lang w:eastAsia="zh-CN"/>
        </w:rPr>
        <w:t>）</w:t>
      </w:r>
      <w:r>
        <w:t>=C</w:t>
      </w:r>
      <w:r>
        <w:rPr>
          <w:rFonts w:hint="eastAsia"/>
          <w:lang w:eastAsia="zh-CN"/>
        </w:rPr>
        <w:t>（</w:t>
      </w:r>
      <w:r>
        <w:t>V-V0</w:t>
      </w:r>
      <w:r>
        <w:rPr>
          <w:rFonts w:hint="eastAsia"/>
          <w:lang w:eastAsia="zh-CN"/>
        </w:rPr>
        <w:t>）</w:t>
      </w:r>
      <w:r>
        <w:t>*0.014*D*100/</w:t>
      </w:r>
      <w:r>
        <w:rPr>
          <w:rFonts w:hint="eastAsia"/>
          <w:lang w:eastAsia="zh-CN"/>
        </w:rPr>
        <w:t>（</w:t>
      </w:r>
      <w:r>
        <w:t>m</w:t>
      </w:r>
      <w:r>
        <w:rPr>
          <w:rFonts w:hint="eastAsia"/>
          <w:lang w:eastAsia="zh-CN"/>
        </w:rPr>
        <w:t>（</w:t>
      </w:r>
      <w:r>
        <w:t>1-x0</w:t>
      </w:r>
      <w:r>
        <w:rPr>
          <w:rFonts w:hint="eastAsia"/>
          <w:lang w:eastAsia="zh-CN"/>
        </w:rPr>
        <w:t>））</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式中：</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c——————标定标准溶液的摩尔浓度，单位为摩尔每升；</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v0——————空白试验时，消耗标定标准溶液的体积，单位为毫升；</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v———————样品测定时，消耗标定标准溶液的体积，单位为毫升；</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0.014——————氮的摩尔质量除以1000；</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M——————风干样品质量，单位为g</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X0——————风干样含水量</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D——————分取倍数，定容体积/分取体积，100/50;</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所得结果应表示至两位小数。</w:t>
      </w:r>
    </w:p>
    <w:p>
      <w:pPr>
        <w:keepNext w:val="0"/>
        <w:keepLines w:val="0"/>
        <w:pageBreakBefore w:val="0"/>
        <w:kinsoku/>
        <w:wordWrap/>
        <w:overflowPunct/>
        <w:topLinePunct w:val="0"/>
        <w:autoSpaceDE/>
        <w:autoSpaceDN/>
        <w:bidi w:val="0"/>
        <w:adjustRightInd w:val="0"/>
        <w:snapToGrid w:val="0"/>
        <w:spacing w:line="480" w:lineRule="auto"/>
        <w:ind w:left="0" w:leftChars="0" w:firstLine="562" w:firstLineChars="200"/>
        <w:textAlignment w:val="auto"/>
        <w:rPr>
          <w:b/>
          <w:bCs/>
        </w:rPr>
      </w:pPr>
      <w:r>
        <w:rPr>
          <w:rFonts w:hint="eastAsia"/>
          <w:b/>
          <w:bCs/>
          <w:lang w:eastAsia="zh-CN"/>
        </w:rPr>
        <w:t>（</w:t>
      </w:r>
      <w:r>
        <w:rPr>
          <w:rFonts w:hint="eastAsia"/>
          <w:b/>
          <w:bCs/>
          <w:lang w:val="en-US" w:eastAsia="zh-CN"/>
        </w:rPr>
        <w:t>八</w:t>
      </w:r>
      <w:r>
        <w:rPr>
          <w:rFonts w:hint="eastAsia"/>
          <w:b/>
          <w:bCs/>
          <w:lang w:eastAsia="zh-CN"/>
        </w:rPr>
        <w:t>）</w:t>
      </w:r>
      <w:r>
        <w:rPr>
          <w:b/>
          <w:bCs/>
        </w:rPr>
        <w:t>磷含量测定</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val="en-US" w:eastAsia="zh-CN"/>
        </w:rPr>
        <w:t>1、</w:t>
      </w:r>
      <w:r>
        <w:t>方法原理</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有机肥试样采用硫酸和过氧化氢消煮，在一定酸度下，待测液中的硫酸根离子与偏钒酸和钼酸反应生成黄色三元杂多酸。在一定浓度范围内，黄色溶液的吸光度与磷含量成正比例关系，用分光光度法测定磷含量。</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val="en-US" w:eastAsia="zh-CN"/>
        </w:rPr>
        <w:t>2、</w:t>
      </w:r>
      <w:r>
        <w:t>试剂</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硫密度</w:t>
      </w:r>
      <w:r>
        <w:t>1.84的硫酸</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硝酸</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资料仅供参考</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30%过氧化氢</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钒钼酸铵试剂：</w:t>
      </w:r>
      <w:r>
        <w:t>A液（称取25g钼酸铵溶液400ml水中）；B液（称取1.25g</w:t>
      </w:r>
      <w:r>
        <w:rPr>
          <w:rFonts w:hint="eastAsia"/>
        </w:rPr>
        <w:t>偏钒酸铵溶液</w:t>
      </w:r>
      <w:r>
        <w:t>300ml沸水中，冷却后加250ml硝酸），冷却。在搅拌下将A液缓</w:t>
      </w:r>
      <w:r>
        <w:rPr>
          <w:rFonts w:hint="eastAsia"/>
        </w:rPr>
        <w:t>慢注入</w:t>
      </w:r>
      <w:r>
        <w:t>B液中，用水稀释至1L混匀，储于棕色瓶中。</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氢氧化钠溶液：质量分数为百分之十。</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硫酸：体积分数为</w:t>
      </w:r>
      <w:r>
        <w:t>5%</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磷标准溶液：</w:t>
      </w:r>
      <w:r>
        <w:t>50ug/ml</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2，4-二硝基酚指示剂，质量浓度为0.2%的溶液。</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val="en-US" w:eastAsia="zh-CN"/>
        </w:rPr>
        <w:t>3、</w:t>
      </w:r>
      <w:r>
        <w:t>步骤</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eastAsia="zh-CN"/>
        </w:rPr>
        <w:t>（</w:t>
      </w:r>
      <w:r>
        <w:rPr>
          <w:rFonts w:hint="eastAsia"/>
          <w:lang w:val="en-US" w:eastAsia="zh-CN"/>
        </w:rPr>
        <w:t>1</w:t>
      </w:r>
      <w:r>
        <w:rPr>
          <w:rFonts w:hint="eastAsia"/>
          <w:lang w:eastAsia="zh-CN"/>
        </w:rPr>
        <w:t>）</w:t>
      </w:r>
      <w:r>
        <w:rPr>
          <w:rFonts w:hint="eastAsia"/>
        </w:rPr>
        <w:t>试样溶液制备</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与测总</w:t>
      </w:r>
      <w:r>
        <w:t>N含量的制备方法相同。</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eastAsia="zh-CN"/>
        </w:rPr>
        <w:t>（</w:t>
      </w:r>
      <w:r>
        <w:rPr>
          <w:rFonts w:hint="eastAsia"/>
          <w:lang w:val="en-US" w:eastAsia="zh-CN"/>
        </w:rPr>
        <w:t>2</w:t>
      </w:r>
      <w:r>
        <w:rPr>
          <w:rFonts w:hint="eastAsia"/>
          <w:lang w:eastAsia="zh-CN"/>
        </w:rPr>
        <w:t>）</w:t>
      </w:r>
      <w:r>
        <w:rPr>
          <w:rFonts w:hint="eastAsia"/>
        </w:rPr>
        <w:t>空白溶液制备</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除不加试样外，应用的试样和操作同上步。</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eastAsia="zh-CN"/>
        </w:rPr>
        <w:t>（</w:t>
      </w:r>
      <w:r>
        <w:rPr>
          <w:rFonts w:hint="eastAsia"/>
          <w:lang w:val="en-US" w:eastAsia="zh-CN"/>
        </w:rPr>
        <w:t>3</w:t>
      </w:r>
      <w:r>
        <w:rPr>
          <w:rFonts w:hint="eastAsia"/>
          <w:lang w:eastAsia="zh-CN"/>
        </w:rPr>
        <w:t>）</w:t>
      </w:r>
      <w:r>
        <w:rPr>
          <w:rFonts w:hint="eastAsia"/>
        </w:rPr>
        <w:t>测定</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吸取</w:t>
      </w:r>
      <w:r>
        <w:t>5ml-10ml试样溶液，于50ml容量瓶中，加水至30ml左右，与标准溶</w:t>
      </w:r>
      <w:r>
        <w:rPr>
          <w:rFonts w:hint="eastAsia"/>
        </w:rPr>
        <w:t>液系列同条件显色，比色，读取吸光度。</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eastAsia="zh-CN"/>
        </w:rPr>
        <w:t>（</w:t>
      </w:r>
      <w:r>
        <w:rPr>
          <w:rFonts w:hint="eastAsia"/>
          <w:lang w:val="en-US" w:eastAsia="zh-CN"/>
        </w:rPr>
        <w:t>4</w:t>
      </w:r>
      <w:r>
        <w:rPr>
          <w:rFonts w:hint="eastAsia"/>
          <w:lang w:eastAsia="zh-CN"/>
        </w:rPr>
        <w:t>）</w:t>
      </w:r>
      <w:r>
        <w:rPr>
          <w:rFonts w:hint="eastAsia"/>
        </w:rPr>
        <w:t>标准曲线绘制</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吸取磷标准溶液</w:t>
      </w:r>
      <w:r>
        <w:t>0,1,2.5,5,7.5,10,15ml，分别置于七个50ml容量瓶中，</w:t>
      </w:r>
      <w:r>
        <w:rPr>
          <w:rFonts w:hint="eastAsia"/>
        </w:rPr>
        <w:t>加入与吸取试样溶液等体积的空白溶液，加水至</w:t>
      </w:r>
      <w:r>
        <w:t>30ml左右，加2滴2,4-二硝基</w:t>
      </w:r>
      <w:r>
        <w:rPr>
          <w:rFonts w:hint="eastAsia"/>
        </w:rPr>
        <w:t>酚指示剂溶液和硫酸溶液调节溶液刚呈微黄色，加</w:t>
      </w:r>
      <w:r>
        <w:t>10ml钒钼酸铵试剂，摇匀，</w:t>
      </w:r>
      <w:r>
        <w:rPr>
          <w:rFonts w:hint="eastAsia"/>
        </w:rPr>
        <w:t>用水定容。此溶液为</w:t>
      </w:r>
      <w:r>
        <w:t>1ml含磷0,1,2.5,5，7.5,10,15ug的标准溶液。在室温下</w:t>
      </w:r>
      <w:r>
        <w:rPr>
          <w:rFonts w:hint="eastAsia"/>
        </w:rPr>
        <w:t>放置</w:t>
      </w:r>
      <w:r>
        <w:t>20min后，在分光光度计波长440nm用1cm光径比色皿，以空白溶液调节</w:t>
      </w:r>
      <w:r>
        <w:rPr>
          <w:rFonts w:hint="eastAsia"/>
        </w:rPr>
        <w:t>仪器零点，进行比色，读取吸光度。根据浓度和吸光度绘制标准曲线或求出直线回归方程。</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eastAsia="zh-CN"/>
        </w:rPr>
        <w:t>（</w:t>
      </w:r>
      <w:r>
        <w:rPr>
          <w:rFonts w:hint="eastAsia"/>
          <w:lang w:val="en-US" w:eastAsia="zh-CN"/>
        </w:rPr>
        <w:t>5</w:t>
      </w:r>
      <w:r>
        <w:rPr>
          <w:rFonts w:hint="eastAsia"/>
          <w:lang w:eastAsia="zh-CN"/>
        </w:rPr>
        <w:t>）</w:t>
      </w:r>
      <w:r>
        <w:rPr>
          <w:rFonts w:hint="eastAsia"/>
        </w:rPr>
        <w:t>分析结果</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肥料中的磷含量的质量分数，按下式计算</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rPr>
          <w:rFonts w:hint="eastAsia" w:eastAsia="宋体"/>
          <w:lang w:eastAsia="zh-CN"/>
        </w:rPr>
      </w:pPr>
      <w:r>
        <w:t>P2O5</w:t>
      </w:r>
      <w:r>
        <w:rPr>
          <w:rFonts w:hint="eastAsia"/>
          <w:lang w:eastAsia="zh-CN"/>
        </w:rPr>
        <w:t>（</w:t>
      </w:r>
      <w:r>
        <w:t>%</w:t>
      </w:r>
      <w:r>
        <w:rPr>
          <w:rFonts w:hint="eastAsia"/>
          <w:lang w:eastAsia="zh-CN"/>
        </w:rPr>
        <w:t>）</w:t>
      </w:r>
      <w:r>
        <w:t>=C2*V3*D*2.29*0.0001/</w:t>
      </w:r>
      <w:r>
        <w:rPr>
          <w:rFonts w:hint="eastAsia"/>
          <w:lang w:eastAsia="zh-CN"/>
        </w:rPr>
        <w:t>（</w:t>
      </w:r>
      <w:r>
        <w:t>m</w:t>
      </w:r>
      <w:r>
        <w:rPr>
          <w:rFonts w:hint="eastAsia"/>
          <w:lang w:eastAsia="zh-CN"/>
        </w:rPr>
        <w:t>（</w:t>
      </w:r>
      <w:r>
        <w:t>1-x0</w:t>
      </w:r>
      <w:r>
        <w:rPr>
          <w:rFonts w:hint="eastAsia"/>
          <w:lang w:eastAsia="zh-CN"/>
        </w:rPr>
        <w:t>））</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式中：</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C2——————由标准曲线查得或由回归方程求得显色液磷浓度，单位为微克</w:t>
      </w:r>
      <w:r>
        <w:rPr>
          <w:rFonts w:hint="eastAsia"/>
        </w:rPr>
        <w:t>每毫升；</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V2——————显色体积，50毫升。</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D——————分取倍数，定容体积/分取体积，100/5或100/10。</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M——————风干样质量，单位为g</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X0——————风干样含水量</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2.29——————将磷换算成五氧化二磷的因素</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0.0001——————将ug/g换算成质量分数的因素。</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所得结果保留两位小数。</w:t>
      </w:r>
    </w:p>
    <w:p>
      <w:pPr>
        <w:keepNext w:val="0"/>
        <w:keepLines w:val="0"/>
        <w:pageBreakBefore w:val="0"/>
        <w:kinsoku/>
        <w:wordWrap/>
        <w:overflowPunct/>
        <w:topLinePunct w:val="0"/>
        <w:autoSpaceDE/>
        <w:autoSpaceDN/>
        <w:bidi w:val="0"/>
        <w:adjustRightInd w:val="0"/>
        <w:snapToGrid w:val="0"/>
        <w:spacing w:line="480" w:lineRule="auto"/>
        <w:ind w:left="0" w:leftChars="0" w:firstLine="562" w:firstLineChars="200"/>
        <w:textAlignment w:val="auto"/>
        <w:rPr>
          <w:b/>
          <w:bCs/>
        </w:rPr>
      </w:pPr>
      <w:r>
        <w:rPr>
          <w:rFonts w:hint="eastAsia"/>
          <w:b/>
          <w:bCs/>
          <w:lang w:eastAsia="zh-CN"/>
        </w:rPr>
        <w:t>（</w:t>
      </w:r>
      <w:r>
        <w:rPr>
          <w:rFonts w:hint="eastAsia"/>
          <w:b/>
          <w:bCs/>
          <w:lang w:val="en-US" w:eastAsia="zh-CN"/>
        </w:rPr>
        <w:t>九</w:t>
      </w:r>
      <w:r>
        <w:rPr>
          <w:rFonts w:hint="eastAsia"/>
          <w:b/>
          <w:bCs/>
          <w:lang w:eastAsia="zh-CN"/>
        </w:rPr>
        <w:t>）</w:t>
      </w:r>
      <w:r>
        <w:rPr>
          <w:b/>
          <w:bCs/>
        </w:rPr>
        <w:t>钾含量测定</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val="en-US" w:eastAsia="zh-CN"/>
        </w:rPr>
        <w:t>1、</w:t>
      </w:r>
      <w:r>
        <w:t>方法原理</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有机肥料试样经过硫酸和过氧化氢消煮，稀释后用火焰光度法测定。在一定浓度范围，溶液中钾浓度与发射强度成正比例关系。</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val="en-US" w:eastAsia="zh-CN"/>
        </w:rPr>
        <w:t>2、</w:t>
      </w:r>
      <w:r>
        <w:t>试剂</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密度为</w:t>
      </w:r>
      <w:r>
        <w:t>1.84的硫酸</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30%的过氧化氢</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钾标准储备液：</w:t>
      </w:r>
      <w:r>
        <w:t>1mg/ml</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钾标准溶液：吸取</w:t>
      </w:r>
      <w:r>
        <w:t>10ml钾标准储备液于100ml容量瓶汇总，用水定容，此</w:t>
      </w:r>
      <w:r>
        <w:rPr>
          <w:rFonts w:hint="eastAsia"/>
        </w:rPr>
        <w:t>溶液</w:t>
      </w:r>
      <w:r>
        <w:t>1ml含钾100ug。</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val="en-US" w:eastAsia="zh-CN"/>
        </w:rPr>
        <w:t>3、</w:t>
      </w:r>
      <w:r>
        <w:t>步骤</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eastAsia="zh-CN"/>
        </w:rPr>
        <w:t>（</w:t>
      </w:r>
      <w:r>
        <w:rPr>
          <w:rFonts w:hint="eastAsia"/>
          <w:lang w:val="en-US" w:eastAsia="zh-CN"/>
        </w:rPr>
        <w:t>1</w:t>
      </w:r>
      <w:r>
        <w:rPr>
          <w:rFonts w:hint="eastAsia"/>
          <w:lang w:eastAsia="zh-CN"/>
        </w:rPr>
        <w:t>）</w:t>
      </w:r>
      <w:r>
        <w:rPr>
          <w:rFonts w:hint="eastAsia"/>
        </w:rPr>
        <w:t>试样溶液制备</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同测定</w:t>
      </w:r>
      <w:r>
        <w:t>N含量的方法步骤</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eastAsia="zh-CN"/>
        </w:rPr>
        <w:t>（</w:t>
      </w:r>
      <w:r>
        <w:rPr>
          <w:rFonts w:hint="eastAsia"/>
          <w:lang w:val="en-US" w:eastAsia="zh-CN"/>
        </w:rPr>
        <w:t>2</w:t>
      </w:r>
      <w:r>
        <w:rPr>
          <w:rFonts w:hint="eastAsia"/>
          <w:lang w:eastAsia="zh-CN"/>
        </w:rPr>
        <w:t>）</w:t>
      </w:r>
      <w:r>
        <w:rPr>
          <w:rFonts w:hint="eastAsia"/>
        </w:rPr>
        <w:t>空白溶液制备</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除了不加试样外，应用的试剂盒操作同上步。</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eastAsia="zh-CN"/>
        </w:rPr>
        <w:t>（</w:t>
      </w:r>
      <w:r>
        <w:rPr>
          <w:rFonts w:hint="eastAsia"/>
          <w:lang w:val="en-US" w:eastAsia="zh-CN"/>
        </w:rPr>
        <w:t>3</w:t>
      </w:r>
      <w:r>
        <w:rPr>
          <w:rFonts w:hint="eastAsia"/>
          <w:lang w:eastAsia="zh-CN"/>
        </w:rPr>
        <w:t>）</w:t>
      </w:r>
      <w:r>
        <w:rPr>
          <w:rFonts w:hint="eastAsia"/>
        </w:rPr>
        <w:t>校准曲线绘制</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吸取钾标准溶液</w:t>
      </w:r>
      <w:r>
        <w:t>0,1,2.5,5,7.5,10ml分别置于6个50ml容量瓶中，加入</w:t>
      </w:r>
      <w:r>
        <w:rPr>
          <w:rFonts w:hint="eastAsia"/>
        </w:rPr>
        <w:t>与吸取试样溶液等体积的空白溶液，用水定容，此溶液为</w:t>
      </w:r>
      <w:r>
        <w:t>1ml含钾0,2,5,10,15,20ug的标准溶液系列。在火焰光度计上，以空白溶液调节仪器零</w:t>
      </w:r>
      <w:r>
        <w:rPr>
          <w:rFonts w:hint="eastAsia"/>
        </w:rPr>
        <w:t>点，以标准溶液系列中最高浓度的标准溶液调节满度至</w:t>
      </w:r>
      <w:r>
        <w:t>80分处。再依次由低浓</w:t>
      </w:r>
      <w:r>
        <w:rPr>
          <w:rFonts w:hint="eastAsia"/>
        </w:rPr>
        <w:t>度至高浓度测量其它标准溶液，记录仪器示值。根据钾溶液和仪器示值绘制标准曲线。</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eastAsia="zh-CN"/>
        </w:rPr>
        <w:t>（</w:t>
      </w:r>
      <w:r>
        <w:rPr>
          <w:rFonts w:hint="eastAsia"/>
          <w:lang w:val="en-US" w:eastAsia="zh-CN"/>
        </w:rPr>
        <w:t>4</w:t>
      </w:r>
      <w:r>
        <w:rPr>
          <w:rFonts w:hint="eastAsia"/>
          <w:lang w:eastAsia="zh-CN"/>
        </w:rPr>
        <w:t>）</w:t>
      </w:r>
      <w:r>
        <w:rPr>
          <w:rFonts w:hint="eastAsia"/>
        </w:rPr>
        <w:t>测定</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吸取</w:t>
      </w:r>
      <w:r>
        <w:t>5ml试样溶液，于50ml容量瓶中，用水定容，与标准溶液系列同条件</w:t>
      </w:r>
      <w:r>
        <w:rPr>
          <w:rFonts w:hint="eastAsia"/>
        </w:rPr>
        <w:t>在火焰光度计上测定，记录仪器示值。每测定</w:t>
      </w:r>
      <w:r>
        <w:t>5个样品后需用钾标准溶液校正</w:t>
      </w:r>
      <w:r>
        <w:rPr>
          <w:rFonts w:hint="eastAsia"/>
        </w:rPr>
        <w:t>仪器。</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eastAsia="zh-CN"/>
        </w:rPr>
        <w:t>（</w:t>
      </w:r>
      <w:r>
        <w:rPr>
          <w:rFonts w:hint="eastAsia"/>
          <w:lang w:val="en-US" w:eastAsia="zh-CN"/>
        </w:rPr>
        <w:t>5</w:t>
      </w:r>
      <w:r>
        <w:rPr>
          <w:rFonts w:hint="eastAsia"/>
          <w:lang w:eastAsia="zh-CN"/>
        </w:rPr>
        <w:t>）</w:t>
      </w:r>
      <w:r>
        <w:rPr>
          <w:rFonts w:hint="eastAsia"/>
        </w:rPr>
        <w:t>分析结果</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肥料钾含量以肥料的质量分数表示，按下式计算</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rPr>
          <w:rFonts w:hint="eastAsia" w:eastAsia="宋体"/>
          <w:lang w:eastAsia="zh-CN"/>
        </w:rPr>
      </w:pPr>
      <w:r>
        <w:t>K2O</w:t>
      </w:r>
      <w:r>
        <w:rPr>
          <w:rFonts w:hint="eastAsia"/>
          <w:lang w:eastAsia="zh-CN"/>
        </w:rPr>
        <w:t>（</w:t>
      </w:r>
      <w:r>
        <w:t>%</w:t>
      </w:r>
      <w:r>
        <w:rPr>
          <w:rFonts w:hint="eastAsia"/>
          <w:lang w:eastAsia="zh-CN"/>
        </w:rPr>
        <w:t>）</w:t>
      </w:r>
      <w:r>
        <w:t>=C3*V4*D*1.2*0.0001/</w:t>
      </w:r>
      <w:r>
        <w:rPr>
          <w:rFonts w:hint="eastAsia"/>
          <w:lang w:eastAsia="zh-CN"/>
        </w:rPr>
        <w:t>（</w:t>
      </w:r>
      <w:r>
        <w:t>m</w:t>
      </w:r>
      <w:r>
        <w:rPr>
          <w:rFonts w:hint="eastAsia"/>
          <w:lang w:eastAsia="zh-CN"/>
        </w:rPr>
        <w:t>（</w:t>
      </w:r>
      <w:r>
        <w:t>1-x0</w:t>
      </w:r>
      <w:r>
        <w:rPr>
          <w:rFonts w:hint="eastAsia"/>
          <w:lang w:eastAsia="zh-CN"/>
        </w:rPr>
        <w:t>））</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式中：</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C3————————由校准曲线查得，单位为微克每毫升；</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V4————————测定体积，本操作为50ml</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D————————分取倍数，定容体积/分取体积，100/5</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M————————风干质量，单位为g</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X0————————风干样含水量</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1.2————————将钾换算成K2O的因数。</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0.0001————————将ug/g换算成质量分数的因数</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所得结果保留两位小数。</w:t>
      </w:r>
    </w:p>
    <w:p>
      <w:pPr>
        <w:keepNext w:val="0"/>
        <w:keepLines w:val="0"/>
        <w:pageBreakBefore w:val="0"/>
        <w:kinsoku/>
        <w:wordWrap/>
        <w:overflowPunct/>
        <w:topLinePunct w:val="0"/>
        <w:autoSpaceDE/>
        <w:autoSpaceDN/>
        <w:bidi w:val="0"/>
        <w:adjustRightInd w:val="0"/>
        <w:snapToGrid w:val="0"/>
        <w:spacing w:line="480" w:lineRule="auto"/>
        <w:ind w:left="0" w:leftChars="0" w:firstLine="562" w:firstLineChars="200"/>
        <w:textAlignment w:val="auto"/>
        <w:rPr>
          <w:b/>
          <w:bCs/>
        </w:rPr>
      </w:pPr>
      <w:r>
        <w:rPr>
          <w:rFonts w:hint="eastAsia"/>
          <w:b/>
          <w:bCs/>
          <w:lang w:eastAsia="zh-CN"/>
        </w:rPr>
        <w:t>（</w:t>
      </w:r>
      <w:r>
        <w:rPr>
          <w:rFonts w:hint="eastAsia"/>
          <w:b/>
          <w:bCs/>
          <w:lang w:val="en-US" w:eastAsia="zh-CN"/>
        </w:rPr>
        <w:t>十</w:t>
      </w:r>
      <w:r>
        <w:rPr>
          <w:rFonts w:hint="eastAsia"/>
          <w:b/>
          <w:bCs/>
          <w:lang w:eastAsia="zh-CN"/>
        </w:rPr>
        <w:t>）</w:t>
      </w:r>
      <w:r>
        <w:rPr>
          <w:b/>
          <w:bCs/>
        </w:rPr>
        <w:t>重金属含量测定</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val="en-US" w:eastAsia="zh-CN"/>
        </w:rPr>
        <w:t>1、</w:t>
      </w:r>
      <w:r>
        <w:t>测定试样溶液的制备</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称取试样</w:t>
      </w:r>
      <w:r>
        <w:t>5-8g，置于400ml高型烧杯中，加入30ml盐酸和10ml硝酸，盖</w:t>
      </w:r>
      <w:r>
        <w:rPr>
          <w:rFonts w:hint="eastAsia"/>
        </w:rPr>
        <w:t>上表面皿在电热板上徐徐加热，等激烈反应结束后，稍微移开表面皿继续加热，使酸全部蒸发至近干涸，以赶尽硝酸。冷却后加入</w:t>
      </w:r>
      <w:r>
        <w:t>50ml盐酸溶液，加热溶解，</w:t>
      </w:r>
      <w:r>
        <w:rPr>
          <w:rFonts w:hint="eastAsia"/>
        </w:rPr>
        <w:t>冷却至室温后转移到</w:t>
      </w:r>
      <w:r>
        <w:t>250ml容量瓶中，用水稀释至刻度，混匀，干过滤，弃去</w:t>
      </w:r>
      <w:r>
        <w:rPr>
          <w:rFonts w:hint="eastAsia"/>
        </w:rPr>
        <w:t>最初几毫升滤液，待用。</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val="en-US" w:eastAsia="zh-CN"/>
        </w:rPr>
        <w:t>2、</w:t>
      </w:r>
      <w:r>
        <w:t>空白溶液的制备</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除不加试样外，其它步骤同试样溶液的制备。</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val="en-US" w:eastAsia="zh-CN"/>
        </w:rPr>
        <w:t>3、</w:t>
      </w:r>
      <w:r>
        <w:t>重金属含量的测定（以砷为例）</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采用二乙基二硫代氨基甲酸银分光光度法</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eastAsia="zh-CN"/>
        </w:rPr>
        <w:t>（</w:t>
      </w:r>
      <w:r>
        <w:rPr>
          <w:rFonts w:hint="eastAsia"/>
          <w:lang w:val="en-US" w:eastAsia="zh-CN"/>
        </w:rPr>
        <w:t>1</w:t>
      </w:r>
      <w:r>
        <w:rPr>
          <w:rFonts w:hint="eastAsia"/>
          <w:lang w:eastAsia="zh-CN"/>
        </w:rPr>
        <w:t>）</w:t>
      </w:r>
      <w:r>
        <w:rPr>
          <w:rFonts w:hint="eastAsia"/>
        </w:rPr>
        <w:t>原理</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在酸介质中，五价砷经过碘化银、氯化汞及初生态氢还原为砷化氢，用二乙基二硫代氨基甲酸银的吡啶溶液吸收，生成红色可溶性胶态银，在波长</w:t>
      </w:r>
      <w:r>
        <w:t>540nm</w:t>
      </w:r>
      <w:r>
        <w:rPr>
          <w:rFonts w:hint="eastAsia"/>
        </w:rPr>
        <w:t>处测定其吸光度，吸光度的大小与砷含量成正比。</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eastAsia="zh-CN"/>
        </w:rPr>
        <w:t>（</w:t>
      </w:r>
      <w:r>
        <w:rPr>
          <w:rFonts w:hint="eastAsia"/>
          <w:lang w:val="en-US" w:eastAsia="zh-CN"/>
        </w:rPr>
        <w:t>2</w:t>
      </w:r>
      <w:r>
        <w:rPr>
          <w:rFonts w:hint="eastAsia"/>
          <w:lang w:eastAsia="zh-CN"/>
        </w:rPr>
        <w:t>）</w:t>
      </w:r>
      <w:r>
        <w:rPr>
          <w:rFonts w:hint="eastAsia"/>
        </w:rPr>
        <w:t>试剂和材料</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盐酸，抗坏血酸，无砷金属锌粒，碘化钾溶液（</w:t>
      </w:r>
      <w:r>
        <w:t>150g/L）</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二乙基二硫代氨基甲酸银吡啶溶液：</w:t>
      </w:r>
      <w:r>
        <w:t>5g/L。</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氯化亚锡</w:t>
      </w:r>
      <w:r>
        <w:t>-盐酸溶液：溶解40g氯化亚银在25ml水和75ml盐酸的混合液中；</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乙酸铅棉花：溶解</w:t>
      </w:r>
      <w:r>
        <w:t>50g乙酸铅于250ml水中，用此溶液将脱脂棉浸透，取出挤</w:t>
      </w:r>
      <w:r>
        <w:rPr>
          <w:rFonts w:hint="eastAsia"/>
        </w:rPr>
        <w:t>干以除去多余溶液，储存在密闭容器中。</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砷标准溶液：</w:t>
      </w:r>
      <w:r>
        <w:t>0.1mg/ml</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砷标准溶液：</w:t>
      </w:r>
      <w:r>
        <w:t>0.0025mg/ml</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eastAsia="zh-CN"/>
        </w:rPr>
        <w:t>（</w:t>
      </w:r>
      <w:r>
        <w:rPr>
          <w:rFonts w:hint="eastAsia"/>
          <w:lang w:val="en-US" w:eastAsia="zh-CN"/>
        </w:rPr>
        <w:t>3</w:t>
      </w:r>
      <w:r>
        <w:rPr>
          <w:rFonts w:hint="eastAsia"/>
          <w:lang w:eastAsia="zh-CN"/>
        </w:rPr>
        <w:t>）</w:t>
      </w:r>
      <w:r>
        <w:rPr>
          <w:rFonts w:hint="eastAsia"/>
        </w:rPr>
        <w:t>装置</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测定砷的所有玻璃容器，必须用浓硫酸</w:t>
      </w:r>
      <w:r>
        <w:t>-重铬酸钾洗液洗涤，再以水清洗干</w:t>
      </w:r>
      <w:r>
        <w:rPr>
          <w:rFonts w:hint="eastAsia"/>
        </w:rPr>
        <w:t>净，干燥备用；</w:t>
      </w:r>
    </w:p>
    <w:p>
      <w:pPr>
        <w:pStyle w:val="52"/>
        <w:keepNext w:val="0"/>
        <w:keepLines w:val="0"/>
        <w:pageBreakBefore w:val="0"/>
        <w:kinsoku/>
        <w:wordWrap/>
        <w:overflowPunct/>
        <w:topLinePunct w:val="0"/>
        <w:autoSpaceDE/>
        <w:autoSpaceDN/>
        <w:bidi w:val="0"/>
        <w:adjustRightInd w:val="0"/>
        <w:snapToGrid w:val="0"/>
        <w:spacing w:before="0" w:after="0" w:line="480" w:lineRule="auto"/>
        <w:ind w:left="0" w:leftChars="0" w:firstLine="562" w:firstLineChars="200"/>
        <w:textAlignment w:val="auto"/>
      </w:pPr>
      <w:r>
        <w:drawing>
          <wp:inline distT="0" distB="0" distL="0" distR="0">
            <wp:extent cx="3380105" cy="1903095"/>
            <wp:effectExtent l="0" t="0" r="10795" b="1905"/>
            <wp:docPr id="208" name="图片 208"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图示, 工程绘图&#10;&#10;描述已自动生成"/>
                    <pic:cNvPicPr>
                      <a:picLocks noChangeAspect="1"/>
                    </pic:cNvPicPr>
                  </pic:nvPicPr>
                  <pic:blipFill>
                    <a:blip r:embed="rId46"/>
                    <a:stretch>
                      <a:fillRect/>
                    </a:stretch>
                  </pic:blipFill>
                  <pic:spPr>
                    <a:xfrm>
                      <a:off x="0" y="0"/>
                      <a:ext cx="3405065" cy="1917066"/>
                    </a:xfrm>
                    <a:prstGeom prst="rect">
                      <a:avLst/>
                    </a:prstGeom>
                  </pic:spPr>
                </pic:pic>
              </a:graphicData>
            </a:graphic>
          </wp:inline>
        </w:drawing>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eastAsia="zh-CN"/>
        </w:rPr>
        <w:t>（</w:t>
      </w:r>
      <w:r>
        <w:rPr>
          <w:rFonts w:hint="eastAsia"/>
          <w:lang w:val="en-US" w:eastAsia="zh-CN"/>
        </w:rPr>
        <w:t>4</w:t>
      </w:r>
      <w:r>
        <w:rPr>
          <w:rFonts w:hint="eastAsia"/>
          <w:lang w:eastAsia="zh-CN"/>
        </w:rPr>
        <w:t>）</w:t>
      </w:r>
      <w:r>
        <w:rPr>
          <w:rFonts w:hint="eastAsia"/>
        </w:rPr>
        <w:t>分析步骤</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由于吡啶有恶臭，操作应在通风橱中进行。</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工作曲线的绘制：按表</w:t>
      </w:r>
      <w:r>
        <w:t>2所示，吸取砷标准溶液分别置于7个雏形瓶中。</w:t>
      </w:r>
    </w:p>
    <w:p>
      <w:pPr>
        <w:pStyle w:val="52"/>
        <w:keepNext w:val="0"/>
        <w:keepLines w:val="0"/>
        <w:pageBreakBefore w:val="0"/>
        <w:kinsoku/>
        <w:wordWrap/>
        <w:overflowPunct/>
        <w:topLinePunct w:val="0"/>
        <w:autoSpaceDE/>
        <w:autoSpaceDN/>
        <w:bidi w:val="0"/>
        <w:adjustRightInd w:val="0"/>
        <w:snapToGrid w:val="0"/>
        <w:spacing w:before="0" w:after="0" w:line="480" w:lineRule="auto"/>
        <w:ind w:left="0" w:leftChars="0" w:firstLine="562" w:firstLineChars="200"/>
        <w:textAlignment w:val="auto"/>
      </w:pPr>
      <w:r>
        <w:rPr>
          <w:rFonts w:hint="eastAsia"/>
        </w:rPr>
        <w:t>表2</w:t>
      </w:r>
    </w:p>
    <w:tbl>
      <w:tblPr>
        <w:tblStyle w:val="34"/>
        <w:tblW w:w="830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05"/>
        <w:gridCol w:w="1843"/>
        <w:gridCol w:w="2268"/>
        <w:gridCol w:w="17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405" w:type="dxa"/>
            <w:tcBorders>
              <w:top w:val="single" w:color="000000" w:sz="8" w:space="0"/>
              <w:left w:val="single" w:color="000000" w:sz="8" w:space="0"/>
              <w:bottom w:val="single" w:color="000000" w:sz="8" w:space="0"/>
              <w:right w:val="single" w:color="000000" w:sz="8" w:space="0"/>
            </w:tcBorders>
            <w:shd w:val="clear" w:color="auto" w:fill="FFFFFF"/>
          </w:tcPr>
          <w:p>
            <w:pPr>
              <w:pStyle w:val="53"/>
              <w:keepNext w:val="0"/>
              <w:keepLines w:val="0"/>
              <w:pageBreakBefore w:val="0"/>
              <w:widowControl w:val="0"/>
              <w:kinsoku/>
              <w:wordWrap/>
              <w:overflowPunct/>
              <w:topLinePunct w:val="0"/>
              <w:autoSpaceDE/>
              <w:autoSpaceDN/>
              <w:bidi w:val="0"/>
              <w:adjustRightInd w:val="0"/>
              <w:snapToGrid w:val="0"/>
              <w:spacing w:line="480" w:lineRule="auto"/>
              <w:ind w:left="0" w:leftChars="0" w:firstLine="482" w:firstLineChars="200"/>
              <w:textAlignment w:val="auto"/>
              <w:rPr>
                <w:b/>
                <w:bCs w:val="0"/>
                <w:color w:val="000000"/>
                <w:kern w:val="0"/>
              </w:rPr>
            </w:pPr>
            <w:r>
              <w:rPr>
                <w:rFonts w:hint="eastAsia"/>
                <w:b/>
                <w:color w:val="000000"/>
                <w:kern w:val="0"/>
              </w:rPr>
              <w:t>砷标准溶液体积/</w:t>
            </w:r>
            <w:r>
              <w:rPr>
                <w:b/>
                <w:color w:val="000000"/>
                <w:kern w:val="0"/>
              </w:rPr>
              <w:t>ml</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cPr>
          <w:p>
            <w:pPr>
              <w:pStyle w:val="53"/>
              <w:keepNext w:val="0"/>
              <w:keepLines w:val="0"/>
              <w:pageBreakBefore w:val="0"/>
              <w:widowControl w:val="0"/>
              <w:kinsoku/>
              <w:wordWrap/>
              <w:overflowPunct/>
              <w:topLinePunct w:val="0"/>
              <w:autoSpaceDE/>
              <w:autoSpaceDN/>
              <w:bidi w:val="0"/>
              <w:adjustRightInd w:val="0"/>
              <w:snapToGrid w:val="0"/>
              <w:spacing w:line="480" w:lineRule="auto"/>
              <w:ind w:left="0" w:leftChars="0" w:firstLine="482" w:firstLineChars="200"/>
              <w:textAlignment w:val="auto"/>
              <w:rPr>
                <w:b/>
                <w:bCs w:val="0"/>
                <w:color w:val="000000"/>
                <w:kern w:val="0"/>
              </w:rPr>
            </w:pPr>
            <w:r>
              <w:rPr>
                <w:rFonts w:hint="eastAsia"/>
                <w:b/>
                <w:color w:val="000000"/>
                <w:kern w:val="0"/>
              </w:rPr>
              <w:t>响应含砷量/</w:t>
            </w:r>
            <w:r>
              <w:rPr>
                <w:b/>
                <w:color w:val="000000"/>
                <w:kern w:val="0"/>
              </w:rPr>
              <w:t>µg</w:t>
            </w:r>
          </w:p>
        </w:tc>
        <w:tc>
          <w:tcPr>
            <w:tcW w:w="2268" w:type="dxa"/>
            <w:tcBorders>
              <w:top w:val="single" w:color="000000" w:sz="8" w:space="0"/>
              <w:left w:val="single" w:color="000000" w:sz="8" w:space="0"/>
              <w:bottom w:val="single" w:color="000000" w:sz="8" w:space="0"/>
              <w:right w:val="single" w:color="000000" w:sz="8" w:space="0"/>
            </w:tcBorders>
            <w:shd w:val="clear" w:color="auto" w:fill="FFFFFF"/>
          </w:tcPr>
          <w:p>
            <w:pPr>
              <w:pStyle w:val="53"/>
              <w:keepNext w:val="0"/>
              <w:keepLines w:val="0"/>
              <w:pageBreakBefore w:val="0"/>
              <w:widowControl w:val="0"/>
              <w:kinsoku/>
              <w:wordWrap/>
              <w:overflowPunct/>
              <w:topLinePunct w:val="0"/>
              <w:autoSpaceDE/>
              <w:autoSpaceDN/>
              <w:bidi w:val="0"/>
              <w:adjustRightInd w:val="0"/>
              <w:snapToGrid w:val="0"/>
              <w:spacing w:line="480" w:lineRule="auto"/>
              <w:ind w:left="0" w:leftChars="0" w:firstLine="482" w:firstLineChars="200"/>
              <w:textAlignment w:val="auto"/>
              <w:rPr>
                <w:b/>
                <w:bCs w:val="0"/>
                <w:color w:val="000000"/>
                <w:kern w:val="0"/>
              </w:rPr>
            </w:pPr>
            <w:r>
              <w:rPr>
                <w:rFonts w:hint="eastAsia"/>
                <w:b/>
                <w:color w:val="000000"/>
                <w:kern w:val="0"/>
              </w:rPr>
              <w:t>砷标准溶液体积/</w:t>
            </w:r>
            <w:r>
              <w:rPr>
                <w:b/>
                <w:color w:val="000000"/>
                <w:kern w:val="0"/>
              </w:rPr>
              <w:t>ml</w:t>
            </w:r>
          </w:p>
        </w:tc>
        <w:tc>
          <w:tcPr>
            <w:tcW w:w="1786" w:type="dxa"/>
            <w:tcBorders>
              <w:top w:val="single" w:color="000000" w:sz="8" w:space="0"/>
              <w:left w:val="single" w:color="000000" w:sz="8" w:space="0"/>
              <w:bottom w:val="single" w:color="000000" w:sz="8" w:space="0"/>
              <w:right w:val="single" w:color="000000" w:sz="8" w:space="0"/>
            </w:tcBorders>
            <w:shd w:val="clear" w:color="auto" w:fill="FFFFFF"/>
          </w:tcPr>
          <w:p>
            <w:pPr>
              <w:pStyle w:val="53"/>
              <w:keepNext w:val="0"/>
              <w:keepLines w:val="0"/>
              <w:pageBreakBefore w:val="0"/>
              <w:widowControl w:val="0"/>
              <w:kinsoku/>
              <w:wordWrap/>
              <w:overflowPunct/>
              <w:topLinePunct w:val="0"/>
              <w:autoSpaceDE/>
              <w:autoSpaceDN/>
              <w:bidi w:val="0"/>
              <w:adjustRightInd w:val="0"/>
              <w:snapToGrid w:val="0"/>
              <w:spacing w:line="480" w:lineRule="auto"/>
              <w:ind w:left="0" w:leftChars="0" w:firstLine="482" w:firstLineChars="200"/>
              <w:textAlignment w:val="auto"/>
              <w:rPr>
                <w:b/>
                <w:bCs w:val="0"/>
                <w:color w:val="000000"/>
                <w:kern w:val="0"/>
              </w:rPr>
            </w:pPr>
            <w:r>
              <w:rPr>
                <w:rFonts w:hint="eastAsia"/>
                <w:b/>
                <w:color w:val="000000"/>
                <w:kern w:val="0"/>
              </w:rPr>
              <w:t>响应含砷量/</w:t>
            </w:r>
            <w:r>
              <w:rPr>
                <w:b/>
                <w:color w:val="000000"/>
                <w:kern w:val="0"/>
              </w:rPr>
              <w:t>µg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405" w:type="dxa"/>
            <w:tcBorders>
              <w:top w:val="single" w:color="000000" w:sz="8" w:space="0"/>
              <w:left w:val="single" w:color="000000" w:sz="8" w:space="0"/>
              <w:bottom w:val="single" w:color="000000" w:sz="8" w:space="0"/>
              <w:right w:val="single" w:color="000000" w:sz="8" w:space="0"/>
            </w:tcBorders>
            <w:shd w:val="clear" w:color="auto" w:fill="FFFFFF"/>
          </w:tcPr>
          <w:p>
            <w:pPr>
              <w:pStyle w:val="53"/>
              <w:keepNext w:val="0"/>
              <w:keepLines w:val="0"/>
              <w:pageBreakBefore w:val="0"/>
              <w:widowControl w:val="0"/>
              <w:kinsoku/>
              <w:wordWrap/>
              <w:overflowPunct/>
              <w:topLinePunct w:val="0"/>
              <w:autoSpaceDE/>
              <w:autoSpaceDN/>
              <w:bidi w:val="0"/>
              <w:adjustRightInd w:val="0"/>
              <w:snapToGrid w:val="0"/>
              <w:spacing w:line="480" w:lineRule="auto"/>
              <w:ind w:left="0" w:leftChars="0" w:firstLine="480" w:firstLineChars="200"/>
              <w:textAlignment w:val="auto"/>
              <w:rPr>
                <w:color w:val="000000"/>
                <w:kern w:val="0"/>
              </w:rPr>
            </w:pPr>
            <w:r>
              <w:rPr>
                <w:rFonts w:hint="eastAsia"/>
                <w:color w:val="000000"/>
                <w:kern w:val="0"/>
              </w:rPr>
              <w:t>0</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cPr>
          <w:p>
            <w:pPr>
              <w:pStyle w:val="53"/>
              <w:keepNext w:val="0"/>
              <w:keepLines w:val="0"/>
              <w:pageBreakBefore w:val="0"/>
              <w:widowControl w:val="0"/>
              <w:kinsoku/>
              <w:wordWrap/>
              <w:overflowPunct/>
              <w:topLinePunct w:val="0"/>
              <w:autoSpaceDE/>
              <w:autoSpaceDN/>
              <w:bidi w:val="0"/>
              <w:adjustRightInd w:val="0"/>
              <w:snapToGrid w:val="0"/>
              <w:spacing w:line="480" w:lineRule="auto"/>
              <w:ind w:left="0" w:leftChars="0" w:firstLine="480" w:firstLineChars="200"/>
              <w:textAlignment w:val="auto"/>
              <w:rPr>
                <w:color w:val="000000"/>
                <w:kern w:val="0"/>
              </w:rPr>
            </w:pPr>
            <w:r>
              <w:rPr>
                <w:rFonts w:hint="eastAsia"/>
                <w:color w:val="000000"/>
                <w:kern w:val="0"/>
              </w:rPr>
              <w:t>0</w:t>
            </w:r>
          </w:p>
        </w:tc>
        <w:tc>
          <w:tcPr>
            <w:tcW w:w="2268" w:type="dxa"/>
            <w:tcBorders>
              <w:top w:val="single" w:color="000000" w:sz="8" w:space="0"/>
              <w:left w:val="single" w:color="000000" w:sz="8" w:space="0"/>
              <w:bottom w:val="single" w:color="000000" w:sz="8" w:space="0"/>
              <w:right w:val="single" w:color="000000" w:sz="8" w:space="0"/>
            </w:tcBorders>
            <w:shd w:val="clear" w:color="auto" w:fill="FFFFFF"/>
          </w:tcPr>
          <w:p>
            <w:pPr>
              <w:pStyle w:val="53"/>
              <w:keepNext w:val="0"/>
              <w:keepLines w:val="0"/>
              <w:pageBreakBefore w:val="0"/>
              <w:widowControl w:val="0"/>
              <w:kinsoku/>
              <w:wordWrap/>
              <w:overflowPunct/>
              <w:topLinePunct w:val="0"/>
              <w:autoSpaceDE/>
              <w:autoSpaceDN/>
              <w:bidi w:val="0"/>
              <w:adjustRightInd w:val="0"/>
              <w:snapToGrid w:val="0"/>
              <w:spacing w:line="480" w:lineRule="auto"/>
              <w:ind w:left="0" w:leftChars="0" w:firstLine="480" w:firstLineChars="200"/>
              <w:textAlignment w:val="auto"/>
              <w:rPr>
                <w:color w:val="000000"/>
                <w:kern w:val="0"/>
              </w:rPr>
            </w:pPr>
            <w:r>
              <w:rPr>
                <w:rFonts w:hint="eastAsia"/>
                <w:color w:val="000000"/>
                <w:kern w:val="0"/>
              </w:rPr>
              <w:t>4</w:t>
            </w:r>
            <w:r>
              <w:rPr>
                <w:color w:val="000000"/>
                <w:kern w:val="0"/>
              </w:rPr>
              <w:t>.0</w:t>
            </w:r>
          </w:p>
        </w:tc>
        <w:tc>
          <w:tcPr>
            <w:tcW w:w="1786" w:type="dxa"/>
            <w:tcBorders>
              <w:top w:val="single" w:color="000000" w:sz="8" w:space="0"/>
              <w:left w:val="single" w:color="000000" w:sz="8" w:space="0"/>
              <w:bottom w:val="single" w:color="000000" w:sz="8" w:space="0"/>
              <w:right w:val="single" w:color="000000" w:sz="8" w:space="0"/>
            </w:tcBorders>
            <w:shd w:val="clear" w:color="auto" w:fill="FFFFFF"/>
          </w:tcPr>
          <w:p>
            <w:pPr>
              <w:pStyle w:val="53"/>
              <w:keepNext w:val="0"/>
              <w:keepLines w:val="0"/>
              <w:pageBreakBefore w:val="0"/>
              <w:widowControl w:val="0"/>
              <w:kinsoku/>
              <w:wordWrap/>
              <w:overflowPunct/>
              <w:topLinePunct w:val="0"/>
              <w:autoSpaceDE/>
              <w:autoSpaceDN/>
              <w:bidi w:val="0"/>
              <w:adjustRightInd w:val="0"/>
              <w:snapToGrid w:val="0"/>
              <w:spacing w:line="480" w:lineRule="auto"/>
              <w:ind w:left="0" w:leftChars="0" w:firstLine="480" w:firstLineChars="200"/>
              <w:textAlignment w:val="auto"/>
              <w:rPr>
                <w:color w:val="000000"/>
                <w:kern w:val="0"/>
              </w:rPr>
            </w:pPr>
            <w:r>
              <w:rPr>
                <w:rFonts w:hint="eastAsia"/>
                <w:color w:val="000000"/>
                <w:kern w:val="0"/>
              </w:rPr>
              <w:t>1</w:t>
            </w:r>
            <w:r>
              <w:rPr>
                <w:color w:val="000000"/>
                <w:kern w:val="0"/>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405" w:type="dxa"/>
            <w:tcBorders>
              <w:top w:val="single" w:color="000000" w:sz="8" w:space="0"/>
              <w:left w:val="single" w:color="000000" w:sz="8" w:space="0"/>
              <w:bottom w:val="single" w:color="000000" w:sz="8" w:space="0"/>
              <w:right w:val="single" w:color="000000" w:sz="8" w:space="0"/>
            </w:tcBorders>
            <w:shd w:val="clear" w:color="auto" w:fill="FFFFFF"/>
          </w:tcPr>
          <w:p>
            <w:pPr>
              <w:pStyle w:val="53"/>
              <w:keepNext w:val="0"/>
              <w:keepLines w:val="0"/>
              <w:pageBreakBefore w:val="0"/>
              <w:widowControl w:val="0"/>
              <w:kinsoku/>
              <w:wordWrap/>
              <w:overflowPunct/>
              <w:topLinePunct w:val="0"/>
              <w:autoSpaceDE/>
              <w:autoSpaceDN/>
              <w:bidi w:val="0"/>
              <w:adjustRightInd w:val="0"/>
              <w:snapToGrid w:val="0"/>
              <w:spacing w:line="480" w:lineRule="auto"/>
              <w:ind w:left="0" w:leftChars="0" w:firstLine="480" w:firstLineChars="200"/>
              <w:textAlignment w:val="auto"/>
              <w:rPr>
                <w:color w:val="000000"/>
                <w:kern w:val="0"/>
              </w:rPr>
            </w:pPr>
            <w:r>
              <w:rPr>
                <w:rFonts w:hint="eastAsia"/>
                <w:color w:val="000000"/>
                <w:kern w:val="0"/>
              </w:rPr>
              <w:t>1</w:t>
            </w:r>
            <w:r>
              <w:rPr>
                <w:color w:val="000000"/>
                <w:kern w:val="0"/>
              </w:rPr>
              <w:t>.0</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cPr>
          <w:p>
            <w:pPr>
              <w:pStyle w:val="53"/>
              <w:keepNext w:val="0"/>
              <w:keepLines w:val="0"/>
              <w:pageBreakBefore w:val="0"/>
              <w:widowControl w:val="0"/>
              <w:kinsoku/>
              <w:wordWrap/>
              <w:overflowPunct/>
              <w:topLinePunct w:val="0"/>
              <w:autoSpaceDE/>
              <w:autoSpaceDN/>
              <w:bidi w:val="0"/>
              <w:adjustRightInd w:val="0"/>
              <w:snapToGrid w:val="0"/>
              <w:spacing w:line="480" w:lineRule="auto"/>
              <w:ind w:left="0" w:leftChars="0" w:firstLine="480" w:firstLineChars="200"/>
              <w:textAlignment w:val="auto"/>
              <w:rPr>
                <w:color w:val="000000"/>
                <w:kern w:val="0"/>
              </w:rPr>
            </w:pPr>
            <w:r>
              <w:rPr>
                <w:rFonts w:hint="eastAsia"/>
                <w:color w:val="000000"/>
                <w:kern w:val="0"/>
              </w:rPr>
              <w:t>2</w:t>
            </w:r>
            <w:r>
              <w:rPr>
                <w:color w:val="000000"/>
                <w:kern w:val="0"/>
              </w:rPr>
              <w:t>.5</w:t>
            </w:r>
          </w:p>
        </w:tc>
        <w:tc>
          <w:tcPr>
            <w:tcW w:w="2268" w:type="dxa"/>
            <w:tcBorders>
              <w:top w:val="single" w:color="000000" w:sz="8" w:space="0"/>
              <w:left w:val="single" w:color="000000" w:sz="8" w:space="0"/>
              <w:bottom w:val="single" w:color="000000" w:sz="8" w:space="0"/>
              <w:right w:val="single" w:color="000000" w:sz="8" w:space="0"/>
            </w:tcBorders>
            <w:shd w:val="clear" w:color="auto" w:fill="FFFFFF"/>
          </w:tcPr>
          <w:p>
            <w:pPr>
              <w:pStyle w:val="53"/>
              <w:keepNext w:val="0"/>
              <w:keepLines w:val="0"/>
              <w:pageBreakBefore w:val="0"/>
              <w:widowControl w:val="0"/>
              <w:kinsoku/>
              <w:wordWrap/>
              <w:overflowPunct/>
              <w:topLinePunct w:val="0"/>
              <w:autoSpaceDE/>
              <w:autoSpaceDN/>
              <w:bidi w:val="0"/>
              <w:adjustRightInd w:val="0"/>
              <w:snapToGrid w:val="0"/>
              <w:spacing w:line="480" w:lineRule="auto"/>
              <w:ind w:left="0" w:leftChars="0" w:firstLine="480" w:firstLineChars="200"/>
              <w:textAlignment w:val="auto"/>
              <w:rPr>
                <w:color w:val="000000"/>
                <w:kern w:val="0"/>
              </w:rPr>
            </w:pPr>
            <w:r>
              <w:rPr>
                <w:rFonts w:hint="eastAsia"/>
                <w:color w:val="000000"/>
                <w:kern w:val="0"/>
              </w:rPr>
              <w:t>6</w:t>
            </w:r>
            <w:r>
              <w:rPr>
                <w:color w:val="000000"/>
                <w:kern w:val="0"/>
              </w:rPr>
              <w:t>.0</w:t>
            </w:r>
          </w:p>
        </w:tc>
        <w:tc>
          <w:tcPr>
            <w:tcW w:w="1786" w:type="dxa"/>
            <w:tcBorders>
              <w:top w:val="single" w:color="000000" w:sz="8" w:space="0"/>
              <w:left w:val="single" w:color="000000" w:sz="8" w:space="0"/>
              <w:bottom w:val="single" w:color="000000" w:sz="8" w:space="0"/>
              <w:right w:val="single" w:color="000000" w:sz="8" w:space="0"/>
            </w:tcBorders>
            <w:shd w:val="clear" w:color="auto" w:fill="FFFFFF"/>
          </w:tcPr>
          <w:p>
            <w:pPr>
              <w:pStyle w:val="53"/>
              <w:keepNext w:val="0"/>
              <w:keepLines w:val="0"/>
              <w:pageBreakBefore w:val="0"/>
              <w:widowControl w:val="0"/>
              <w:kinsoku/>
              <w:wordWrap/>
              <w:overflowPunct/>
              <w:topLinePunct w:val="0"/>
              <w:autoSpaceDE/>
              <w:autoSpaceDN/>
              <w:bidi w:val="0"/>
              <w:adjustRightInd w:val="0"/>
              <w:snapToGrid w:val="0"/>
              <w:spacing w:line="480" w:lineRule="auto"/>
              <w:ind w:left="0" w:leftChars="0" w:firstLine="480" w:firstLineChars="200"/>
              <w:textAlignment w:val="auto"/>
              <w:rPr>
                <w:color w:val="000000"/>
                <w:kern w:val="0"/>
              </w:rPr>
            </w:pPr>
            <w:r>
              <w:rPr>
                <w:rFonts w:hint="eastAsia"/>
                <w:color w:val="000000"/>
                <w:kern w:val="0"/>
              </w:rPr>
              <w:t>1</w:t>
            </w:r>
            <w:r>
              <w:rPr>
                <w:color w:val="000000"/>
                <w:kern w:val="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405" w:type="dxa"/>
            <w:tcBorders>
              <w:top w:val="single" w:color="000000" w:sz="8" w:space="0"/>
              <w:left w:val="single" w:color="000000" w:sz="8" w:space="0"/>
              <w:bottom w:val="single" w:color="000000" w:sz="8" w:space="0"/>
              <w:right w:val="single" w:color="000000" w:sz="8" w:space="0"/>
            </w:tcBorders>
            <w:shd w:val="clear" w:color="auto" w:fill="FFFFFF"/>
          </w:tcPr>
          <w:p>
            <w:pPr>
              <w:pStyle w:val="53"/>
              <w:keepNext w:val="0"/>
              <w:keepLines w:val="0"/>
              <w:pageBreakBefore w:val="0"/>
              <w:widowControl w:val="0"/>
              <w:kinsoku/>
              <w:wordWrap/>
              <w:overflowPunct/>
              <w:topLinePunct w:val="0"/>
              <w:autoSpaceDE/>
              <w:autoSpaceDN/>
              <w:bidi w:val="0"/>
              <w:adjustRightInd w:val="0"/>
              <w:snapToGrid w:val="0"/>
              <w:spacing w:line="480" w:lineRule="auto"/>
              <w:ind w:left="0" w:leftChars="0" w:firstLine="480" w:firstLineChars="200"/>
              <w:textAlignment w:val="auto"/>
              <w:rPr>
                <w:color w:val="000000"/>
                <w:kern w:val="0"/>
              </w:rPr>
            </w:pPr>
            <w:r>
              <w:rPr>
                <w:rFonts w:hint="eastAsia"/>
                <w:color w:val="000000"/>
                <w:kern w:val="0"/>
              </w:rPr>
              <w:t>2</w:t>
            </w:r>
            <w:r>
              <w:rPr>
                <w:color w:val="000000"/>
                <w:kern w:val="0"/>
              </w:rPr>
              <w:t>.0</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cPr>
          <w:p>
            <w:pPr>
              <w:pStyle w:val="53"/>
              <w:keepNext w:val="0"/>
              <w:keepLines w:val="0"/>
              <w:pageBreakBefore w:val="0"/>
              <w:widowControl w:val="0"/>
              <w:kinsoku/>
              <w:wordWrap/>
              <w:overflowPunct/>
              <w:topLinePunct w:val="0"/>
              <w:autoSpaceDE/>
              <w:autoSpaceDN/>
              <w:bidi w:val="0"/>
              <w:adjustRightInd w:val="0"/>
              <w:snapToGrid w:val="0"/>
              <w:spacing w:line="480" w:lineRule="auto"/>
              <w:ind w:left="0" w:leftChars="0" w:firstLine="480" w:firstLineChars="200"/>
              <w:textAlignment w:val="auto"/>
              <w:rPr>
                <w:color w:val="000000"/>
                <w:kern w:val="0"/>
              </w:rPr>
            </w:pPr>
            <w:r>
              <w:rPr>
                <w:rFonts w:hint="eastAsia"/>
                <w:color w:val="000000"/>
                <w:kern w:val="0"/>
              </w:rPr>
              <w:t>5</w:t>
            </w:r>
            <w:r>
              <w:rPr>
                <w:color w:val="000000"/>
                <w:kern w:val="0"/>
              </w:rPr>
              <w:t>.0</w:t>
            </w:r>
          </w:p>
        </w:tc>
        <w:tc>
          <w:tcPr>
            <w:tcW w:w="2268" w:type="dxa"/>
            <w:tcBorders>
              <w:top w:val="single" w:color="000000" w:sz="8" w:space="0"/>
              <w:left w:val="single" w:color="000000" w:sz="8" w:space="0"/>
              <w:bottom w:val="single" w:color="000000" w:sz="8" w:space="0"/>
              <w:right w:val="single" w:color="000000" w:sz="8" w:space="0"/>
            </w:tcBorders>
            <w:shd w:val="clear" w:color="auto" w:fill="FFFFFF"/>
          </w:tcPr>
          <w:p>
            <w:pPr>
              <w:pStyle w:val="53"/>
              <w:keepNext w:val="0"/>
              <w:keepLines w:val="0"/>
              <w:pageBreakBefore w:val="0"/>
              <w:widowControl w:val="0"/>
              <w:kinsoku/>
              <w:wordWrap/>
              <w:overflowPunct/>
              <w:topLinePunct w:val="0"/>
              <w:autoSpaceDE/>
              <w:autoSpaceDN/>
              <w:bidi w:val="0"/>
              <w:adjustRightInd w:val="0"/>
              <w:snapToGrid w:val="0"/>
              <w:spacing w:line="480" w:lineRule="auto"/>
              <w:ind w:left="0" w:leftChars="0" w:firstLine="480" w:firstLineChars="200"/>
              <w:textAlignment w:val="auto"/>
              <w:rPr>
                <w:color w:val="000000"/>
                <w:kern w:val="0"/>
              </w:rPr>
            </w:pPr>
            <w:r>
              <w:rPr>
                <w:rFonts w:hint="eastAsia"/>
                <w:color w:val="000000"/>
                <w:kern w:val="0"/>
              </w:rPr>
              <w:t>8</w:t>
            </w:r>
            <w:r>
              <w:rPr>
                <w:color w:val="000000"/>
                <w:kern w:val="0"/>
              </w:rPr>
              <w:t>.0</w:t>
            </w:r>
          </w:p>
        </w:tc>
        <w:tc>
          <w:tcPr>
            <w:tcW w:w="1786" w:type="dxa"/>
            <w:tcBorders>
              <w:top w:val="single" w:color="000000" w:sz="8" w:space="0"/>
              <w:left w:val="single" w:color="000000" w:sz="8" w:space="0"/>
              <w:bottom w:val="single" w:color="000000" w:sz="8" w:space="0"/>
              <w:right w:val="single" w:color="000000" w:sz="8" w:space="0"/>
            </w:tcBorders>
            <w:shd w:val="clear" w:color="auto" w:fill="FFFFFF"/>
          </w:tcPr>
          <w:p>
            <w:pPr>
              <w:pStyle w:val="53"/>
              <w:keepNext w:val="0"/>
              <w:keepLines w:val="0"/>
              <w:pageBreakBefore w:val="0"/>
              <w:widowControl w:val="0"/>
              <w:kinsoku/>
              <w:wordWrap/>
              <w:overflowPunct/>
              <w:topLinePunct w:val="0"/>
              <w:autoSpaceDE/>
              <w:autoSpaceDN/>
              <w:bidi w:val="0"/>
              <w:adjustRightInd w:val="0"/>
              <w:snapToGrid w:val="0"/>
              <w:spacing w:line="480" w:lineRule="auto"/>
              <w:ind w:left="0" w:leftChars="0" w:firstLine="480" w:firstLineChars="200"/>
              <w:textAlignment w:val="auto"/>
              <w:rPr>
                <w:color w:val="000000"/>
                <w:kern w:val="0"/>
              </w:rPr>
            </w:pPr>
            <w:r>
              <w:rPr>
                <w:rFonts w:hint="eastAsia"/>
                <w:color w:val="000000"/>
                <w:kern w:val="0"/>
              </w:rPr>
              <w:t>2</w:t>
            </w:r>
            <w:r>
              <w:rPr>
                <w:color w:val="000000"/>
                <w:kern w:val="0"/>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405" w:type="dxa"/>
            <w:tcBorders>
              <w:top w:val="single" w:color="000000" w:sz="8" w:space="0"/>
              <w:left w:val="single" w:color="000000" w:sz="8" w:space="0"/>
              <w:bottom w:val="single" w:color="000000" w:sz="8" w:space="0"/>
              <w:right w:val="single" w:color="000000" w:sz="8" w:space="0"/>
            </w:tcBorders>
            <w:shd w:val="clear" w:color="auto" w:fill="FFFFFF"/>
          </w:tcPr>
          <w:p>
            <w:pPr>
              <w:pStyle w:val="53"/>
              <w:keepNext w:val="0"/>
              <w:keepLines w:val="0"/>
              <w:pageBreakBefore w:val="0"/>
              <w:widowControl w:val="0"/>
              <w:kinsoku/>
              <w:wordWrap/>
              <w:overflowPunct/>
              <w:topLinePunct w:val="0"/>
              <w:autoSpaceDE/>
              <w:autoSpaceDN/>
              <w:bidi w:val="0"/>
              <w:adjustRightInd w:val="0"/>
              <w:snapToGrid w:val="0"/>
              <w:spacing w:line="480" w:lineRule="auto"/>
              <w:ind w:left="0" w:leftChars="0" w:firstLine="480" w:firstLineChars="200"/>
              <w:textAlignment w:val="auto"/>
              <w:rPr>
                <w:color w:val="000000"/>
                <w:kern w:val="0"/>
              </w:rPr>
            </w:pPr>
            <w:r>
              <w:rPr>
                <w:rFonts w:hint="eastAsia"/>
                <w:color w:val="000000"/>
                <w:kern w:val="0"/>
              </w:rPr>
              <w:t>3</w:t>
            </w:r>
            <w:r>
              <w:rPr>
                <w:color w:val="000000"/>
                <w:kern w:val="0"/>
              </w:rPr>
              <w:t>.0</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cPr>
          <w:p>
            <w:pPr>
              <w:pStyle w:val="53"/>
              <w:keepNext w:val="0"/>
              <w:keepLines w:val="0"/>
              <w:pageBreakBefore w:val="0"/>
              <w:widowControl w:val="0"/>
              <w:kinsoku/>
              <w:wordWrap/>
              <w:overflowPunct/>
              <w:topLinePunct w:val="0"/>
              <w:autoSpaceDE/>
              <w:autoSpaceDN/>
              <w:bidi w:val="0"/>
              <w:adjustRightInd w:val="0"/>
              <w:snapToGrid w:val="0"/>
              <w:spacing w:line="480" w:lineRule="auto"/>
              <w:ind w:left="0" w:leftChars="0" w:firstLine="480" w:firstLineChars="200"/>
              <w:textAlignment w:val="auto"/>
              <w:rPr>
                <w:color w:val="000000"/>
                <w:kern w:val="0"/>
              </w:rPr>
            </w:pPr>
            <w:r>
              <w:rPr>
                <w:rFonts w:hint="eastAsia"/>
                <w:color w:val="000000"/>
                <w:kern w:val="0"/>
              </w:rPr>
              <w:t>7</w:t>
            </w:r>
            <w:r>
              <w:rPr>
                <w:color w:val="000000"/>
                <w:kern w:val="0"/>
              </w:rPr>
              <w:t>.5</w:t>
            </w:r>
          </w:p>
        </w:tc>
        <w:tc>
          <w:tcPr>
            <w:tcW w:w="2268" w:type="dxa"/>
            <w:tcBorders>
              <w:top w:val="single" w:color="000000" w:sz="8" w:space="0"/>
              <w:left w:val="single" w:color="000000" w:sz="8" w:space="0"/>
              <w:bottom w:val="single" w:color="000000" w:sz="8" w:space="0"/>
              <w:right w:val="single" w:color="000000" w:sz="8" w:space="0"/>
            </w:tcBorders>
            <w:shd w:val="clear" w:color="auto" w:fill="FFFFFF"/>
          </w:tcPr>
          <w:p>
            <w:pPr>
              <w:pStyle w:val="53"/>
              <w:keepNext w:val="0"/>
              <w:keepLines w:val="0"/>
              <w:pageBreakBefore w:val="0"/>
              <w:widowControl w:val="0"/>
              <w:kinsoku/>
              <w:wordWrap/>
              <w:overflowPunct/>
              <w:topLinePunct w:val="0"/>
              <w:autoSpaceDE/>
              <w:autoSpaceDN/>
              <w:bidi w:val="0"/>
              <w:adjustRightInd w:val="0"/>
              <w:snapToGrid w:val="0"/>
              <w:spacing w:line="480" w:lineRule="auto"/>
              <w:ind w:left="0" w:leftChars="0" w:firstLine="480" w:firstLineChars="200"/>
              <w:textAlignment w:val="auto"/>
              <w:rPr>
                <w:color w:val="000000"/>
                <w:kern w:val="0"/>
              </w:rPr>
            </w:pPr>
          </w:p>
        </w:tc>
        <w:tc>
          <w:tcPr>
            <w:tcW w:w="1786" w:type="dxa"/>
            <w:tcBorders>
              <w:top w:val="single" w:color="000000" w:sz="8" w:space="0"/>
              <w:left w:val="single" w:color="000000" w:sz="8" w:space="0"/>
              <w:bottom w:val="single" w:color="000000" w:sz="8" w:space="0"/>
              <w:right w:val="single" w:color="000000" w:sz="8" w:space="0"/>
            </w:tcBorders>
            <w:shd w:val="clear" w:color="auto" w:fill="FFFFFF"/>
          </w:tcPr>
          <w:p>
            <w:pPr>
              <w:pStyle w:val="53"/>
              <w:keepNext w:val="0"/>
              <w:keepLines w:val="0"/>
              <w:pageBreakBefore w:val="0"/>
              <w:widowControl w:val="0"/>
              <w:kinsoku/>
              <w:wordWrap/>
              <w:overflowPunct/>
              <w:topLinePunct w:val="0"/>
              <w:autoSpaceDE/>
              <w:autoSpaceDN/>
              <w:bidi w:val="0"/>
              <w:adjustRightInd w:val="0"/>
              <w:snapToGrid w:val="0"/>
              <w:spacing w:line="480" w:lineRule="auto"/>
              <w:ind w:left="0" w:leftChars="0" w:firstLine="480" w:firstLineChars="200"/>
              <w:textAlignment w:val="auto"/>
              <w:rPr>
                <w:color w:val="000000"/>
                <w:kern w:val="0"/>
              </w:rPr>
            </w:pPr>
          </w:p>
        </w:tc>
      </w:tr>
    </w:tbl>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于各雏形瓶中加</w:t>
      </w:r>
      <w:r>
        <w:t>10ml盐酸和一定量水，必须使体积约为40ml，此时溶液酸</w:t>
      </w:r>
      <w:r>
        <w:rPr>
          <w:rFonts w:hint="eastAsia"/>
        </w:rPr>
        <w:t>度为</w:t>
      </w:r>
      <w:r>
        <w:t>c（HCl）=3mol/L。然后加入2ml碘化钾溶液和2ml氯化亚锡溶液，混匀，</w:t>
      </w:r>
      <w:r>
        <w:rPr>
          <w:rFonts w:hint="eastAsia"/>
        </w:rPr>
        <w:t>放置</w:t>
      </w:r>
      <w:r>
        <w:t>15min。</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置少量乙酸铅棉花于玻璃管内以吸收硫化氢、二氧化硫等。吸取</w:t>
      </w:r>
      <w:r>
        <w:t>5ml二乙</w:t>
      </w:r>
      <w:r>
        <w:rPr>
          <w:rFonts w:hint="eastAsia"/>
        </w:rPr>
        <w:t>基二硫代氨基甲酸银吡啶溶液置于</w:t>
      </w:r>
      <w:r>
        <w:t>10ml量筒中，按图1链接仪器，磨口玻璃吻</w:t>
      </w:r>
      <w:r>
        <w:rPr>
          <w:rFonts w:hint="eastAsia"/>
        </w:rPr>
        <w:t>合处在反应过程中应保持密封。</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称量</w:t>
      </w:r>
      <w:r>
        <w:t>5g锌粒加入雏形瓶中，迅速链接好仪器，使反应进行约45min，移去</w:t>
      </w:r>
      <w:r>
        <w:rPr>
          <w:rFonts w:hint="eastAsia"/>
        </w:rPr>
        <w:t>量筒，充分摇匀溶液所生成的紫红色胶态银。用</w:t>
      </w:r>
      <w:r>
        <w:t>1cm吸收池，在波长540nm处，</w:t>
      </w:r>
      <w:r>
        <w:rPr>
          <w:rFonts w:hint="eastAsia"/>
        </w:rPr>
        <w:t>以砷含量为</w:t>
      </w:r>
      <w:r>
        <w:t>0的标准溶液为参比溶液，调节分光光度计吸光度为零后，测定各</w:t>
      </w:r>
      <w:r>
        <w:rPr>
          <w:rFonts w:hint="eastAsia"/>
        </w:rPr>
        <w:t>标准溶液的吸光度。</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显色溶液在暗处可稳定两小时，测定应在此期间进行。</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以标准溶液的砷含量（</w:t>
      </w:r>
      <w:r>
        <w:t>ug）为横坐标，相应的吸光度为纵坐标，绘制工作曲线。</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测定：吸取一定量的试液于</w:t>
      </w:r>
      <w:r>
        <w:t>100ml雏形瓶中，加10ml盐酸；补充水使其体积约</w:t>
      </w:r>
      <w:r>
        <w:rPr>
          <w:rFonts w:hint="eastAsia"/>
        </w:rPr>
        <w:t>为</w:t>
      </w:r>
      <w:r>
        <w:t>40ml，加入1g抗坏血酸。后面按工作曲线步骤中相关步骤操作，即从“然后</w:t>
      </w:r>
      <w:r>
        <w:rPr>
          <w:rFonts w:hint="eastAsia"/>
        </w:rPr>
        <w:t>加入</w:t>
      </w:r>
      <w:r>
        <w:t>2ml碘化钾溶液和2ml氯化锡溶液，、、、、、、”开始，直至“、、、、、测定溶液</w:t>
      </w:r>
      <w:r>
        <w:rPr>
          <w:rFonts w:hint="eastAsia"/>
        </w:rPr>
        <w:t>的吸光度”为止完成测定。</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空白试验：采用空白溶液，其它步骤同样品测定。</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lang w:eastAsia="zh-CN"/>
        </w:rPr>
        <w:t>（</w:t>
      </w:r>
      <w:r>
        <w:rPr>
          <w:rFonts w:hint="eastAsia"/>
          <w:lang w:val="en-US" w:eastAsia="zh-CN"/>
        </w:rPr>
        <w:t>5</w:t>
      </w:r>
      <w:r>
        <w:rPr>
          <w:rFonts w:hint="eastAsia"/>
          <w:lang w:eastAsia="zh-CN"/>
        </w:rPr>
        <w:t>）</w:t>
      </w:r>
      <w:r>
        <w:rPr>
          <w:rFonts w:hint="eastAsia"/>
        </w:rPr>
        <w:t>分析结果</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砷含量以质量分数表示</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rPr>
          <w:rFonts w:hint="eastAsia" w:eastAsia="宋体"/>
          <w:lang w:eastAsia="zh-CN"/>
        </w:rPr>
      </w:pPr>
      <w:r>
        <w:t>W=（c3-c03）*250*100/</w:t>
      </w:r>
      <w:r>
        <w:rPr>
          <w:rFonts w:hint="eastAsia"/>
          <w:lang w:eastAsia="zh-CN"/>
        </w:rPr>
        <w:t>（</w:t>
      </w:r>
      <w:r>
        <w:t>M1*V*1000000</w:t>
      </w:r>
      <w:r>
        <w:rPr>
          <w:rFonts w:hint="eastAsia"/>
          <w:lang w:eastAsia="zh-CN"/>
        </w:rPr>
        <w:t>）</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式中：</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C3————————工作曲线查出的试样溶液中砷的含量，单位为微克。</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C03————————由工作曲线查出的空白溶液中砷的含量，单位为微克。</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250————————试样溶液总体积，单位为毫升。</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M1——————————试样的质量，单位为克。</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t>V——————————测定时，所取试液体积，单位为毫升。</w:t>
      </w:r>
    </w:p>
    <w:p>
      <w:pPr>
        <w:keepNext w:val="0"/>
        <w:keepLines w:val="0"/>
        <w:pageBreakBefore w:val="0"/>
        <w:kinsoku/>
        <w:wordWrap/>
        <w:overflowPunct/>
        <w:topLinePunct w:val="0"/>
        <w:autoSpaceDE/>
        <w:autoSpaceDN/>
        <w:bidi w:val="0"/>
        <w:adjustRightInd w:val="0"/>
        <w:snapToGrid w:val="0"/>
        <w:spacing w:line="480" w:lineRule="auto"/>
        <w:ind w:left="0" w:leftChars="0" w:firstLine="560" w:firstLineChars="200"/>
        <w:textAlignment w:val="auto"/>
      </w:pPr>
      <w:r>
        <w:rPr>
          <w:rFonts w:hint="eastAsia"/>
        </w:rPr>
        <w:t>取平行测定结果的算术评均值为测定结果。</w:t>
      </w:r>
    </w:p>
    <w:p>
      <w:pPr>
        <w:widowControl/>
        <w:spacing w:before="0" w:after="0" w:line="240" w:lineRule="auto"/>
        <w:ind w:firstLine="0" w:firstLineChars="0"/>
        <w:jc w:val="left"/>
        <w:rPr>
          <w:rFonts w:ascii="Arial" w:hAnsi="Arial"/>
          <w:b/>
          <w:bCs/>
          <w:sz w:val="28"/>
          <w:szCs w:val="32"/>
        </w:rPr>
      </w:pPr>
      <w:r>
        <w:br w:type="page"/>
      </w:r>
    </w:p>
    <w:bookmarkEnd w:id="564"/>
    <w:bookmarkEnd w:id="565"/>
    <w:p>
      <w:pPr>
        <w:pStyle w:val="4"/>
        <w:bidi w:val="0"/>
      </w:pPr>
      <w:bookmarkStart w:id="643" w:name="_Toc24813"/>
      <w:bookmarkStart w:id="644" w:name="_Ref118206478"/>
      <w:bookmarkStart w:id="645" w:name="_Ref118206486"/>
      <w:bookmarkStart w:id="646" w:name="_Ref118206476"/>
      <w:bookmarkStart w:id="647" w:name="_Toc116924314"/>
      <w:bookmarkStart w:id="648" w:name="_Toc118223538"/>
      <w:bookmarkStart w:id="649" w:name="_Toc118293312"/>
      <w:r>
        <w:rPr>
          <w:rFonts w:hint="eastAsia"/>
          <w:lang w:val="en-US" w:eastAsia="zh-CN"/>
        </w:rPr>
        <w:t xml:space="preserve">第三节  </w:t>
      </w:r>
      <w:r>
        <w:rPr>
          <w:rFonts w:hint="eastAsia"/>
        </w:rPr>
        <w:t>肥料常见质量问题及提高化肥检验方法</w:t>
      </w:r>
      <w:bookmarkEnd w:id="643"/>
      <w:bookmarkEnd w:id="644"/>
      <w:bookmarkEnd w:id="645"/>
      <w:bookmarkEnd w:id="646"/>
      <w:bookmarkEnd w:id="647"/>
      <w:bookmarkEnd w:id="648"/>
      <w:bookmarkEnd w:id="649"/>
    </w:p>
    <w:p>
      <w:pPr>
        <w:ind w:firstLine="480"/>
      </w:pPr>
      <w:r>
        <w:rPr>
          <w:rFonts w:hint="eastAsia"/>
        </w:rPr>
        <w:t>分析化肥产品常见质量不合格项目（养分含量、有机质含量、中微量元素含量、氯离子含量、</w:t>
      </w:r>
      <w:r>
        <w:t>pH值、粒度、水分）原因及其危害。从采样、称样量、检验人员综合水平及仪器准确度方面提高化肥检验准确度的方法。</w:t>
      </w:r>
    </w:p>
    <w:p>
      <w:pPr>
        <w:pStyle w:val="5"/>
        <w:bidi w:val="0"/>
        <w:rPr>
          <w:rFonts w:hint="eastAsia"/>
          <w:lang w:eastAsia="zh-CN"/>
        </w:rPr>
      </w:pPr>
      <w:bookmarkStart w:id="650" w:name="_Toc6240"/>
      <w:r>
        <w:rPr>
          <w:rFonts w:hint="eastAsia"/>
        </w:rPr>
        <w:t>一、提升化肥分析检验准确度的必要性</w:t>
      </w:r>
      <w:bookmarkEnd w:id="650"/>
    </w:p>
    <w:p>
      <w:pPr>
        <w:ind w:firstLine="480"/>
      </w:pPr>
      <w:r>
        <w:rPr>
          <w:rFonts w:hint="eastAsia"/>
        </w:rPr>
        <w:t>社会不断发展，科技水平不断提高，化肥作为提高农业生产量的重要组成部分，直接影响着我国粮食产量。从目前情况看，化肥的使用并没有给农产品质量以及产量带来明显的增多。根据相关调查，化肥质量无法达到实际需求的标准，特别是复合肥料很难满足需求。化学肥料使用主要目的是增加产量从而获得更大的效益，但是如果采用低质量化肥，反而会起到副作用影响产量。提升化肥分析检验准确度，不仅可以提升农业产量，一定程度上也保护了生态环境。对化肥成分进行分析、检验，可以进一步明确其质量，通过质量等级判定，对没有达标的质量化肥及时采取措施进行整改，严格要求其质量，从而提升化肥产品质量。准确度是检验化肥的重要标准，所以提高化肥质量的关键部分就是提升其准确度。从企业角度而言，在化肥产品质量得到提升的同时也促使企业产品质量得到保证，很好的推动企业品牌效益，使得企业获得更多的经济效益。</w:t>
      </w:r>
    </w:p>
    <w:p>
      <w:pPr>
        <w:pStyle w:val="5"/>
        <w:bidi w:val="0"/>
        <w:rPr>
          <w:rFonts w:hint="eastAsia"/>
          <w:lang w:eastAsia="zh-CN"/>
        </w:rPr>
      </w:pPr>
      <w:bookmarkStart w:id="651" w:name="_Toc17423"/>
      <w:r>
        <w:rPr>
          <w:rFonts w:hint="eastAsia"/>
        </w:rPr>
        <w:t>二、化肥产品常见质量不合格项目分析</w:t>
      </w:r>
      <w:bookmarkEnd w:id="651"/>
    </w:p>
    <w:p>
      <w:pPr>
        <w:ind w:firstLine="480"/>
        <w:rPr>
          <w:rFonts w:hint="eastAsia" w:eastAsia="宋体"/>
          <w:lang w:eastAsia="zh-CN"/>
        </w:rPr>
      </w:pPr>
      <w:r>
        <w:rPr>
          <w:rFonts w:hint="eastAsia"/>
          <w:lang w:eastAsia="zh-CN"/>
        </w:rPr>
        <w:t>（</w:t>
      </w:r>
      <w:r>
        <w:rPr>
          <w:rFonts w:hint="eastAsia"/>
          <w:lang w:val="en-US" w:eastAsia="zh-CN"/>
        </w:rPr>
        <w:t>一</w:t>
      </w:r>
      <w:r>
        <w:rPr>
          <w:rFonts w:hint="eastAsia"/>
          <w:lang w:eastAsia="zh-CN"/>
        </w:rPr>
        <w:t>）</w:t>
      </w:r>
      <w:r>
        <w:t>总养分含量不合格原因及危害。肥料中总氮、有效五氧化二磷和氧化钾含量之和称为总养分含量。总养分含量与肥料产品的生产成本相关，有些企业在肥料生产过程中故意减少养分含量来获取最大利益。施用总养分含量不合格的肥料，将影响作物的生长发育、产量和品质，达不到预期的增产效果，造成农民年收入减少，作物品质降低。</w:t>
      </w:r>
    </w:p>
    <w:p>
      <w:pPr>
        <w:ind w:firstLine="480"/>
        <w:rPr>
          <w:rFonts w:hint="eastAsia" w:eastAsia="宋体"/>
          <w:lang w:eastAsia="zh-CN"/>
        </w:rPr>
      </w:pPr>
      <w:r>
        <w:rPr>
          <w:rFonts w:hint="eastAsia"/>
          <w:lang w:eastAsia="zh-CN"/>
        </w:rPr>
        <w:t>（</w:t>
      </w:r>
      <w:r>
        <w:rPr>
          <w:rFonts w:hint="eastAsia"/>
          <w:lang w:val="en-US" w:eastAsia="zh-CN"/>
        </w:rPr>
        <w:t>二</w:t>
      </w:r>
      <w:r>
        <w:rPr>
          <w:rFonts w:hint="eastAsia"/>
          <w:lang w:eastAsia="zh-CN"/>
        </w:rPr>
        <w:t>）</w:t>
      </w:r>
      <w:r>
        <w:t>单养分含量不合格原因及危害。肥料中总氮、有效五氧化二磷和氧化钾对植物的生长有不同的作用。总氮是无机氮和有机氮的总和，包括有铵态氮、硝态氮、酰胺态氮、有机质氮几种存在方式。氮元素是蛋白质、核酸、叶绿素、酶的组成成分之一，是植物生长需要最多的营养元素，它主要以铵态氮和硝态氮两种无机氮形式被植物吸收。肥料中总氮不合格会导致植株矮小、根细、枝少等现象。磷是植物发芽过程必需</w:t>
      </w:r>
      <w:r>
        <w:rPr>
          <w:rFonts w:hint="eastAsia"/>
        </w:rPr>
        <w:t>的营养元素，它可增强植物的抗逆性，促进根茎的生长，提高果实的口感等。肥料中的钾元素能促使作物生长健壮，茎秆粗硬，增强对病虫害和倒伏的抵抗能力，促进糖分和淀粉的生成，氧化钾在植物生长过程中最重要的功能是促进酶的活化作用，促进光合作用和光合产物的运输。针对不同土壤环境和农作物品种设计合理的单养分配比，不但可以更好地发挥每个养分的作用，满足作物生长的不同需求，还能够防止过量施用肥料导致养分流失到环境中，给环境造成破坏。因此，单养分含量也是肥料产品的重要技术指标。导致单养分含量不合格的原因主要有：（</w:t>
      </w:r>
      <w:r>
        <w:t>1）企业使用养分</w:t>
      </w:r>
      <w:r>
        <w:rPr>
          <w:rFonts w:hint="eastAsia"/>
        </w:rPr>
        <w:t>含量达不到标准要求的原料；（</w:t>
      </w:r>
      <w:r>
        <w:t>2）生产工艺落后，在肥料生产过程中部分养分损失，包装袋标注的三元肥变成了二元肥；（3）由于氮、磷、钾3种单养分的价格差异，有些企业为了降低成本，故意加大单价低的养分量，减少单价高的养分量，虽然产品中总养分含量合格，但是单养分含量依然不合格。</w:t>
      </w:r>
    </w:p>
    <w:p>
      <w:pPr>
        <w:ind w:firstLine="480"/>
      </w:pPr>
      <w:r>
        <w:rPr>
          <w:rFonts w:hint="eastAsia"/>
          <w:lang w:eastAsia="zh-CN"/>
        </w:rPr>
        <w:t>（</w:t>
      </w:r>
      <w:r>
        <w:rPr>
          <w:rFonts w:hint="eastAsia"/>
          <w:lang w:val="en-US" w:eastAsia="zh-CN"/>
        </w:rPr>
        <w:t>三</w:t>
      </w:r>
      <w:r>
        <w:rPr>
          <w:rFonts w:hint="eastAsia"/>
          <w:lang w:eastAsia="zh-CN"/>
        </w:rPr>
        <w:t>）</w:t>
      </w:r>
      <w:r>
        <w:t>有机质含量不合格原因。有机质是土壤养分的主要来源，能提高土壤的通透性、保水性、保肥能力，改善土壤物理性质，促进土壤中有益微生物的活动。土壤微生物可以将有机质分解为无机养分供作物吸收，分解过程中产生的腐植酸有刺激作物生长发育的作用。对于有机-无机复混肥料、有机肥料、生物有机肥、复合微生物肥料来说，有机质就是产品的主要养分指标。</w:t>
      </w:r>
    </w:p>
    <w:p>
      <w:pPr>
        <w:ind w:firstLine="480"/>
        <w:rPr>
          <w:rFonts w:hint="eastAsia" w:eastAsia="宋体"/>
          <w:lang w:eastAsia="zh-CN"/>
        </w:rPr>
      </w:pPr>
      <w:r>
        <w:rPr>
          <w:rFonts w:hint="eastAsia"/>
          <w:lang w:eastAsia="zh-CN"/>
        </w:rPr>
        <w:t>（</w:t>
      </w:r>
      <w:r>
        <w:rPr>
          <w:rFonts w:hint="eastAsia"/>
          <w:lang w:val="en-US" w:eastAsia="zh-CN"/>
        </w:rPr>
        <w:t>四</w:t>
      </w:r>
      <w:r>
        <w:rPr>
          <w:rFonts w:hint="eastAsia"/>
          <w:lang w:eastAsia="zh-CN"/>
        </w:rPr>
        <w:t>）</w:t>
      </w:r>
      <w:r>
        <w:t>中微量元素含量不合格危害。中量元素含量是指水溶肥料中钙、镁元素的含量之和。中量元素含量达不到标准规定值，会降低植物抗病能力，作物易倒伏，果实发育不良，从而导致农作物减产。微量元素含量是指水溶肥料中铜、铁、锰、锌、硼、钼元素的含量之和。虽然植物对微量元素的需求量小，但缺乏微量元素，会使植物生长发育受到抑制；微量元素含量过高，植物也会中毒。</w:t>
      </w:r>
    </w:p>
    <w:p>
      <w:pPr>
        <w:ind w:firstLine="480"/>
        <w:rPr>
          <w:rFonts w:hint="eastAsia" w:eastAsia="宋体"/>
          <w:lang w:eastAsia="zh-CN"/>
        </w:rPr>
      </w:pPr>
      <w:r>
        <w:rPr>
          <w:rFonts w:hint="eastAsia"/>
          <w:lang w:eastAsia="zh-CN"/>
        </w:rPr>
        <w:t>（</w:t>
      </w:r>
      <w:r>
        <w:rPr>
          <w:rFonts w:hint="eastAsia"/>
          <w:lang w:val="en-US" w:eastAsia="zh-CN"/>
        </w:rPr>
        <w:t>五</w:t>
      </w:r>
      <w:r>
        <w:rPr>
          <w:rFonts w:hint="eastAsia"/>
          <w:lang w:eastAsia="zh-CN"/>
        </w:rPr>
        <w:t>）</w:t>
      </w:r>
      <w:r>
        <w:t>氯离子含量不合格原因及危害。氯元素是作物生长必不可少的微量元素，在一定浓度下可促进作物的生长，但是当浓度过高时会影响植物的生长。肥料氯离子含量超标有多种原因：一是使用了含氯原料（如氯化铵、氯化钾），但未在包装标识中标明；二是企业在生产过程中，对含氯原料用量控制不严，过量添加导致其成品氯离子含量超标；三是个别企业对标准掌握不足（按照氯离子含量高低，标准将含氯复混肥料</w:t>
      </w:r>
      <w:r>
        <w:rPr>
          <w:rFonts w:hint="eastAsia"/>
        </w:rPr>
        <w:t>产品分为高氯、中氯、低氯</w:t>
      </w:r>
      <w:r>
        <w:t>3种规格），对自身产品含氯情况不够了解。对忌氯作物使用了氯含量超标的肥料，易造成作物减产，甚至绝收；长期使用氯含量超标的肥料还会造成土壤酸化，容易激活土壤中的铝、锰等元素，毒害农作物，影响农产品品质。</w:t>
      </w:r>
    </w:p>
    <w:p>
      <w:pPr>
        <w:ind w:firstLine="480"/>
        <w:rPr>
          <w:rFonts w:hint="eastAsia" w:eastAsia="宋体"/>
          <w:lang w:eastAsia="zh-CN"/>
        </w:rPr>
      </w:pPr>
      <w:r>
        <w:rPr>
          <w:rFonts w:hint="eastAsia"/>
          <w:lang w:eastAsia="zh-CN"/>
        </w:rPr>
        <w:t>（</w:t>
      </w:r>
      <w:r>
        <w:rPr>
          <w:rFonts w:hint="eastAsia"/>
          <w:lang w:val="en-US" w:eastAsia="zh-CN"/>
        </w:rPr>
        <w:t>六</w:t>
      </w:r>
      <w:r>
        <w:rPr>
          <w:rFonts w:hint="eastAsia"/>
          <w:lang w:eastAsia="zh-CN"/>
        </w:rPr>
        <w:t>）</w:t>
      </w:r>
      <w:r>
        <w:t>pH值不合格原因及危害。农民在选择化肥时，可根据土壤的酸碱度选择适合的肥料，但若肥料的pH值不合格，会影响酸碱敏感作物对养分的吸收。生产企业对原料或工艺把关不严，使用了游离酸含量超标的原料，或原料配比不合理，均会导致肥料pH值不合格。过酸或过碱的肥料在使用过程中会对幼苗造成伤害。</w:t>
      </w:r>
    </w:p>
    <w:p>
      <w:pPr>
        <w:ind w:firstLine="480"/>
        <w:rPr>
          <w:rFonts w:hint="eastAsia" w:eastAsia="宋体"/>
          <w:lang w:eastAsia="zh-CN"/>
        </w:rPr>
      </w:pPr>
      <w:r>
        <w:rPr>
          <w:rFonts w:hint="eastAsia"/>
          <w:lang w:eastAsia="zh-CN"/>
        </w:rPr>
        <w:t>（</w:t>
      </w:r>
      <w:r>
        <w:rPr>
          <w:rFonts w:hint="eastAsia"/>
          <w:lang w:val="en-US" w:eastAsia="zh-CN"/>
        </w:rPr>
        <w:t>七</w:t>
      </w:r>
      <w:r>
        <w:rPr>
          <w:rFonts w:hint="eastAsia"/>
          <w:lang w:eastAsia="zh-CN"/>
        </w:rPr>
        <w:t>）</w:t>
      </w:r>
      <w:r>
        <w:t>粒度不合格原因及危害。化肥的粒度是化肥质量的重要指标。符合质量标准的产品，造粒均匀，工艺成熟，利于机械化操作，施用后，还可起到缓释作用，提高肥料的利用率。肥料粒度不合格将影响肥料的储存、使用。而个别企业对标准中粒度指标缺乏重视，生产过程控制不严，导致产品不合格。</w:t>
      </w:r>
    </w:p>
    <w:p>
      <w:pPr>
        <w:ind w:firstLine="480"/>
        <w:rPr>
          <w:rFonts w:hint="eastAsia" w:eastAsia="宋体"/>
          <w:lang w:eastAsia="zh-CN"/>
        </w:rPr>
      </w:pPr>
      <w:r>
        <w:rPr>
          <w:rFonts w:hint="eastAsia"/>
          <w:lang w:eastAsia="zh-CN"/>
        </w:rPr>
        <w:t>（</w:t>
      </w:r>
      <w:r>
        <w:rPr>
          <w:rFonts w:hint="eastAsia"/>
          <w:lang w:val="en-US" w:eastAsia="zh-CN"/>
        </w:rPr>
        <w:t>八</w:t>
      </w:r>
      <w:r>
        <w:rPr>
          <w:rFonts w:hint="eastAsia"/>
          <w:lang w:eastAsia="zh-CN"/>
        </w:rPr>
        <w:t>）</w:t>
      </w:r>
      <w:r>
        <w:t>水含量不合格原因及危害。水含量高会影响肥料的物理性能，易造成结块，导致施用不便。水含量不合格主要原因是干燥工序操作不当。例如，干燥时间短，离心机推料快慢程度不合理，储存仓库环境潮湿，通风不达标，运输保管条件不当，包装袋密封不好等方面也会导致肥料产品水含量高。</w:t>
      </w:r>
    </w:p>
    <w:p>
      <w:pPr>
        <w:pStyle w:val="5"/>
        <w:bidi w:val="0"/>
      </w:pPr>
      <w:bookmarkStart w:id="652" w:name="_Toc13980"/>
      <w:r>
        <w:rPr>
          <w:rFonts w:hint="eastAsia"/>
        </w:rPr>
        <w:t>三、提高化肥检验准确度的方法</w:t>
      </w:r>
      <w:bookmarkEnd w:id="652"/>
    </w:p>
    <w:p>
      <w:pPr>
        <w:ind w:firstLine="480"/>
        <w:rPr>
          <w:rFonts w:hint="eastAsia" w:eastAsia="宋体"/>
          <w:lang w:eastAsia="zh-CN"/>
        </w:rPr>
      </w:pPr>
      <w:r>
        <w:rPr>
          <w:rFonts w:hint="eastAsia"/>
          <w:lang w:eastAsia="zh-CN"/>
        </w:rPr>
        <w:t>（</w:t>
      </w:r>
      <w:r>
        <w:rPr>
          <w:rFonts w:hint="eastAsia"/>
          <w:lang w:val="en-US" w:eastAsia="zh-CN"/>
        </w:rPr>
        <w:t>一</w:t>
      </w:r>
      <w:r>
        <w:rPr>
          <w:rFonts w:hint="eastAsia"/>
          <w:lang w:eastAsia="zh-CN"/>
        </w:rPr>
        <w:t>）</w:t>
      </w:r>
      <w:r>
        <w:t>化肥正确采样、抽样。选用专门的采样工具，抽样基于样品的随机性和均匀性，使样品有代表性。</w:t>
      </w:r>
    </w:p>
    <w:p>
      <w:pPr>
        <w:ind w:firstLine="480"/>
        <w:rPr>
          <w:rFonts w:hint="eastAsia" w:eastAsia="宋体"/>
          <w:lang w:eastAsia="zh-CN"/>
        </w:rPr>
      </w:pPr>
      <w:r>
        <w:rPr>
          <w:rFonts w:hint="eastAsia"/>
          <w:lang w:eastAsia="zh-CN"/>
        </w:rPr>
        <w:t>（</w:t>
      </w:r>
      <w:r>
        <w:rPr>
          <w:rFonts w:hint="eastAsia"/>
          <w:lang w:val="en-US" w:eastAsia="zh-CN"/>
        </w:rPr>
        <w:t>二</w:t>
      </w:r>
      <w:r>
        <w:rPr>
          <w:rFonts w:hint="eastAsia"/>
          <w:lang w:eastAsia="zh-CN"/>
        </w:rPr>
        <w:t>）</w:t>
      </w:r>
      <w:r>
        <w:t>增加称样量来降低检验误差。增加称样量可以使有效成分增多，减少化肥中杂质对检测结果的影响。化肥中杂质对磷和钾检测中沉淀质量以及氮元素检测的滴定都有影响，且电子天平自身</w:t>
      </w:r>
      <w:r>
        <w:rPr>
          <w:rFonts w:hint="eastAsia"/>
        </w:rPr>
        <w:t>存在系统误差，因此，增加称样量可以减少相对误差。</w:t>
      </w:r>
    </w:p>
    <w:p>
      <w:pPr>
        <w:ind w:firstLine="480"/>
        <w:rPr>
          <w:rFonts w:hint="eastAsia" w:eastAsia="宋体"/>
          <w:lang w:eastAsia="zh-CN"/>
        </w:rPr>
      </w:pPr>
      <w:r>
        <w:rPr>
          <w:rFonts w:hint="eastAsia"/>
          <w:lang w:eastAsia="zh-CN"/>
        </w:rPr>
        <w:t>（</w:t>
      </w:r>
      <w:r>
        <w:rPr>
          <w:rFonts w:hint="eastAsia"/>
          <w:lang w:val="en-US" w:eastAsia="zh-CN"/>
        </w:rPr>
        <w:t>三</w:t>
      </w:r>
      <w:r>
        <w:rPr>
          <w:rFonts w:hint="eastAsia"/>
          <w:lang w:eastAsia="zh-CN"/>
        </w:rPr>
        <w:t>）</w:t>
      </w:r>
      <w:r>
        <w:t>提升检验人员综合水平。提高检验人员的专业水平和业务水平，提高实验能力和责任心，做到对数据负责。对可疑数据进行分析，也可通过进行不同检验人员同实验数据比对或是相同人员多次平行实验提高检测准确度。</w:t>
      </w:r>
    </w:p>
    <w:p>
      <w:pPr>
        <w:ind w:firstLine="480"/>
        <w:rPr>
          <w:rFonts w:hint="eastAsia" w:eastAsia="宋体"/>
          <w:lang w:eastAsia="zh-CN"/>
        </w:rPr>
      </w:pPr>
      <w:r>
        <w:rPr>
          <w:rFonts w:hint="eastAsia"/>
          <w:lang w:eastAsia="zh-CN"/>
        </w:rPr>
        <w:t>（</w:t>
      </w:r>
      <w:r>
        <w:rPr>
          <w:rFonts w:hint="eastAsia"/>
          <w:lang w:val="en-US" w:eastAsia="zh-CN"/>
        </w:rPr>
        <w:t>四</w:t>
      </w:r>
      <w:r>
        <w:rPr>
          <w:rFonts w:hint="eastAsia"/>
          <w:lang w:eastAsia="zh-CN"/>
        </w:rPr>
        <w:t>）</w:t>
      </w:r>
      <w:r>
        <w:t>选用高精密度仪器。引入准确度和精密度高的仪器及玻璃器皿，减少环境和人员操作带来的系统误差和人员操作误差，提高实验数据的准确度。</w:t>
      </w:r>
    </w:p>
    <w:p>
      <w:pPr>
        <w:ind w:firstLine="480"/>
      </w:pPr>
      <w:r>
        <w:rPr>
          <w:rFonts w:hint="eastAsia"/>
        </w:rPr>
        <w:t>总之，在我国现代农业发展进程中，化肥作为重要的生产资料，其质量直接影响着农业增产。因此，需要全面提升化肥分析检测准确度，满足农业发展需求。提升化肥分析检验的准确度可以实现现代农业高效生产的发展目标，但是这是一个长期的过程，所以需要化肥生产企业以及分析检测工作人员的责任意识、追求卓越的精神去提升工作精准度，进而提升化肥质量，推动我国农业可持续发展。</w:t>
      </w:r>
    </w:p>
    <w:p>
      <w:pPr>
        <w:widowControl/>
        <w:spacing w:before="0" w:after="0" w:line="240" w:lineRule="auto"/>
        <w:ind w:firstLine="0" w:firstLineChars="0"/>
        <w:jc w:val="left"/>
      </w:pPr>
      <w:r>
        <w:br w:type="page"/>
      </w:r>
    </w:p>
    <w:p>
      <w:pPr>
        <w:pStyle w:val="4"/>
        <w:bidi w:val="0"/>
      </w:pPr>
      <w:bookmarkStart w:id="653" w:name="_Toc116924315"/>
      <w:bookmarkStart w:id="654" w:name="_Toc118223539"/>
      <w:bookmarkStart w:id="655" w:name="_Ref118206495"/>
      <w:bookmarkStart w:id="656" w:name="_Toc105600344"/>
      <w:bookmarkStart w:id="657" w:name="_Ref118206497"/>
      <w:bookmarkStart w:id="658" w:name="_Toc118293313"/>
      <w:bookmarkStart w:id="659" w:name="_Ref118206503"/>
      <w:bookmarkStart w:id="660" w:name="_Toc31511"/>
      <w:r>
        <w:rPr>
          <w:rFonts w:hint="eastAsia"/>
          <w:lang w:val="en-US" w:eastAsia="zh-CN"/>
        </w:rPr>
        <w:t xml:space="preserve">第四节  </w:t>
      </w:r>
      <w:r>
        <w:rPr>
          <w:rFonts w:hint="eastAsia"/>
        </w:rPr>
        <w:t>公司质量保证制度</w:t>
      </w:r>
      <w:bookmarkEnd w:id="653"/>
      <w:bookmarkEnd w:id="654"/>
      <w:bookmarkEnd w:id="655"/>
      <w:bookmarkEnd w:id="656"/>
      <w:bookmarkEnd w:id="657"/>
      <w:bookmarkEnd w:id="658"/>
      <w:bookmarkEnd w:id="659"/>
      <w:bookmarkEnd w:id="660"/>
    </w:p>
    <w:p>
      <w:pPr>
        <w:ind w:firstLine="480"/>
      </w:pPr>
      <w:r>
        <w:rPr>
          <w:rFonts w:hint="eastAsia"/>
        </w:rPr>
        <w:t>我公司为了保证产品质量，从产品生产前的原材料采购抓起，严格原材料质量的采购，生产环节的质量控制，到量后的产品销售，公司制定了严格的质量管理体系。</w:t>
      </w:r>
    </w:p>
    <w:p>
      <w:pPr>
        <w:pStyle w:val="52"/>
        <w:ind w:firstLine="400"/>
      </w:pPr>
      <w:r>
        <w:rPr>
          <w:rFonts w:hint="eastAsia"/>
        </w:rPr>
        <w:t>公司质量管理网络图</w:t>
      </w:r>
    </w:p>
    <w:p>
      <w:pPr>
        <w:pStyle w:val="52"/>
        <w:ind w:left="0" w:leftChars="0" w:firstLine="0" w:firstLineChars="0"/>
      </w:pPr>
      <w:r>
        <w:drawing>
          <wp:inline distT="0" distB="0" distL="0" distR="0">
            <wp:extent cx="5277485" cy="5871210"/>
            <wp:effectExtent l="0" t="0" r="18415" b="15240"/>
            <wp:docPr id="43027" name="图片 4302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7" name="图片 43027" descr="图示&#10;&#10;描述已自动生成"/>
                    <pic:cNvPicPr>
                      <a:picLocks noChangeAspect="1"/>
                    </pic:cNvPicPr>
                  </pic:nvPicPr>
                  <pic:blipFill>
                    <a:blip r:embed="rId47">
                      <a:extLst>
                        <a:ext uri="{BEBA8EAE-BF5A-486C-A8C5-ECC9F3942E4B}">
                          <a14:imgProps xmlns:a14="http://schemas.microsoft.com/office/drawing/2010/main">
                            <a14:imgLayer r:embed="rId48">
                              <a14:imgEffect>
                                <a14:colorTemperature colorTemp="7200"/>
                              </a14:imgEffect>
                            </a14:imgLayer>
                          </a14:imgProps>
                        </a:ext>
                      </a:extLst>
                    </a:blip>
                    <a:srcRect l="12369" t="14742" r="13681"/>
                    <a:stretch>
                      <a:fillRect/>
                    </a:stretch>
                  </pic:blipFill>
                  <pic:spPr>
                    <a:xfrm>
                      <a:off x="0" y="0"/>
                      <a:ext cx="5277600" cy="5871600"/>
                    </a:xfrm>
                    <a:prstGeom prst="rect">
                      <a:avLst/>
                    </a:prstGeom>
                    <a:ln>
                      <a:noFill/>
                    </a:ln>
                  </pic:spPr>
                </pic:pic>
              </a:graphicData>
            </a:graphic>
          </wp:inline>
        </w:drawing>
      </w:r>
    </w:p>
    <w:p>
      <w:pPr>
        <w:widowControl/>
        <w:spacing w:before="0" w:after="0" w:line="240" w:lineRule="auto"/>
        <w:ind w:firstLine="0" w:firstLineChars="0"/>
        <w:jc w:val="left"/>
      </w:pPr>
      <w:r>
        <w:br w:type="page"/>
      </w:r>
    </w:p>
    <w:p>
      <w:pPr>
        <w:pStyle w:val="5"/>
        <w:bidi w:val="0"/>
      </w:pPr>
      <w:bookmarkStart w:id="661" w:name="_Toc118293314"/>
      <w:bookmarkStart w:id="662" w:name="_Toc105600345"/>
      <w:bookmarkStart w:id="663" w:name="_Toc116924316"/>
      <w:bookmarkStart w:id="664" w:name="_Toc8821"/>
      <w:r>
        <w:rPr>
          <w:rFonts w:hint="eastAsia"/>
          <w:lang w:val="en-US" w:eastAsia="zh-CN"/>
        </w:rPr>
        <w:t>一、</w:t>
      </w:r>
      <w:r>
        <w:rPr>
          <w:rFonts w:hint="eastAsia"/>
        </w:rPr>
        <w:t>质量管理</w:t>
      </w:r>
      <w:bookmarkEnd w:id="661"/>
      <w:bookmarkEnd w:id="662"/>
      <w:bookmarkEnd w:id="663"/>
      <w:bookmarkEnd w:id="664"/>
    </w:p>
    <w:p>
      <w:pPr>
        <w:ind w:firstLine="480"/>
      </w:pPr>
      <w:r>
        <w:rPr>
          <w:rFonts w:hint="eastAsia"/>
        </w:rPr>
        <w:t>为了更好的为广泛推广有机肥料产品，确保“质量第一，信誉至上"、特制定本制度。</w:t>
      </w:r>
    </w:p>
    <w:p>
      <w:pPr>
        <w:ind w:firstLine="480"/>
      </w:pPr>
      <w:r>
        <w:rPr>
          <w:rFonts w:hint="eastAsia"/>
          <w:lang w:eastAsia="zh-CN"/>
        </w:rPr>
        <w:t>（</w:t>
      </w:r>
      <w:r>
        <w:rPr>
          <w:rFonts w:hint="eastAsia"/>
          <w:lang w:val="en-US" w:eastAsia="zh-CN"/>
        </w:rPr>
        <w:t>一</w:t>
      </w:r>
      <w:r>
        <w:rPr>
          <w:rFonts w:hint="eastAsia"/>
          <w:lang w:eastAsia="zh-CN"/>
        </w:rPr>
        <w:t>）</w:t>
      </w:r>
      <w:r>
        <w:rPr>
          <w:rFonts w:hint="eastAsia"/>
        </w:rPr>
        <w:t>各种原料来源以正规有许可证生产企业的产品为主，禁止使用伪劣产品，要严格把好原料第一关。</w:t>
      </w:r>
    </w:p>
    <w:p>
      <w:pPr>
        <w:ind w:firstLine="480"/>
      </w:pPr>
      <w:r>
        <w:rPr>
          <w:rFonts w:hint="eastAsia"/>
          <w:lang w:eastAsia="zh-CN"/>
        </w:rPr>
        <w:t>（</w:t>
      </w:r>
      <w:r>
        <w:rPr>
          <w:rFonts w:hint="eastAsia"/>
          <w:lang w:val="en-US" w:eastAsia="zh-CN"/>
        </w:rPr>
        <w:t>二</w:t>
      </w:r>
      <w:r>
        <w:rPr>
          <w:rFonts w:hint="eastAsia"/>
          <w:lang w:eastAsia="zh-CN"/>
        </w:rPr>
        <w:t>）</w:t>
      </w:r>
      <w:r>
        <w:rPr>
          <w:rFonts w:hint="eastAsia"/>
        </w:rPr>
        <w:t>每批每种原料进厂，首先必须由化验室负责及时化验，经检验合格后方可入库编号。</w:t>
      </w:r>
    </w:p>
    <w:p>
      <w:pPr>
        <w:ind w:firstLine="480"/>
      </w:pPr>
      <w:r>
        <w:rPr>
          <w:rFonts w:hint="eastAsia"/>
          <w:lang w:eastAsia="zh-CN"/>
        </w:rPr>
        <w:t>（</w:t>
      </w:r>
      <w:r>
        <w:rPr>
          <w:rFonts w:hint="eastAsia"/>
          <w:lang w:val="en-US" w:eastAsia="zh-CN"/>
        </w:rPr>
        <w:t>三</w:t>
      </w:r>
      <w:r>
        <w:rPr>
          <w:rFonts w:hint="eastAsia"/>
          <w:lang w:eastAsia="zh-CN"/>
        </w:rPr>
        <w:t>）</w:t>
      </w:r>
      <w:r>
        <w:rPr>
          <w:rFonts w:hint="eastAsia"/>
        </w:rPr>
        <w:t>化验室必须负责对每批</w:t>
      </w:r>
      <w:r>
        <w:rPr>
          <w:rFonts w:hint="eastAsia"/>
          <w:lang w:eastAsia="zh-CN"/>
        </w:rPr>
        <w:t>（</w:t>
      </w:r>
      <w:r>
        <w:rPr>
          <w:rFonts w:hint="eastAsia"/>
        </w:rPr>
        <w:t>种</w:t>
      </w:r>
      <w:r>
        <w:rPr>
          <w:rFonts w:hint="eastAsia"/>
          <w:lang w:eastAsia="zh-CN"/>
        </w:rPr>
        <w:t>）</w:t>
      </w:r>
      <w:r>
        <w:rPr>
          <w:rFonts w:hint="eastAsia"/>
        </w:rPr>
        <w:t>原料的质量标准及化验结果作详细记录。</w:t>
      </w:r>
    </w:p>
    <w:p>
      <w:pPr>
        <w:ind w:firstLine="480"/>
      </w:pPr>
      <w:r>
        <w:rPr>
          <w:rFonts w:hint="eastAsia"/>
          <w:lang w:eastAsia="zh-CN"/>
        </w:rPr>
        <w:t>（</w:t>
      </w:r>
      <w:r>
        <w:rPr>
          <w:rFonts w:hint="eastAsia"/>
          <w:lang w:val="en-US" w:eastAsia="zh-CN"/>
        </w:rPr>
        <w:t>四</w:t>
      </w:r>
      <w:r>
        <w:rPr>
          <w:rFonts w:hint="eastAsia"/>
          <w:lang w:eastAsia="zh-CN"/>
        </w:rPr>
        <w:t>）</w:t>
      </w:r>
      <w:r>
        <w:rPr>
          <w:rFonts w:hint="eastAsia"/>
        </w:rPr>
        <w:t>生产车间必须严格按照化验室出具的下料通知单进行配料，不得随意变动。</w:t>
      </w:r>
    </w:p>
    <w:p>
      <w:pPr>
        <w:ind w:firstLine="480"/>
      </w:pPr>
      <w:r>
        <w:rPr>
          <w:rFonts w:hint="eastAsia"/>
          <w:lang w:eastAsia="zh-CN"/>
        </w:rPr>
        <w:t>（</w:t>
      </w:r>
      <w:r>
        <w:rPr>
          <w:rFonts w:hint="eastAsia"/>
          <w:lang w:val="en-US" w:eastAsia="zh-CN"/>
        </w:rPr>
        <w:t>五</w:t>
      </w:r>
      <w:r>
        <w:rPr>
          <w:rFonts w:hint="eastAsia"/>
          <w:lang w:eastAsia="zh-CN"/>
        </w:rPr>
        <w:t>）</w:t>
      </w:r>
      <w:r>
        <w:rPr>
          <w:rFonts w:hint="eastAsia"/>
        </w:rPr>
        <w:t>车间各岗位必须严格执行操作规程及控制指标。</w:t>
      </w:r>
    </w:p>
    <w:p>
      <w:pPr>
        <w:ind w:firstLine="480"/>
      </w:pPr>
      <w:r>
        <w:rPr>
          <w:rFonts w:hint="eastAsia"/>
          <w:lang w:eastAsia="zh-CN"/>
        </w:rPr>
        <w:t>（</w:t>
      </w:r>
      <w:r>
        <w:rPr>
          <w:rFonts w:hint="eastAsia"/>
          <w:lang w:val="en-US" w:eastAsia="zh-CN"/>
        </w:rPr>
        <w:t>六</w:t>
      </w:r>
      <w:r>
        <w:rPr>
          <w:rFonts w:hint="eastAsia"/>
          <w:lang w:eastAsia="zh-CN"/>
        </w:rPr>
        <w:t>）</w:t>
      </w:r>
      <w:r>
        <w:rPr>
          <w:rFonts w:hint="eastAsia"/>
        </w:rPr>
        <w:t>每批产品入库前由质管科负责及时化验，经化验合格方可入库编号。</w:t>
      </w:r>
    </w:p>
    <w:p>
      <w:pPr>
        <w:ind w:firstLine="480"/>
      </w:pPr>
      <w:r>
        <w:rPr>
          <w:rFonts w:hint="eastAsia"/>
          <w:lang w:eastAsia="zh-CN"/>
        </w:rPr>
        <w:t>（</w:t>
      </w:r>
      <w:r>
        <w:rPr>
          <w:rFonts w:hint="eastAsia"/>
          <w:lang w:val="en-US" w:eastAsia="zh-CN"/>
        </w:rPr>
        <w:t>七</w:t>
      </w:r>
      <w:r>
        <w:rPr>
          <w:rFonts w:hint="eastAsia"/>
          <w:lang w:eastAsia="zh-CN"/>
        </w:rPr>
        <w:t>）</w:t>
      </w:r>
      <w:r>
        <w:rPr>
          <w:rFonts w:hint="eastAsia"/>
        </w:rPr>
        <w:t>不合格产品严禁出厂，作原料处理。</w:t>
      </w:r>
    </w:p>
    <w:p>
      <w:pPr>
        <w:ind w:firstLine="480"/>
      </w:pPr>
      <w:r>
        <w:rPr>
          <w:rFonts w:hint="eastAsia"/>
          <w:lang w:eastAsia="zh-CN"/>
        </w:rPr>
        <w:t>（</w:t>
      </w:r>
      <w:r>
        <w:rPr>
          <w:rFonts w:hint="eastAsia"/>
          <w:lang w:val="en-US" w:eastAsia="zh-CN"/>
        </w:rPr>
        <w:t>八</w:t>
      </w:r>
      <w:r>
        <w:rPr>
          <w:rFonts w:hint="eastAsia"/>
          <w:lang w:eastAsia="zh-CN"/>
        </w:rPr>
        <w:t>）</w:t>
      </w:r>
      <w:r>
        <w:rPr>
          <w:rFonts w:hint="eastAsia"/>
        </w:rPr>
        <w:t>每批产品出”必须有质管部门出具的质量证明书。</w:t>
      </w:r>
    </w:p>
    <w:p>
      <w:pPr>
        <w:ind w:firstLine="480"/>
      </w:pPr>
      <w:r>
        <w:rPr>
          <w:rFonts w:hint="eastAsia"/>
          <w:lang w:eastAsia="zh-CN"/>
        </w:rPr>
        <w:t>（</w:t>
      </w:r>
      <w:r>
        <w:rPr>
          <w:rFonts w:hint="eastAsia"/>
          <w:lang w:val="en-US" w:eastAsia="zh-CN"/>
        </w:rPr>
        <w:t>九</w:t>
      </w:r>
      <w:r>
        <w:rPr>
          <w:rFonts w:hint="eastAsia"/>
          <w:lang w:eastAsia="zh-CN"/>
        </w:rPr>
        <w:t>）</w:t>
      </w:r>
      <w:r>
        <w:rPr>
          <w:rFonts w:hint="eastAsia"/>
        </w:rPr>
        <w:t>如果由于质量原因而损害公司利益，必须追究有关人员的责任。</w:t>
      </w:r>
    </w:p>
    <w:p>
      <w:pPr>
        <w:widowControl/>
        <w:spacing w:before="0" w:after="0" w:line="240" w:lineRule="auto"/>
        <w:ind w:firstLine="0" w:firstLineChars="0"/>
        <w:jc w:val="left"/>
      </w:pPr>
      <w:r>
        <w:br w:type="page"/>
      </w:r>
    </w:p>
    <w:p>
      <w:pPr>
        <w:pStyle w:val="5"/>
        <w:bidi w:val="0"/>
      </w:pPr>
      <w:bookmarkStart w:id="665" w:name="_Toc105600346"/>
      <w:bookmarkStart w:id="666" w:name="_Toc12896"/>
      <w:bookmarkStart w:id="667" w:name="_Toc118293315"/>
      <w:bookmarkStart w:id="668" w:name="_Toc116924317"/>
      <w:r>
        <w:rPr>
          <w:rFonts w:hint="eastAsia"/>
          <w:lang w:val="en-US" w:eastAsia="zh-CN"/>
        </w:rPr>
        <w:t>二、</w:t>
      </w:r>
      <w:r>
        <w:rPr>
          <w:rFonts w:hint="eastAsia"/>
        </w:rPr>
        <w:t>采购质量控制制度</w:t>
      </w:r>
      <w:bookmarkEnd w:id="665"/>
      <w:bookmarkEnd w:id="666"/>
      <w:bookmarkEnd w:id="667"/>
      <w:bookmarkEnd w:id="668"/>
    </w:p>
    <w:p>
      <w:pPr>
        <w:ind w:firstLine="480"/>
      </w:pPr>
      <w:r>
        <w:rPr>
          <w:rFonts w:hint="eastAsia"/>
        </w:rPr>
        <w:t>为确保企业购进的各类原、辅材料符合相关国家</w:t>
      </w:r>
      <w:r>
        <w:rPr>
          <w:rFonts w:hint="eastAsia"/>
          <w:lang w:eastAsia="zh-CN"/>
        </w:rPr>
        <w:t>（</w:t>
      </w:r>
      <w:r>
        <w:rPr>
          <w:rFonts w:hint="eastAsia"/>
        </w:rPr>
        <w:t>或行业</w:t>
      </w:r>
      <w:r>
        <w:rPr>
          <w:rFonts w:hint="eastAsia"/>
          <w:lang w:eastAsia="zh-CN"/>
        </w:rPr>
        <w:t>）</w:t>
      </w:r>
      <w:r>
        <w:rPr>
          <w:rFonts w:hint="eastAsia"/>
        </w:rPr>
        <w:t>相关标准及旗足有机肥料产品质量要求。特制定采购质量控制制度。</w:t>
      </w:r>
    </w:p>
    <w:p>
      <w:pPr>
        <w:ind w:firstLine="480"/>
      </w:pPr>
      <w:r>
        <w:rPr>
          <w:rFonts w:hint="eastAsia"/>
          <w:lang w:eastAsia="zh-CN"/>
        </w:rPr>
        <w:t>（</w:t>
      </w:r>
      <w:r>
        <w:rPr>
          <w:rFonts w:hint="eastAsia"/>
          <w:lang w:val="en-US" w:eastAsia="zh-CN"/>
        </w:rPr>
        <w:t>一</w:t>
      </w:r>
      <w:r>
        <w:rPr>
          <w:rFonts w:hint="eastAsia"/>
          <w:lang w:eastAsia="zh-CN"/>
        </w:rPr>
        <w:t>）</w:t>
      </w:r>
      <w:r>
        <w:rPr>
          <w:rFonts w:hint="eastAsia"/>
        </w:rPr>
        <w:t>由生产技术，供应部门共同商定，提出所需采购的原辅材料的品种，名称、规格、数量、技术要求，质量标准、生产厂家，交货日期、交货方式等采购文件清单。由质检部门提出相应品种及相应的质量控制办法。</w:t>
      </w:r>
    </w:p>
    <w:p>
      <w:pPr>
        <w:ind w:firstLine="480"/>
      </w:pPr>
      <w:r>
        <w:rPr>
          <w:rFonts w:hint="eastAsia"/>
          <w:lang w:eastAsia="zh-CN"/>
        </w:rPr>
        <w:t>（</w:t>
      </w:r>
      <w:r>
        <w:rPr>
          <w:rFonts w:hint="eastAsia"/>
          <w:lang w:val="en-US" w:eastAsia="zh-CN"/>
        </w:rPr>
        <w:t>二</w:t>
      </w:r>
      <w:r>
        <w:rPr>
          <w:rFonts w:hint="eastAsia"/>
          <w:lang w:eastAsia="zh-CN"/>
        </w:rPr>
        <w:t>）</w:t>
      </w:r>
      <w:r>
        <w:rPr>
          <w:rFonts w:hint="eastAsia"/>
        </w:rPr>
        <w:t>生产技术，供应部门提出采购文件后，报总经理审核批准，并转质检部门抽样检验认可，供应部门方可签定采购合同及批量采购原辅材料。</w:t>
      </w:r>
    </w:p>
    <w:p>
      <w:pPr>
        <w:ind w:firstLine="480"/>
      </w:pPr>
      <w:r>
        <w:rPr>
          <w:rFonts w:hint="eastAsia"/>
          <w:lang w:eastAsia="zh-CN"/>
        </w:rPr>
        <w:t>（</w:t>
      </w:r>
      <w:r>
        <w:rPr>
          <w:rFonts w:hint="eastAsia"/>
          <w:lang w:val="en-US" w:eastAsia="zh-CN"/>
        </w:rPr>
        <w:t>三</w:t>
      </w:r>
      <w:r>
        <w:rPr>
          <w:rFonts w:hint="eastAsia"/>
          <w:lang w:eastAsia="zh-CN"/>
        </w:rPr>
        <w:t>）</w:t>
      </w:r>
      <w:r>
        <w:rPr>
          <w:rFonts w:hint="eastAsia"/>
        </w:rPr>
        <w:t>质检部门对在合格供方采购的原辅材料产品按相应晶种对应相关国家标准，实蘸质量检验&lt;抽样检验或查验合格证</w:t>
      </w:r>
      <w:r>
        <w:rPr>
          <w:rFonts w:hint="eastAsia"/>
          <w:lang w:eastAsia="zh-CN"/>
        </w:rPr>
        <w:t>）</w:t>
      </w:r>
      <w:r>
        <w:rPr>
          <w:rFonts w:hint="eastAsia"/>
        </w:rPr>
        <w:t>。并要保存所采购的原辅材料产品的检验记录</w:t>
      </w:r>
      <w:r>
        <w:rPr>
          <w:rFonts w:hint="eastAsia"/>
          <w:lang w:eastAsia="zh-CN"/>
        </w:rPr>
        <w:t>（</w:t>
      </w:r>
      <w:r>
        <w:rPr>
          <w:rFonts w:hint="eastAsia"/>
        </w:rPr>
        <w:t>或合格证</w:t>
      </w:r>
      <w:r>
        <w:rPr>
          <w:rFonts w:hint="eastAsia"/>
          <w:lang w:eastAsia="zh-CN"/>
        </w:rPr>
        <w:t>）</w:t>
      </w:r>
      <w:r>
        <w:rPr>
          <w:rFonts w:hint="eastAsia"/>
        </w:rPr>
        <w:t>。</w:t>
      </w:r>
    </w:p>
    <w:p>
      <w:pPr>
        <w:ind w:firstLine="480"/>
      </w:pPr>
      <w:r>
        <w:rPr>
          <w:rFonts w:hint="eastAsia"/>
          <w:lang w:eastAsia="zh-CN"/>
        </w:rPr>
        <w:t>（</w:t>
      </w:r>
      <w:r>
        <w:rPr>
          <w:rFonts w:hint="eastAsia"/>
          <w:lang w:val="en-US" w:eastAsia="zh-CN"/>
        </w:rPr>
        <w:t>四</w:t>
      </w:r>
      <w:r>
        <w:rPr>
          <w:rFonts w:hint="eastAsia"/>
          <w:lang w:eastAsia="zh-CN"/>
        </w:rPr>
        <w:t>）</w:t>
      </w:r>
      <w:r>
        <w:rPr>
          <w:rFonts w:hint="eastAsia"/>
        </w:rPr>
        <w:t>每年由供应部门提出一次性雷采购原料的供方名单及相关资料。由公司办公室组织生产技术。侯应、质检部门参加评审,对供方做出评价后报总经理审核批准。</w:t>
      </w:r>
    </w:p>
    <w:p>
      <w:pPr>
        <w:ind w:firstLine="480"/>
      </w:pPr>
      <w:r>
        <w:rPr>
          <w:rFonts w:hint="eastAsia"/>
          <w:lang w:eastAsia="zh-CN"/>
        </w:rPr>
        <w:t>（</w:t>
      </w:r>
      <w:r>
        <w:rPr>
          <w:rFonts w:hint="eastAsia"/>
          <w:lang w:val="en-US" w:eastAsia="zh-CN"/>
        </w:rPr>
        <w:t>五</w:t>
      </w:r>
      <w:r>
        <w:rPr>
          <w:rFonts w:hint="eastAsia"/>
          <w:lang w:eastAsia="zh-CN"/>
        </w:rPr>
        <w:t>）</w:t>
      </w:r>
      <w:r>
        <w:rPr>
          <w:rFonts w:hint="eastAsia"/>
        </w:rPr>
        <w:t>对供应部门签定的采购合同内容，必须明确双方的权利和义务。特别对供方的产品质量要求，供货时间、供货数量、付款方式，违约处罚都必须明白标注。</w:t>
      </w:r>
    </w:p>
    <w:p>
      <w:pPr>
        <w:ind w:firstLine="480"/>
      </w:pPr>
      <w:r>
        <w:rPr>
          <w:rFonts w:hint="eastAsia"/>
          <w:lang w:eastAsia="zh-CN"/>
        </w:rPr>
        <w:t>（</w:t>
      </w:r>
      <w:r>
        <w:rPr>
          <w:rFonts w:hint="eastAsia"/>
          <w:lang w:val="en-US" w:eastAsia="zh-CN"/>
        </w:rPr>
        <w:t>六</w:t>
      </w:r>
      <w:r>
        <w:rPr>
          <w:rFonts w:hint="eastAsia"/>
          <w:lang w:eastAsia="zh-CN"/>
        </w:rPr>
        <w:t>）</w:t>
      </w:r>
      <w:r>
        <w:rPr>
          <w:rFonts w:hint="eastAsia"/>
        </w:rPr>
        <w:t>采购合格供方的原辅材料进场前，必须由质检部门按照原材料管理制度的规定，车辆检验《质量，数量</w:t>
      </w:r>
      <w:r>
        <w:rPr>
          <w:rFonts w:hint="eastAsia"/>
          <w:lang w:eastAsia="zh-CN"/>
        </w:rPr>
        <w:t>）</w:t>
      </w:r>
      <w:r>
        <w:rPr>
          <w:rFonts w:hint="eastAsia"/>
        </w:rPr>
        <w:t>合格后方可允许进厂。</w:t>
      </w:r>
    </w:p>
    <w:p>
      <w:pPr>
        <w:widowControl/>
        <w:spacing w:before="0" w:after="0" w:line="240" w:lineRule="auto"/>
        <w:ind w:firstLine="0" w:firstLineChars="0"/>
        <w:jc w:val="left"/>
      </w:pPr>
      <w:r>
        <w:br w:type="page"/>
      </w:r>
    </w:p>
    <w:p>
      <w:pPr>
        <w:pStyle w:val="5"/>
        <w:bidi w:val="0"/>
      </w:pPr>
      <w:bookmarkStart w:id="669" w:name="_Toc105600347"/>
      <w:bookmarkStart w:id="670" w:name="_Toc118293316"/>
      <w:bookmarkStart w:id="671" w:name="_Toc832"/>
      <w:bookmarkStart w:id="672" w:name="_Toc116924318"/>
      <w:r>
        <w:rPr>
          <w:rFonts w:hint="eastAsia"/>
          <w:lang w:val="en-US" w:eastAsia="zh-CN"/>
        </w:rPr>
        <w:t>三、</w:t>
      </w:r>
      <w:r>
        <w:rPr>
          <w:rFonts w:hint="eastAsia"/>
        </w:rPr>
        <w:t>质量检验管理制度</w:t>
      </w:r>
      <w:bookmarkEnd w:id="669"/>
      <w:bookmarkEnd w:id="670"/>
      <w:bookmarkEnd w:id="671"/>
      <w:bookmarkEnd w:id="672"/>
    </w:p>
    <w:p>
      <w:pPr>
        <w:ind w:firstLine="480"/>
      </w:pPr>
      <w:r>
        <w:rPr>
          <w:rFonts w:hint="eastAsia"/>
        </w:rPr>
        <w:t>“质量第一，用户第一、安全第一，信息第一”是公司的主导思想，公司的办厂宗旨，以质量求生存，以质量求发展，以用户需要为宗旨，“人有志气，厂有正气，产品有名气”，是我们的企业精神。为此特订质量检验制度。</w:t>
      </w:r>
    </w:p>
    <w:p>
      <w:pPr>
        <w:ind w:firstLine="480"/>
      </w:pPr>
      <w:r>
        <w:rPr>
          <w:rFonts w:hint="eastAsia"/>
          <w:lang w:eastAsia="zh-CN"/>
        </w:rPr>
        <w:t>（</w:t>
      </w:r>
      <w:r>
        <w:rPr>
          <w:rFonts w:hint="eastAsia"/>
          <w:lang w:val="en-US" w:eastAsia="zh-CN"/>
        </w:rPr>
        <w:t>一</w:t>
      </w:r>
      <w:r>
        <w:rPr>
          <w:rFonts w:hint="eastAsia"/>
          <w:lang w:eastAsia="zh-CN"/>
        </w:rPr>
        <w:t>）</w:t>
      </w:r>
      <w:r>
        <w:rPr>
          <w:rFonts w:hint="eastAsia"/>
        </w:rPr>
        <w:t>化验室是公司质量监督岗，在总经理直接领导下。负责公司的质检工作，对质量责任有否决权。</w:t>
      </w:r>
    </w:p>
    <w:p>
      <w:pPr>
        <w:ind w:firstLine="480"/>
      </w:pPr>
      <w:r>
        <w:rPr>
          <w:rFonts w:hint="eastAsia"/>
          <w:lang w:eastAsia="zh-CN"/>
        </w:rPr>
        <w:t>（</w:t>
      </w:r>
      <w:r>
        <w:rPr>
          <w:rFonts w:hint="eastAsia"/>
          <w:lang w:val="en-US" w:eastAsia="zh-CN"/>
        </w:rPr>
        <w:t>二</w:t>
      </w:r>
      <w:r>
        <w:rPr>
          <w:rFonts w:hint="eastAsia"/>
          <w:lang w:eastAsia="zh-CN"/>
        </w:rPr>
        <w:t>）</w:t>
      </w:r>
      <w:r>
        <w:rPr>
          <w:rFonts w:hint="eastAsia"/>
        </w:rPr>
        <w:t>质检人员严格按照标准细则办事，以严肃认真的科学态度对待威检工作，必须一丝不苟，精益求精，准确无误，及时反馈质检信息。为公司领导当好耳目。</w:t>
      </w:r>
    </w:p>
    <w:p>
      <w:pPr>
        <w:ind w:firstLine="480"/>
      </w:pPr>
      <w:r>
        <w:rPr>
          <w:rFonts w:hint="eastAsia"/>
          <w:lang w:eastAsia="zh-CN"/>
        </w:rPr>
        <w:t>（</w:t>
      </w:r>
      <w:r>
        <w:rPr>
          <w:rFonts w:hint="eastAsia"/>
          <w:lang w:val="en-US" w:eastAsia="zh-CN"/>
        </w:rPr>
        <w:t>三</w:t>
      </w:r>
      <w:r>
        <w:rPr>
          <w:rFonts w:hint="eastAsia"/>
          <w:lang w:eastAsia="zh-CN"/>
        </w:rPr>
        <w:t>）</w:t>
      </w:r>
      <w:r>
        <w:rPr>
          <w:rFonts w:hint="eastAsia"/>
        </w:rPr>
        <w:t>进厂原燃材料，必须进行车辆检验。当班人员按规定取样，检验结果要迅速及时反馈给有关领导，否则造成后果对当班者严肃处理。</w:t>
      </w:r>
    </w:p>
    <w:p>
      <w:pPr>
        <w:ind w:firstLine="480"/>
      </w:pPr>
      <w:r>
        <w:rPr>
          <w:rFonts w:hint="eastAsia"/>
          <w:lang w:eastAsia="zh-CN"/>
        </w:rPr>
        <w:t>（</w:t>
      </w:r>
      <w:r>
        <w:rPr>
          <w:rFonts w:hint="eastAsia"/>
          <w:lang w:val="en-US" w:eastAsia="zh-CN"/>
        </w:rPr>
        <w:t>四</w:t>
      </w:r>
      <w:r>
        <w:rPr>
          <w:rFonts w:hint="eastAsia"/>
          <w:lang w:eastAsia="zh-CN"/>
        </w:rPr>
        <w:t>）</w:t>
      </w:r>
      <w:r>
        <w:rPr>
          <w:rFonts w:hint="eastAsia"/>
        </w:rPr>
        <w:t>进厂的外购件、外协件等经过生技科。按型号、规格顺量复验合格，方能入库，库房按其数量验收入库。</w:t>
      </w:r>
    </w:p>
    <w:p>
      <w:pPr>
        <w:ind w:firstLine="480"/>
      </w:pPr>
      <w:r>
        <w:rPr>
          <w:rFonts w:hint="eastAsia"/>
          <w:lang w:eastAsia="zh-CN"/>
        </w:rPr>
        <w:t>（</w:t>
      </w:r>
      <w:r>
        <w:rPr>
          <w:rFonts w:hint="eastAsia"/>
          <w:lang w:val="en-US" w:eastAsia="zh-CN"/>
        </w:rPr>
        <w:t>五</w:t>
      </w:r>
      <w:r>
        <w:rPr>
          <w:rFonts w:hint="eastAsia"/>
          <w:lang w:eastAsia="zh-CN"/>
        </w:rPr>
        <w:t>）</w:t>
      </w:r>
      <w:r>
        <w:rPr>
          <w:rFonts w:hint="eastAsia"/>
        </w:rPr>
        <w:t>对半成品、成品必须技标准抽查检验。将检验结果及时反馈给生产班组和有关领导，还必须进行公布，以便指导生产，对不符合标准的不准转入下道工序，对超过内控描标者及时填送质量信息反馈卡进行传递，责成有关部门采取措插限期整改处理，将处理結果经全质办检查认可后归档存结。</w:t>
      </w:r>
    </w:p>
    <w:p>
      <w:pPr>
        <w:ind w:firstLine="480"/>
      </w:pPr>
      <w:r>
        <w:rPr>
          <w:rFonts w:hint="eastAsia"/>
          <w:lang w:eastAsia="zh-CN"/>
        </w:rPr>
        <w:t>（</w:t>
      </w:r>
      <w:r>
        <w:rPr>
          <w:rFonts w:hint="eastAsia"/>
          <w:lang w:val="en-US" w:eastAsia="zh-CN"/>
        </w:rPr>
        <w:t>六</w:t>
      </w:r>
      <w:r>
        <w:rPr>
          <w:rFonts w:hint="eastAsia"/>
          <w:lang w:eastAsia="zh-CN"/>
        </w:rPr>
        <w:t>）</w:t>
      </w:r>
      <w:r>
        <w:rPr>
          <w:rFonts w:hint="eastAsia"/>
        </w:rPr>
        <w:t>成品检验做到双评检验，符合标准指标为有效判定合格，不符合标准时，应做到重复检验，质检部门负责人指定专人复核后。方能出具报告，凡超出内控指标，按上述第五条内容处理，检验的样品按规定定期妥善保管。</w:t>
      </w:r>
    </w:p>
    <w:p>
      <w:pPr>
        <w:ind w:firstLine="480"/>
      </w:pPr>
      <w:r>
        <w:rPr>
          <w:rFonts w:hint="eastAsia"/>
          <w:lang w:eastAsia="zh-CN"/>
        </w:rPr>
        <w:t>（</w:t>
      </w:r>
      <w:r>
        <w:rPr>
          <w:rFonts w:hint="eastAsia"/>
          <w:lang w:val="en-US" w:eastAsia="zh-CN"/>
        </w:rPr>
        <w:t>七</w:t>
      </w:r>
      <w:r>
        <w:rPr>
          <w:rFonts w:hint="eastAsia"/>
          <w:lang w:eastAsia="zh-CN"/>
        </w:rPr>
        <w:t>）</w:t>
      </w:r>
      <w:r>
        <w:rPr>
          <w:rFonts w:hint="eastAsia"/>
        </w:rPr>
        <w:t>填写检验记录，报告单。信息反馈卡，合格证，字迹工整。清晰整沽，无涂改，报告单、合格证经负责人签字后方可有效。</w:t>
      </w:r>
    </w:p>
    <w:p>
      <w:pPr>
        <w:ind w:firstLine="480"/>
      </w:pPr>
      <w:r>
        <w:rPr>
          <w:rFonts w:hint="eastAsia"/>
          <w:lang w:eastAsia="zh-CN"/>
        </w:rPr>
        <w:t>（</w:t>
      </w:r>
      <w:r>
        <w:rPr>
          <w:rFonts w:hint="eastAsia"/>
          <w:lang w:val="en-US" w:eastAsia="zh-CN"/>
        </w:rPr>
        <w:t>八</w:t>
      </w:r>
      <w:r>
        <w:rPr>
          <w:rFonts w:hint="eastAsia"/>
          <w:lang w:eastAsia="zh-CN"/>
        </w:rPr>
        <w:t>）</w:t>
      </w:r>
      <w:r>
        <w:rPr>
          <w:rFonts w:hint="eastAsia"/>
        </w:rPr>
        <w:t>车间质检员对包装及产品计量有否决权，有不符合者及时反馈</w:t>
      </w:r>
      <w:r>
        <w:rPr>
          <w:rFonts w:hint="eastAsia"/>
          <w:lang w:eastAsia="zh-CN"/>
        </w:rPr>
        <w:t>（</w:t>
      </w:r>
      <w:r>
        <w:rPr>
          <w:rFonts w:hint="eastAsia"/>
        </w:rPr>
        <w:t>填写质量信息反馈卡》，按上述第五条内容处理，凡包装计量不准确，不准进库、更不准出厂。</w:t>
      </w:r>
    </w:p>
    <w:p>
      <w:pPr>
        <w:ind w:firstLine="480"/>
      </w:pPr>
      <w:r>
        <w:rPr>
          <w:rFonts w:hint="eastAsia"/>
          <w:lang w:eastAsia="zh-CN"/>
        </w:rPr>
        <w:t>（</w:t>
      </w:r>
      <w:r>
        <w:rPr>
          <w:rFonts w:hint="eastAsia"/>
          <w:lang w:val="en-US" w:eastAsia="zh-CN"/>
        </w:rPr>
        <w:t>九</w:t>
      </w:r>
      <w:r>
        <w:rPr>
          <w:rFonts w:hint="eastAsia"/>
          <w:lang w:eastAsia="zh-CN"/>
        </w:rPr>
        <w:t>）</w:t>
      </w:r>
      <w:r>
        <w:rPr>
          <w:rFonts w:hint="eastAsia"/>
        </w:rPr>
        <w:t>检验用的仪器、仪表设备由分管计量的部门按规定时间检验，确保其准确性。</w:t>
      </w:r>
    </w:p>
    <w:p>
      <w:pPr>
        <w:ind w:firstLine="480"/>
      </w:pPr>
      <w:r>
        <w:rPr>
          <w:rFonts w:hint="eastAsia"/>
          <w:lang w:eastAsia="zh-CN"/>
        </w:rPr>
        <w:t>（</w:t>
      </w:r>
      <w:r>
        <w:rPr>
          <w:rFonts w:hint="eastAsia"/>
          <w:lang w:val="en-US" w:eastAsia="zh-CN"/>
        </w:rPr>
        <w:t>十</w:t>
      </w:r>
      <w:r>
        <w:rPr>
          <w:rFonts w:hint="eastAsia"/>
          <w:lang w:eastAsia="zh-CN"/>
        </w:rPr>
        <w:t>）</w:t>
      </w:r>
      <w:r>
        <w:rPr>
          <w:rFonts w:hint="eastAsia"/>
        </w:rPr>
        <w:t>严格生产现场质量管理，加强工序检验，找出存在的质量问题，进行整改，再经互验</w:t>
      </w:r>
      <w:r>
        <w:rPr>
          <w:rFonts w:hint="eastAsia"/>
          <w:lang w:eastAsia="zh-CN"/>
        </w:rPr>
        <w:t>（</w:t>
      </w:r>
      <w:r>
        <w:rPr>
          <w:rFonts w:hint="eastAsia"/>
        </w:rPr>
        <w:t>请班组检验员、车间质检员检验</w:t>
      </w:r>
      <w:r>
        <w:rPr>
          <w:rFonts w:hint="eastAsia"/>
          <w:lang w:eastAsia="zh-CN"/>
        </w:rPr>
        <w:t>）</w:t>
      </w:r>
      <w:r>
        <w:rPr>
          <w:rFonts w:hint="eastAsia"/>
        </w:rPr>
        <w:t>，确实认可，才能交专职检验人员检验;自检互检专职检验应该有检验记录，记入当班原始记录，专职人员按质量信息管理渠道流转。</w:t>
      </w:r>
    </w:p>
    <w:p>
      <w:pPr>
        <w:ind w:firstLine="480"/>
      </w:pPr>
      <w:r>
        <w:rPr>
          <w:rFonts w:hint="eastAsia"/>
          <w:lang w:eastAsia="zh-CN"/>
        </w:rPr>
        <w:t>（</w:t>
      </w:r>
      <w:r>
        <w:rPr>
          <w:rFonts w:hint="eastAsia"/>
          <w:lang w:val="en-US" w:eastAsia="zh-CN"/>
        </w:rPr>
        <w:t>十一</w:t>
      </w:r>
      <w:r>
        <w:rPr>
          <w:rFonts w:hint="eastAsia"/>
          <w:lang w:eastAsia="zh-CN"/>
        </w:rPr>
        <w:t>）</w:t>
      </w:r>
      <w:r>
        <w:rPr>
          <w:rFonts w:hint="eastAsia"/>
        </w:rPr>
        <w:t>在质量管理上凡不符合内控指标均视为质量事故:对待质量事故绝不手软，各级质检员要以铁石心肠、铁面无私的精神把好质量关，发生任何大小质量事故都必须及时填写质量信息反馈卡传递，按“三不放过”的原则杜绝类似事故再次发生，对于造成质量事故的责任者按公司质量考核奖惩制度进行。</w:t>
      </w:r>
    </w:p>
    <w:p>
      <w:pPr>
        <w:ind w:firstLine="480"/>
      </w:pPr>
      <w:r>
        <w:rPr>
          <w:rFonts w:hint="eastAsia"/>
          <w:lang w:eastAsia="zh-CN"/>
        </w:rPr>
        <w:t>（</w:t>
      </w:r>
      <w:r>
        <w:rPr>
          <w:rFonts w:hint="eastAsia"/>
          <w:lang w:val="en-US" w:eastAsia="zh-CN"/>
        </w:rPr>
        <w:t>十二</w:t>
      </w:r>
      <w:r>
        <w:rPr>
          <w:rFonts w:hint="eastAsia"/>
          <w:lang w:eastAsia="zh-CN"/>
        </w:rPr>
        <w:t>）</w:t>
      </w:r>
      <w:r>
        <w:rPr>
          <w:rFonts w:hint="eastAsia"/>
        </w:rPr>
        <w:t>各级干部违反上述规定，强行流动质检人员，化验室主任有权上诉或越级上诉。</w:t>
      </w:r>
    </w:p>
    <w:p>
      <w:pPr>
        <w:ind w:firstLine="480"/>
      </w:pPr>
      <w:r>
        <w:rPr>
          <w:rFonts w:hint="eastAsia"/>
          <w:lang w:eastAsia="zh-CN"/>
        </w:rPr>
        <w:t>（</w:t>
      </w:r>
      <w:r>
        <w:rPr>
          <w:rFonts w:hint="eastAsia"/>
          <w:lang w:val="en-US" w:eastAsia="zh-CN"/>
        </w:rPr>
        <w:t>十三</w:t>
      </w:r>
      <w:r>
        <w:rPr>
          <w:rFonts w:hint="eastAsia"/>
          <w:lang w:eastAsia="zh-CN"/>
        </w:rPr>
        <w:t>）</w:t>
      </w:r>
      <w:r>
        <w:rPr>
          <w:rFonts w:hint="eastAsia"/>
        </w:rPr>
        <w:t>生产和实验室用检验和计量设备，由公司生产设备管理部门每年底，请市、县质监局计量所人员到现场</w:t>
      </w:r>
      <w:r>
        <w:rPr>
          <w:rFonts w:hint="eastAsia"/>
          <w:lang w:eastAsia="zh-CN"/>
        </w:rPr>
        <w:t>（</w:t>
      </w:r>
      <w:r>
        <w:rPr>
          <w:rFonts w:hint="eastAsia"/>
        </w:rPr>
        <w:t>或送检</w:t>
      </w:r>
      <w:r>
        <w:rPr>
          <w:rFonts w:hint="eastAsia"/>
          <w:lang w:eastAsia="zh-CN"/>
        </w:rPr>
        <w:t>）</w:t>
      </w:r>
      <w:r>
        <w:rPr>
          <w:rFonts w:hint="eastAsia"/>
        </w:rPr>
        <w:t>一次，进行年检。检验合格的计量设备均应贴检验合格标签。</w:t>
      </w:r>
    </w:p>
    <w:p>
      <w:pPr>
        <w:ind w:firstLine="480"/>
      </w:pPr>
      <w:r>
        <w:rPr>
          <w:rFonts w:hint="eastAsia"/>
          <w:lang w:eastAsia="zh-CN"/>
        </w:rPr>
        <w:t>（</w:t>
      </w:r>
      <w:r>
        <w:rPr>
          <w:rFonts w:hint="eastAsia"/>
          <w:lang w:val="en-US" w:eastAsia="zh-CN"/>
        </w:rPr>
        <w:t>十四</w:t>
      </w:r>
      <w:r>
        <w:rPr>
          <w:rFonts w:hint="eastAsia"/>
          <w:lang w:eastAsia="zh-CN"/>
        </w:rPr>
        <w:t>）</w:t>
      </w:r>
      <w:r>
        <w:rPr>
          <w:rFonts w:hint="eastAsia"/>
        </w:rPr>
        <w:t>年检不合格的器具，实验室不能使用、并报请生产技术设备部门进行报废处理。</w:t>
      </w:r>
    </w:p>
    <w:p>
      <w:pPr>
        <w:ind w:firstLine="480"/>
      </w:pPr>
      <w:r>
        <w:rPr>
          <w:rFonts w:hint="eastAsia"/>
          <w:lang w:eastAsia="zh-CN"/>
        </w:rPr>
        <w:t>（</w:t>
      </w:r>
      <w:r>
        <w:rPr>
          <w:rFonts w:hint="eastAsia"/>
          <w:lang w:val="en-US" w:eastAsia="zh-CN"/>
        </w:rPr>
        <w:t>十五</w:t>
      </w:r>
      <w:r>
        <w:rPr>
          <w:rFonts w:hint="eastAsia"/>
          <w:lang w:eastAsia="zh-CN"/>
        </w:rPr>
        <w:t>）</w:t>
      </w:r>
      <w:r>
        <w:rPr>
          <w:rFonts w:hint="eastAsia"/>
        </w:rPr>
        <w:t>关于产品检验状态标识要求</w:t>
      </w:r>
    </w:p>
    <w:p>
      <w:pPr>
        <w:ind w:firstLine="480"/>
      </w:pPr>
      <w:r>
        <w:rPr>
          <w:rFonts w:hint="eastAsia"/>
        </w:rPr>
        <w:t>1</w:t>
      </w:r>
      <w:r>
        <w:rPr>
          <w:rFonts w:hint="eastAsia"/>
          <w:lang w:eastAsia="zh-CN"/>
        </w:rPr>
        <w:t>、</w:t>
      </w:r>
      <w:r>
        <w:rPr>
          <w:rFonts w:hint="eastAsia"/>
        </w:rPr>
        <w:t>生产实验室用计量器具，检验合格后，均应标识在有效期内使用，并贴上检验合格标签。</w:t>
      </w:r>
    </w:p>
    <w:p>
      <w:pPr>
        <w:ind w:firstLine="480"/>
      </w:pPr>
      <w:r>
        <w:rPr>
          <w:rFonts w:hint="eastAsia"/>
        </w:rPr>
        <w:t>2、进厂的原材料检验后，并标识清楚，是否检验合格并分堆存放。</w:t>
      </w:r>
    </w:p>
    <w:p>
      <w:pPr>
        <w:ind w:firstLine="480"/>
      </w:pPr>
      <w:r>
        <w:rPr>
          <w:rFonts w:hint="eastAsia"/>
        </w:rPr>
        <w:t>3、出厂产品，按规定检验合格后，要分堆存放，且标识是否检验合格。</w:t>
      </w:r>
    </w:p>
    <w:p>
      <w:pPr>
        <w:ind w:firstLine="480"/>
      </w:pPr>
      <w:r>
        <w:rPr>
          <w:rFonts w:hint="eastAsia"/>
        </w:rPr>
        <w:t>4、保留样品，也要标识清楚，并存放在保留橱柜内以备查。</w:t>
      </w:r>
    </w:p>
    <w:p>
      <w:pPr>
        <w:widowControl/>
        <w:spacing w:before="0" w:after="0" w:line="240" w:lineRule="auto"/>
        <w:ind w:firstLine="0" w:firstLineChars="0"/>
        <w:jc w:val="left"/>
      </w:pPr>
      <w:r>
        <w:br w:type="page"/>
      </w:r>
    </w:p>
    <w:p>
      <w:pPr>
        <w:pStyle w:val="5"/>
        <w:bidi w:val="0"/>
      </w:pPr>
      <w:bookmarkStart w:id="673" w:name="_Toc105600348"/>
      <w:bookmarkStart w:id="674" w:name="_Toc5803"/>
      <w:bookmarkStart w:id="675" w:name="_Toc116924319"/>
      <w:bookmarkStart w:id="676" w:name="_Toc118293317"/>
      <w:r>
        <w:rPr>
          <w:rFonts w:hint="eastAsia"/>
          <w:lang w:val="en-US" w:eastAsia="zh-CN"/>
        </w:rPr>
        <w:t>四、</w:t>
      </w:r>
      <w:r>
        <w:rPr>
          <w:rFonts w:hint="eastAsia"/>
        </w:rPr>
        <w:t>标准溶液管理制度</w:t>
      </w:r>
      <w:bookmarkEnd w:id="673"/>
      <w:bookmarkEnd w:id="674"/>
      <w:bookmarkEnd w:id="675"/>
      <w:bookmarkEnd w:id="676"/>
    </w:p>
    <w:p>
      <w:pPr>
        <w:ind w:firstLine="480"/>
      </w:pPr>
      <w:r>
        <w:rPr>
          <w:rFonts w:hint="eastAsia"/>
        </w:rPr>
        <w:t>为了确保测试数据的准确性、科学性、公正性，减少测试数据中的误差，提高质检员的业务水平，保证本厂产品质量稳定提高，为此特制定标准溶液管理制度。</w:t>
      </w:r>
    </w:p>
    <w:p>
      <w:pPr>
        <w:ind w:firstLine="480"/>
      </w:pPr>
      <w:r>
        <w:rPr>
          <w:rFonts w:hint="eastAsia"/>
          <w:lang w:eastAsia="zh-CN"/>
        </w:rPr>
        <w:t>（</w:t>
      </w:r>
      <w:r>
        <w:rPr>
          <w:rFonts w:hint="eastAsia"/>
          <w:lang w:val="en-US" w:eastAsia="zh-CN"/>
        </w:rPr>
        <w:t>一</w:t>
      </w:r>
      <w:r>
        <w:rPr>
          <w:rFonts w:hint="eastAsia"/>
          <w:lang w:eastAsia="zh-CN"/>
        </w:rPr>
        <w:t>）</w:t>
      </w:r>
      <w:r>
        <w:rPr>
          <w:rFonts w:hint="eastAsia"/>
        </w:rPr>
        <w:t>标准溶液由专人配制、标定，并由另一人每标标定，每标数据必须详细记录。</w:t>
      </w:r>
    </w:p>
    <w:p>
      <w:pPr>
        <w:ind w:firstLine="480"/>
      </w:pPr>
      <w:r>
        <w:rPr>
          <w:rFonts w:hint="eastAsia"/>
          <w:lang w:eastAsia="zh-CN"/>
        </w:rPr>
        <w:t>（</w:t>
      </w:r>
      <w:r>
        <w:rPr>
          <w:rFonts w:hint="eastAsia"/>
          <w:lang w:val="en-US" w:eastAsia="zh-CN"/>
        </w:rPr>
        <w:t>二</w:t>
      </w:r>
      <w:r>
        <w:rPr>
          <w:rFonts w:hint="eastAsia"/>
          <w:lang w:eastAsia="zh-CN"/>
        </w:rPr>
        <w:t>）</w:t>
      </w:r>
      <w:r>
        <w:rPr>
          <w:rFonts w:hint="eastAsia"/>
        </w:rPr>
        <w:t>经复标合格的标准溶液，由配制者贴上封条，储存备用，检验人员一旦需要，认准溶液名称，随时换用，在用时必须对照原标溶液作对比试验，确保标准溶液的准确无误。</w:t>
      </w:r>
    </w:p>
    <w:p>
      <w:pPr>
        <w:ind w:firstLine="480"/>
      </w:pPr>
      <w:r>
        <w:rPr>
          <w:rFonts w:hint="eastAsia"/>
          <w:lang w:eastAsia="zh-CN"/>
        </w:rPr>
        <w:t>（</w:t>
      </w:r>
      <w:r>
        <w:rPr>
          <w:rFonts w:hint="eastAsia"/>
          <w:lang w:val="en-US" w:eastAsia="zh-CN"/>
        </w:rPr>
        <w:t>三</w:t>
      </w:r>
      <w:r>
        <w:rPr>
          <w:rFonts w:hint="eastAsia"/>
          <w:lang w:eastAsia="zh-CN"/>
        </w:rPr>
        <w:t>）</w:t>
      </w:r>
      <w:r>
        <w:rPr>
          <w:rFonts w:hint="eastAsia"/>
        </w:rPr>
        <w:t>为了确保标准溶液配制的准确性，在购买药品时，必须要认准合格证、有效期，有生产许可证的化学试剂，包括名称、浓度等。</w:t>
      </w:r>
    </w:p>
    <w:p>
      <w:pPr>
        <w:ind w:firstLine="480"/>
      </w:pPr>
      <w:r>
        <w:rPr>
          <w:rFonts w:hint="eastAsia"/>
          <w:lang w:eastAsia="zh-CN"/>
        </w:rPr>
        <w:t>（</w:t>
      </w:r>
      <w:r>
        <w:rPr>
          <w:rFonts w:hint="eastAsia"/>
          <w:lang w:val="en-US" w:eastAsia="zh-CN"/>
        </w:rPr>
        <w:t>四</w:t>
      </w:r>
      <w:r>
        <w:rPr>
          <w:rFonts w:hint="eastAsia"/>
          <w:lang w:eastAsia="zh-CN"/>
        </w:rPr>
        <w:t>）</w:t>
      </w:r>
      <w:r>
        <w:rPr>
          <w:rFonts w:hint="eastAsia"/>
        </w:rPr>
        <w:t>严格标准溶液管理，如果在配制中失误，影响测试，给生产造成了损失,由配制人员负责全部责任，给予严肃处理和必要的经济罚款。</w:t>
      </w:r>
    </w:p>
    <w:p>
      <w:pPr>
        <w:widowControl/>
        <w:spacing w:before="0" w:after="0" w:line="240" w:lineRule="auto"/>
        <w:ind w:firstLine="0" w:firstLineChars="0"/>
        <w:jc w:val="left"/>
      </w:pPr>
      <w:r>
        <w:br w:type="page"/>
      </w:r>
    </w:p>
    <w:p>
      <w:pPr>
        <w:pStyle w:val="5"/>
        <w:bidi w:val="0"/>
      </w:pPr>
      <w:bookmarkStart w:id="677" w:name="_Toc118293318"/>
      <w:bookmarkStart w:id="678" w:name="_Toc29302"/>
      <w:bookmarkStart w:id="679" w:name="_Toc116924320"/>
      <w:bookmarkStart w:id="680" w:name="_Toc105600349"/>
      <w:r>
        <w:rPr>
          <w:rFonts w:hint="eastAsia"/>
          <w:lang w:val="en-US" w:eastAsia="zh-CN"/>
        </w:rPr>
        <w:t>五、</w:t>
      </w:r>
      <w:r>
        <w:rPr>
          <w:rFonts w:hint="eastAsia"/>
        </w:rPr>
        <w:t>质量考核奖惩制度</w:t>
      </w:r>
      <w:bookmarkEnd w:id="677"/>
      <w:bookmarkEnd w:id="678"/>
      <w:bookmarkEnd w:id="679"/>
      <w:bookmarkEnd w:id="680"/>
    </w:p>
    <w:p>
      <w:pPr>
        <w:ind w:firstLine="480"/>
      </w:pPr>
      <w:r>
        <w:rPr>
          <w:rFonts w:hint="eastAsia"/>
          <w:lang w:eastAsia="zh-CN"/>
        </w:rPr>
        <w:t>（</w:t>
      </w:r>
      <w:r>
        <w:rPr>
          <w:rFonts w:hint="eastAsia"/>
          <w:lang w:val="en-US" w:eastAsia="zh-CN"/>
        </w:rPr>
        <w:t>一</w:t>
      </w:r>
      <w:r>
        <w:rPr>
          <w:rFonts w:hint="eastAsia"/>
          <w:lang w:eastAsia="zh-CN"/>
        </w:rPr>
        <w:t>）</w:t>
      </w:r>
      <w:r>
        <w:rPr>
          <w:rFonts w:hint="eastAsia"/>
        </w:rPr>
        <w:t>质检部门</w:t>
      </w:r>
      <w:r>
        <w:rPr>
          <w:rFonts w:hint="eastAsia"/>
          <w:lang w:eastAsia="zh-CN"/>
        </w:rPr>
        <w:t>（</w:t>
      </w:r>
      <w:r>
        <w:rPr>
          <w:rFonts w:hint="eastAsia"/>
        </w:rPr>
        <w:t>化验室</w:t>
      </w:r>
      <w:r>
        <w:rPr>
          <w:rFonts w:hint="eastAsia"/>
          <w:lang w:eastAsia="zh-CN"/>
        </w:rPr>
        <w:t>）</w:t>
      </w:r>
      <w:r>
        <w:rPr>
          <w:rFonts w:hint="eastAsia"/>
        </w:rPr>
        <w:t>是总经理直接领导下的职能部门，负责推行全质管理，根据总经理的指示。监督、检查，考核各业务部门有关质量责任制的贯彻，对其实施有效的向总经理提出奖惩建议。</w:t>
      </w:r>
    </w:p>
    <w:p>
      <w:pPr>
        <w:ind w:firstLine="480"/>
      </w:pPr>
      <w:r>
        <w:rPr>
          <w:rFonts w:hint="eastAsia"/>
          <w:lang w:eastAsia="zh-CN"/>
        </w:rPr>
        <w:t>（</w:t>
      </w:r>
      <w:r>
        <w:rPr>
          <w:rFonts w:hint="eastAsia"/>
          <w:lang w:val="en-US" w:eastAsia="zh-CN"/>
        </w:rPr>
        <w:t>二</w:t>
      </w:r>
      <w:r>
        <w:rPr>
          <w:rFonts w:hint="eastAsia"/>
          <w:lang w:eastAsia="zh-CN"/>
        </w:rPr>
        <w:t>）</w:t>
      </w:r>
      <w:r>
        <w:rPr>
          <w:rFonts w:hint="eastAsia"/>
        </w:rPr>
        <w:t>考核产品质量指标，由质检部门制定计划，经总经理审签后执行，未完成考核指标按规定惩处，属于直接责任的单位与工资挂钩按其情节进行惩处。</w:t>
      </w:r>
    </w:p>
    <w:p>
      <w:pPr>
        <w:ind w:firstLine="480"/>
      </w:pPr>
      <w:r>
        <w:rPr>
          <w:rFonts w:hint="eastAsia"/>
          <w:lang w:eastAsia="zh-CN"/>
        </w:rPr>
        <w:t>（</w:t>
      </w:r>
      <w:r>
        <w:rPr>
          <w:rFonts w:hint="eastAsia"/>
          <w:lang w:val="en-US" w:eastAsia="zh-CN"/>
        </w:rPr>
        <w:t>三</w:t>
      </w:r>
      <w:r>
        <w:rPr>
          <w:rFonts w:hint="eastAsia"/>
          <w:lang w:eastAsia="zh-CN"/>
        </w:rPr>
        <w:t>）</w:t>
      </w:r>
      <w:r>
        <w:rPr>
          <w:rFonts w:hint="eastAsia"/>
        </w:rPr>
        <w:t>对职工开展技术培训，提高职工技术素质，生产操作工人和专职人员必须经过技术培训，考核合格获得上岗资格证者，方能上岗操作。</w:t>
      </w:r>
    </w:p>
    <w:p>
      <w:pPr>
        <w:ind w:firstLine="480"/>
      </w:pPr>
      <w:r>
        <w:rPr>
          <w:rFonts w:hint="eastAsia"/>
          <w:lang w:eastAsia="zh-CN"/>
        </w:rPr>
        <w:t>（</w:t>
      </w:r>
      <w:r>
        <w:rPr>
          <w:rFonts w:hint="eastAsia"/>
          <w:lang w:val="en-US" w:eastAsia="zh-CN"/>
        </w:rPr>
        <w:t>四</w:t>
      </w:r>
      <w:r>
        <w:rPr>
          <w:rFonts w:hint="eastAsia"/>
          <w:lang w:eastAsia="zh-CN"/>
        </w:rPr>
        <w:t>）</w:t>
      </w:r>
      <w:r>
        <w:rPr>
          <w:rFonts w:hint="eastAsia"/>
        </w:rPr>
        <w:t>生技科负责组织公司各类人员的技术业务培训，考核成绩优秀者给与奖励，成绩不合格者给与惩处，对技术培训情况要记录在案，原始记录整齐归档。</w:t>
      </w:r>
    </w:p>
    <w:p>
      <w:pPr>
        <w:ind w:firstLine="480"/>
      </w:pPr>
      <w:r>
        <w:rPr>
          <w:rFonts w:hint="eastAsia"/>
          <w:lang w:eastAsia="zh-CN"/>
        </w:rPr>
        <w:t>（</w:t>
      </w:r>
      <w:r>
        <w:rPr>
          <w:rFonts w:hint="eastAsia"/>
          <w:lang w:val="en-US" w:eastAsia="zh-CN"/>
        </w:rPr>
        <w:t>五</w:t>
      </w:r>
      <w:r>
        <w:rPr>
          <w:rFonts w:hint="eastAsia"/>
          <w:lang w:eastAsia="zh-CN"/>
        </w:rPr>
        <w:t>）</w:t>
      </w:r>
      <w:r>
        <w:rPr>
          <w:rFonts w:hint="eastAsia"/>
        </w:rPr>
        <w:t>生产过程中，由于工作责任心不强造成损失责任者，除按规定进行经济赔偿损失外，行政上给与必要处分批评教育。</w:t>
      </w:r>
    </w:p>
    <w:p>
      <w:pPr>
        <w:ind w:firstLine="480"/>
      </w:pPr>
      <w:r>
        <w:rPr>
          <w:rFonts w:hint="eastAsia"/>
          <w:lang w:eastAsia="zh-CN"/>
        </w:rPr>
        <w:t>（</w:t>
      </w:r>
      <w:r>
        <w:rPr>
          <w:rFonts w:hint="eastAsia"/>
          <w:lang w:val="en-US" w:eastAsia="zh-CN"/>
        </w:rPr>
        <w:t>六</w:t>
      </w:r>
      <w:r>
        <w:rPr>
          <w:rFonts w:hint="eastAsia"/>
          <w:lang w:eastAsia="zh-CN"/>
        </w:rPr>
        <w:t>）</w:t>
      </w:r>
      <w:r>
        <w:rPr>
          <w:rFonts w:hint="eastAsia"/>
        </w:rPr>
        <w:t>对推行全质管理，工作质量成效突出，保证产品质量，降低消耗，服务质量好，促进公司经济效益显著的给与质量奖。</w:t>
      </w:r>
    </w:p>
    <w:p>
      <w:pPr>
        <w:ind w:firstLine="480"/>
      </w:pPr>
      <w:r>
        <w:rPr>
          <w:rFonts w:hint="eastAsia"/>
          <w:lang w:eastAsia="zh-CN"/>
        </w:rPr>
        <w:t>（</w:t>
      </w:r>
      <w:r>
        <w:rPr>
          <w:rFonts w:hint="eastAsia"/>
          <w:lang w:val="en-US" w:eastAsia="zh-CN"/>
        </w:rPr>
        <w:t>七</w:t>
      </w:r>
      <w:r>
        <w:rPr>
          <w:rFonts w:hint="eastAsia"/>
          <w:lang w:eastAsia="zh-CN"/>
        </w:rPr>
        <w:t>）</w:t>
      </w:r>
      <w:r>
        <w:rPr>
          <w:rFonts w:hint="eastAsia"/>
        </w:rPr>
        <w:t>对于违反各项质量管理制度，工作疲沓松软，疏忽的给与批评教育，玩忽职守造成质量事故者进行重处，直至开除。</w:t>
      </w:r>
    </w:p>
    <w:p>
      <w:pPr>
        <w:ind w:firstLine="480"/>
      </w:pPr>
      <w:r>
        <w:rPr>
          <w:rFonts w:hint="eastAsia"/>
          <w:lang w:eastAsia="zh-CN"/>
        </w:rPr>
        <w:t>（</w:t>
      </w:r>
      <w:r>
        <w:rPr>
          <w:rFonts w:hint="eastAsia"/>
          <w:lang w:val="en-US" w:eastAsia="zh-CN"/>
        </w:rPr>
        <w:t>八</w:t>
      </w:r>
      <w:r>
        <w:rPr>
          <w:rFonts w:hint="eastAsia"/>
          <w:lang w:eastAsia="zh-CN"/>
        </w:rPr>
        <w:t>）</w:t>
      </w:r>
      <w:r>
        <w:rPr>
          <w:rFonts w:hint="eastAsia"/>
        </w:rPr>
        <w:t>对于隐瞒不符合内控指标或拖延时间不及时填报质量信息反馈卡进行严肃惩处。</w:t>
      </w:r>
    </w:p>
    <w:p>
      <w:pPr>
        <w:widowControl/>
        <w:spacing w:before="0" w:after="0" w:line="240" w:lineRule="auto"/>
        <w:ind w:firstLine="0" w:firstLineChars="0"/>
        <w:jc w:val="left"/>
      </w:pPr>
      <w:r>
        <w:br w:type="page"/>
      </w:r>
    </w:p>
    <w:p>
      <w:pPr>
        <w:pStyle w:val="5"/>
        <w:bidi w:val="0"/>
      </w:pPr>
      <w:bookmarkStart w:id="681" w:name="_Toc105600350"/>
      <w:bookmarkStart w:id="682" w:name="_Toc118293319"/>
      <w:bookmarkStart w:id="683" w:name="_Toc25698"/>
      <w:bookmarkStart w:id="684" w:name="_Toc116924321"/>
      <w:r>
        <w:rPr>
          <w:rFonts w:hint="eastAsia"/>
          <w:lang w:val="en-US" w:eastAsia="zh-CN"/>
        </w:rPr>
        <w:t>六、</w:t>
      </w:r>
      <w:r>
        <w:rPr>
          <w:rFonts w:hint="eastAsia"/>
        </w:rPr>
        <w:t>各级质量管理人员岗位和质量责任制度</w:t>
      </w:r>
      <w:bookmarkEnd w:id="681"/>
      <w:bookmarkEnd w:id="682"/>
      <w:bookmarkEnd w:id="683"/>
      <w:bookmarkEnd w:id="684"/>
    </w:p>
    <w:p>
      <w:pPr>
        <w:pStyle w:val="6"/>
        <w:bidi w:val="0"/>
      </w:pPr>
      <w:bookmarkStart w:id="685" w:name="_Toc26724"/>
      <w:r>
        <w:rPr>
          <w:rFonts w:hint="eastAsia"/>
          <w:lang w:eastAsia="zh-CN"/>
        </w:rPr>
        <w:t>（</w:t>
      </w:r>
      <w:r>
        <w:rPr>
          <w:rFonts w:hint="eastAsia"/>
          <w:lang w:val="en-US" w:eastAsia="zh-CN"/>
        </w:rPr>
        <w:t>一</w:t>
      </w:r>
      <w:r>
        <w:rPr>
          <w:rFonts w:hint="eastAsia"/>
          <w:lang w:eastAsia="zh-CN"/>
        </w:rPr>
        <w:t>）</w:t>
      </w:r>
      <w:r>
        <w:rPr>
          <w:rFonts w:hint="eastAsia"/>
        </w:rPr>
        <w:t>总则</w:t>
      </w:r>
      <w:bookmarkEnd w:id="685"/>
    </w:p>
    <w:p>
      <w:pPr>
        <w:ind w:firstLine="480"/>
      </w:pPr>
      <w:r>
        <w:rPr>
          <w:rFonts w:hint="eastAsia"/>
          <w:lang w:eastAsia="zh-CN"/>
        </w:rPr>
        <w:t>（</w:t>
      </w:r>
      <w:r>
        <w:rPr>
          <w:rFonts w:hint="eastAsia"/>
          <w:lang w:val="en-US" w:eastAsia="zh-CN"/>
        </w:rPr>
        <w:t>一</w:t>
      </w:r>
      <w:r>
        <w:rPr>
          <w:rFonts w:hint="eastAsia"/>
          <w:lang w:eastAsia="zh-CN"/>
        </w:rPr>
        <w:t>）</w:t>
      </w:r>
      <w:r>
        <w:rPr>
          <w:rFonts w:hint="eastAsia"/>
        </w:rPr>
        <w:t>本单位全面质量管理工作制度,是依据《工业产品生产许可证生产企业生产条件审查办法》中所提出的主要内容，结合本厂生产并充分考虑到市场的需要,为用户提供优质高效的有机肥料产品而制定的。</w:t>
      </w:r>
    </w:p>
    <w:p>
      <w:pPr>
        <w:ind w:firstLine="480"/>
      </w:pPr>
      <w:r>
        <w:rPr>
          <w:rFonts w:hint="eastAsia"/>
          <w:lang w:eastAsia="zh-CN"/>
        </w:rPr>
        <w:t>（</w:t>
      </w:r>
      <w:r>
        <w:rPr>
          <w:rFonts w:hint="eastAsia"/>
          <w:lang w:val="en-US" w:eastAsia="zh-CN"/>
        </w:rPr>
        <w:t>二</w:t>
      </w:r>
      <w:r>
        <w:rPr>
          <w:rFonts w:hint="eastAsia"/>
          <w:lang w:eastAsia="zh-CN"/>
        </w:rPr>
        <w:t>）</w:t>
      </w:r>
      <w:r>
        <w:rPr>
          <w:rFonts w:hint="eastAsia"/>
        </w:rPr>
        <w:t>质量是企业的生命，坚持“质量第一，用户至上”为支援农业生产的发展提供优质的有机肥料是公司职工的共同职责。</w:t>
      </w:r>
    </w:p>
    <w:p>
      <w:pPr>
        <w:ind w:firstLine="480"/>
      </w:pPr>
      <w:r>
        <w:rPr>
          <w:rFonts w:hint="eastAsia"/>
          <w:lang w:eastAsia="zh-CN"/>
        </w:rPr>
        <w:t>（</w:t>
      </w:r>
      <w:r>
        <w:rPr>
          <w:rFonts w:hint="eastAsia"/>
          <w:lang w:val="en-US" w:eastAsia="zh-CN"/>
        </w:rPr>
        <w:t>三</w:t>
      </w:r>
      <w:r>
        <w:rPr>
          <w:rFonts w:hint="eastAsia"/>
          <w:lang w:eastAsia="zh-CN"/>
        </w:rPr>
        <w:t>）</w:t>
      </w:r>
      <w:r>
        <w:rPr>
          <w:rFonts w:hint="eastAsia"/>
        </w:rPr>
        <w:t>《办法》中强调质量管理是企业的中心环节,它贯穿产品从设计、配方、制造、销售至售后服务的全过程，是厂里各个部门、各个环节，全体职工都应该承担的质量责任。</w:t>
      </w:r>
    </w:p>
    <w:p>
      <w:pPr>
        <w:ind w:firstLine="480"/>
      </w:pPr>
      <w:r>
        <w:rPr>
          <w:rFonts w:hint="eastAsia"/>
          <w:lang w:eastAsia="zh-CN"/>
        </w:rPr>
        <w:t>（</w:t>
      </w:r>
      <w:r>
        <w:rPr>
          <w:rFonts w:hint="eastAsia"/>
          <w:lang w:val="en-US" w:eastAsia="zh-CN"/>
        </w:rPr>
        <w:t>四</w:t>
      </w:r>
      <w:r>
        <w:rPr>
          <w:rFonts w:hint="eastAsia"/>
          <w:lang w:eastAsia="zh-CN"/>
        </w:rPr>
        <w:t>）</w:t>
      </w:r>
      <w:r>
        <w:rPr>
          <w:rFonts w:hint="eastAsia"/>
        </w:rPr>
        <w:t>本制度所列的各项规定是公司里各个部门和全体职工的工作依据和行动准则。</w:t>
      </w:r>
    </w:p>
    <w:p>
      <w:pPr>
        <w:pStyle w:val="6"/>
        <w:bidi w:val="0"/>
      </w:pPr>
      <w:bookmarkStart w:id="686" w:name="_Toc20993"/>
      <w:r>
        <w:rPr>
          <w:rFonts w:hint="eastAsia"/>
          <w:lang w:eastAsia="zh-CN"/>
        </w:rPr>
        <w:t>（</w:t>
      </w:r>
      <w:r>
        <w:rPr>
          <w:rFonts w:hint="eastAsia"/>
          <w:lang w:val="en-US" w:eastAsia="zh-CN"/>
        </w:rPr>
        <w:t>二</w:t>
      </w:r>
      <w:r>
        <w:rPr>
          <w:rFonts w:hint="eastAsia"/>
          <w:lang w:eastAsia="zh-CN"/>
        </w:rPr>
        <w:t>）</w:t>
      </w:r>
      <w:r>
        <w:rPr>
          <w:rFonts w:hint="eastAsia"/>
        </w:rPr>
        <w:t>总经理岗位质量责任制</w:t>
      </w:r>
      <w:bookmarkEnd w:id="686"/>
    </w:p>
    <w:p>
      <w:pPr>
        <w:ind w:firstLine="480"/>
      </w:pPr>
      <w:r>
        <w:rPr>
          <w:rFonts w:hint="eastAsia"/>
          <w:lang w:eastAsia="zh-CN"/>
        </w:rPr>
        <w:t>（</w:t>
      </w:r>
      <w:r>
        <w:rPr>
          <w:rFonts w:hint="eastAsia"/>
          <w:lang w:val="en-US" w:eastAsia="zh-CN"/>
        </w:rPr>
        <w:t>一</w:t>
      </w:r>
      <w:r>
        <w:rPr>
          <w:rFonts w:hint="eastAsia"/>
          <w:lang w:eastAsia="zh-CN"/>
        </w:rPr>
        <w:t>）</w:t>
      </w:r>
      <w:r>
        <w:rPr>
          <w:rFonts w:hint="eastAsia"/>
        </w:rPr>
        <w:t>总经理管理全厂质量工作，是公司质量工作的第一责任人。</w:t>
      </w:r>
    </w:p>
    <w:p>
      <w:pPr>
        <w:ind w:firstLine="480"/>
      </w:pPr>
      <w:r>
        <w:rPr>
          <w:rFonts w:hint="eastAsia"/>
          <w:lang w:eastAsia="zh-CN"/>
        </w:rPr>
        <w:t>（</w:t>
      </w:r>
      <w:r>
        <w:rPr>
          <w:rFonts w:hint="eastAsia"/>
          <w:lang w:val="en-US" w:eastAsia="zh-CN"/>
        </w:rPr>
        <w:t>二</w:t>
      </w:r>
      <w:r>
        <w:rPr>
          <w:rFonts w:hint="eastAsia"/>
          <w:lang w:eastAsia="zh-CN"/>
        </w:rPr>
        <w:t>）</w:t>
      </w:r>
      <w:r>
        <w:rPr>
          <w:rFonts w:hint="eastAsia"/>
        </w:rPr>
        <w:t>批准和颁布质量方针，质量目标和质量管理制度。</w:t>
      </w:r>
    </w:p>
    <w:p>
      <w:pPr>
        <w:ind w:firstLine="480"/>
      </w:pPr>
      <w:r>
        <w:rPr>
          <w:rFonts w:hint="eastAsia"/>
          <w:lang w:eastAsia="zh-CN"/>
        </w:rPr>
        <w:t>（</w:t>
      </w:r>
      <w:r>
        <w:rPr>
          <w:rFonts w:hint="eastAsia"/>
          <w:lang w:val="en-US" w:eastAsia="zh-CN"/>
        </w:rPr>
        <w:t>三</w:t>
      </w:r>
      <w:r>
        <w:rPr>
          <w:rFonts w:hint="eastAsia"/>
          <w:lang w:eastAsia="zh-CN"/>
        </w:rPr>
        <w:t>）</w:t>
      </w:r>
      <w:r>
        <w:rPr>
          <w:rFonts w:hint="eastAsia"/>
        </w:rPr>
        <w:t>配制质量管理体系进行所需的物力和人力资源。</w:t>
      </w:r>
    </w:p>
    <w:p>
      <w:pPr>
        <w:ind w:firstLine="480"/>
      </w:pPr>
      <w:r>
        <w:rPr>
          <w:rFonts w:hint="eastAsia"/>
          <w:lang w:eastAsia="zh-CN"/>
        </w:rPr>
        <w:t>（</w:t>
      </w:r>
      <w:r>
        <w:rPr>
          <w:rFonts w:hint="eastAsia"/>
          <w:lang w:val="en-US" w:eastAsia="zh-CN"/>
        </w:rPr>
        <w:t>四</w:t>
      </w:r>
      <w:r>
        <w:rPr>
          <w:rFonts w:hint="eastAsia"/>
          <w:lang w:eastAsia="zh-CN"/>
        </w:rPr>
        <w:t>）</w:t>
      </w:r>
      <w:r>
        <w:rPr>
          <w:rFonts w:hint="eastAsia"/>
        </w:rPr>
        <w:t>建立质量管理所需的组织机构,规定各个部门人员的职责和权限。</w:t>
      </w:r>
    </w:p>
    <w:p>
      <w:pPr>
        <w:ind w:firstLine="480"/>
      </w:pPr>
      <w:r>
        <w:rPr>
          <w:rFonts w:hint="eastAsia"/>
          <w:lang w:eastAsia="zh-CN"/>
        </w:rPr>
        <w:t>（</w:t>
      </w:r>
      <w:r>
        <w:rPr>
          <w:rFonts w:hint="eastAsia"/>
          <w:lang w:val="en-US" w:eastAsia="zh-CN"/>
        </w:rPr>
        <w:t>五</w:t>
      </w:r>
      <w:r>
        <w:rPr>
          <w:rFonts w:hint="eastAsia"/>
          <w:lang w:eastAsia="zh-CN"/>
        </w:rPr>
        <w:t>）</w:t>
      </w:r>
      <w:r>
        <w:rPr>
          <w:rFonts w:hint="eastAsia"/>
        </w:rPr>
        <w:t>对质量管理体系建立的重大问题进行决策。</w:t>
      </w:r>
    </w:p>
    <w:p>
      <w:pPr>
        <w:ind w:firstLine="480"/>
      </w:pPr>
      <w:r>
        <w:rPr>
          <w:rFonts w:hint="eastAsia"/>
          <w:lang w:eastAsia="zh-CN"/>
        </w:rPr>
        <w:t>（</w:t>
      </w:r>
      <w:r>
        <w:rPr>
          <w:rFonts w:hint="eastAsia"/>
          <w:lang w:val="en-US" w:eastAsia="zh-CN"/>
        </w:rPr>
        <w:t>六</w:t>
      </w:r>
      <w:r>
        <w:rPr>
          <w:rFonts w:hint="eastAsia"/>
          <w:lang w:eastAsia="zh-CN"/>
        </w:rPr>
        <w:t>）</w:t>
      </w:r>
      <w:r>
        <w:rPr>
          <w:rFonts w:hint="eastAsia"/>
        </w:rPr>
        <w:t>带头学习质量管理方面的知识，亲自组织和领导公司的质量管理工作和计量工作，充分发挥生产技术科的作用。</w:t>
      </w:r>
    </w:p>
    <w:p>
      <w:pPr>
        <w:ind w:firstLine="480"/>
      </w:pPr>
      <w:r>
        <w:rPr>
          <w:rFonts w:hint="eastAsia"/>
          <w:lang w:eastAsia="zh-CN"/>
        </w:rPr>
        <w:t>（</w:t>
      </w:r>
      <w:r>
        <w:rPr>
          <w:rFonts w:hint="eastAsia"/>
          <w:lang w:val="en-US" w:eastAsia="zh-CN"/>
        </w:rPr>
        <w:t>七</w:t>
      </w:r>
      <w:r>
        <w:rPr>
          <w:rFonts w:hint="eastAsia"/>
          <w:lang w:eastAsia="zh-CN"/>
        </w:rPr>
        <w:t>）</w:t>
      </w:r>
      <w:r>
        <w:rPr>
          <w:rFonts w:hint="eastAsia"/>
        </w:rPr>
        <w:t>主持制定公司质量方针及确定目标，亲自组织进行质量管理的审核和诊断。</w:t>
      </w:r>
    </w:p>
    <w:p>
      <w:pPr>
        <w:ind w:firstLine="480"/>
      </w:pPr>
      <w:r>
        <w:rPr>
          <w:rFonts w:hint="eastAsia"/>
          <w:lang w:eastAsia="zh-CN"/>
        </w:rPr>
        <w:t>（</w:t>
      </w:r>
      <w:r>
        <w:rPr>
          <w:rFonts w:hint="eastAsia"/>
          <w:lang w:val="en-US" w:eastAsia="zh-CN"/>
        </w:rPr>
        <w:t>八</w:t>
      </w:r>
      <w:r>
        <w:rPr>
          <w:rFonts w:hint="eastAsia"/>
          <w:lang w:eastAsia="zh-CN"/>
        </w:rPr>
        <w:t>）</w:t>
      </w:r>
      <w:r>
        <w:rPr>
          <w:rFonts w:hint="eastAsia"/>
        </w:rPr>
        <w:t>主持公司的质量工作会议和定期质量分析会,布置检查全公司的质量工作，分析年度质量状况，处理重大质量问题。</w:t>
      </w:r>
    </w:p>
    <w:p>
      <w:pPr>
        <w:ind w:firstLine="480"/>
      </w:pPr>
      <w:r>
        <w:rPr>
          <w:rFonts w:hint="eastAsia"/>
          <w:lang w:eastAsia="zh-CN"/>
        </w:rPr>
        <w:t>（</w:t>
      </w:r>
      <w:r>
        <w:rPr>
          <w:rFonts w:hint="eastAsia"/>
          <w:lang w:val="en-US" w:eastAsia="zh-CN"/>
        </w:rPr>
        <w:t>九</w:t>
      </w:r>
      <w:r>
        <w:rPr>
          <w:rFonts w:hint="eastAsia"/>
          <w:lang w:eastAsia="zh-CN"/>
        </w:rPr>
        <w:t>）</w:t>
      </w:r>
      <w:r>
        <w:rPr>
          <w:rFonts w:hint="eastAsia"/>
        </w:rPr>
        <w:t>表扬和奖励对提高产品质量做出贡献的先进集体和个人。</w:t>
      </w:r>
    </w:p>
    <w:p>
      <w:pPr>
        <w:pStyle w:val="6"/>
        <w:bidi w:val="0"/>
      </w:pPr>
      <w:bookmarkStart w:id="687" w:name="_Toc27500"/>
      <w:r>
        <w:rPr>
          <w:rFonts w:hint="eastAsia"/>
          <w:lang w:eastAsia="zh-CN"/>
        </w:rPr>
        <w:t>（</w:t>
      </w:r>
      <w:r>
        <w:rPr>
          <w:rFonts w:hint="eastAsia"/>
          <w:lang w:val="en-US" w:eastAsia="zh-CN"/>
        </w:rPr>
        <w:t>三</w:t>
      </w:r>
      <w:r>
        <w:rPr>
          <w:rFonts w:hint="eastAsia"/>
          <w:lang w:eastAsia="zh-CN"/>
        </w:rPr>
        <w:t>）</w:t>
      </w:r>
      <w:r>
        <w:rPr>
          <w:rFonts w:hint="eastAsia"/>
        </w:rPr>
        <w:t>质量科长岗位质量责任制</w:t>
      </w:r>
      <w:bookmarkEnd w:id="687"/>
    </w:p>
    <w:p>
      <w:pPr>
        <w:ind w:firstLine="480"/>
      </w:pPr>
      <w:r>
        <w:rPr>
          <w:rFonts w:hint="eastAsia"/>
          <w:lang w:eastAsia="zh-CN"/>
        </w:rPr>
        <w:t>（</w:t>
      </w:r>
      <w:r>
        <w:rPr>
          <w:rFonts w:hint="eastAsia"/>
          <w:lang w:val="en-US" w:eastAsia="zh-CN"/>
        </w:rPr>
        <w:t>一</w:t>
      </w:r>
      <w:r>
        <w:rPr>
          <w:rFonts w:hint="eastAsia"/>
          <w:lang w:eastAsia="zh-CN"/>
        </w:rPr>
        <w:t>）</w:t>
      </w:r>
      <w:r>
        <w:rPr>
          <w:rFonts w:hint="eastAsia"/>
        </w:rPr>
        <w:t>根据技术标准，合同的有关文件，判定产品是否合格。有权对合格晶签发合格证。有权把不符台技术标准的产品叛为不合格品。不签发产品合格证，阻止其出厂。</w:t>
      </w:r>
    </w:p>
    <w:p>
      <w:pPr>
        <w:ind w:firstLine="480"/>
      </w:pPr>
      <w:r>
        <w:rPr>
          <w:rFonts w:hint="eastAsia"/>
          <w:lang w:eastAsia="zh-CN"/>
        </w:rPr>
        <w:t>（</w:t>
      </w:r>
      <w:r>
        <w:rPr>
          <w:rFonts w:hint="eastAsia"/>
          <w:lang w:val="en-US" w:eastAsia="zh-CN"/>
        </w:rPr>
        <w:t>二</w:t>
      </w:r>
      <w:r>
        <w:rPr>
          <w:rFonts w:hint="eastAsia"/>
          <w:lang w:eastAsia="zh-CN"/>
        </w:rPr>
        <w:t>）</w:t>
      </w:r>
      <w:r>
        <w:rPr>
          <w:rFonts w:hint="eastAsia"/>
        </w:rPr>
        <w:t>制止未经检验或检验不合格的原材料投料或成品入库出厂。</w:t>
      </w:r>
    </w:p>
    <w:p>
      <w:pPr>
        <w:ind w:firstLine="480"/>
      </w:pPr>
      <w:r>
        <w:rPr>
          <w:rFonts w:hint="eastAsia"/>
          <w:lang w:eastAsia="zh-CN"/>
        </w:rPr>
        <w:t>（</w:t>
      </w:r>
      <w:r>
        <w:rPr>
          <w:rFonts w:hint="eastAsia"/>
          <w:lang w:val="en-US" w:eastAsia="zh-CN"/>
        </w:rPr>
        <w:t>三</w:t>
      </w:r>
      <w:r>
        <w:rPr>
          <w:rFonts w:hint="eastAsia"/>
          <w:lang w:eastAsia="zh-CN"/>
        </w:rPr>
        <w:t>）</w:t>
      </w:r>
      <w:r>
        <w:rPr>
          <w:rFonts w:hint="eastAsia"/>
        </w:rPr>
        <w:t>对车间的产品质量检验制度的执行督促检验:对违反工艺规定的现象有权制止:并要求迅速改正。</w:t>
      </w:r>
    </w:p>
    <w:p>
      <w:pPr>
        <w:ind w:firstLine="480"/>
      </w:pPr>
      <w:r>
        <w:rPr>
          <w:rFonts w:hint="eastAsia"/>
          <w:lang w:eastAsia="zh-CN"/>
        </w:rPr>
        <w:t>（</w:t>
      </w:r>
      <w:r>
        <w:rPr>
          <w:rFonts w:hint="eastAsia"/>
          <w:lang w:val="en-US" w:eastAsia="zh-CN"/>
        </w:rPr>
        <w:t>四</w:t>
      </w:r>
      <w:r>
        <w:rPr>
          <w:rFonts w:hint="eastAsia"/>
          <w:lang w:eastAsia="zh-CN"/>
        </w:rPr>
        <w:t>）</w:t>
      </w:r>
      <w:r>
        <w:rPr>
          <w:rFonts w:hint="eastAsia"/>
        </w:rPr>
        <w:t>对进厂的原材料进行检验，不合格的原材料不准直接投料。</w:t>
      </w:r>
    </w:p>
    <w:p>
      <w:pPr>
        <w:ind w:firstLine="480"/>
      </w:pPr>
      <w:r>
        <w:rPr>
          <w:rFonts w:hint="eastAsia"/>
          <w:lang w:eastAsia="zh-CN"/>
        </w:rPr>
        <w:t>（</w:t>
      </w:r>
      <w:r>
        <w:rPr>
          <w:rFonts w:hint="eastAsia"/>
          <w:lang w:val="en-US" w:eastAsia="zh-CN"/>
        </w:rPr>
        <w:t>五</w:t>
      </w:r>
      <w:r>
        <w:rPr>
          <w:rFonts w:hint="eastAsia"/>
          <w:lang w:eastAsia="zh-CN"/>
        </w:rPr>
        <w:t>）</w:t>
      </w:r>
      <w:r>
        <w:rPr>
          <w:rFonts w:hint="eastAsia"/>
        </w:rPr>
        <w:t>对出厂的产晶进行检验，检验合格的出具合格证，未经检验的不准出厂、检验不合格的不准以合格晶出厂。</w:t>
      </w:r>
    </w:p>
    <w:p>
      <w:pPr>
        <w:ind w:firstLine="480"/>
      </w:pPr>
      <w:r>
        <w:rPr>
          <w:rFonts w:hint="eastAsia"/>
          <w:lang w:eastAsia="zh-CN"/>
        </w:rPr>
        <w:t>（</w:t>
      </w:r>
      <w:r>
        <w:rPr>
          <w:rFonts w:hint="eastAsia"/>
          <w:lang w:val="en-US" w:eastAsia="zh-CN"/>
        </w:rPr>
        <w:t>六</w:t>
      </w:r>
      <w:r>
        <w:rPr>
          <w:rFonts w:hint="eastAsia"/>
          <w:lang w:eastAsia="zh-CN"/>
        </w:rPr>
        <w:t>）</w:t>
      </w:r>
      <w:r>
        <w:rPr>
          <w:rFonts w:hint="eastAsia"/>
        </w:rPr>
        <w:t>对生产工序和出厂产品的外观。包装、重量，标志和贮存等检查。</w:t>
      </w:r>
    </w:p>
    <w:p>
      <w:pPr>
        <w:ind w:firstLine="480"/>
      </w:pPr>
      <w:r>
        <w:rPr>
          <w:rFonts w:hint="eastAsia"/>
          <w:lang w:eastAsia="zh-CN"/>
        </w:rPr>
        <w:t>（</w:t>
      </w:r>
      <w:r>
        <w:rPr>
          <w:rFonts w:hint="eastAsia"/>
          <w:lang w:val="en-US" w:eastAsia="zh-CN"/>
        </w:rPr>
        <w:t>七</w:t>
      </w:r>
      <w:r>
        <w:rPr>
          <w:rFonts w:hint="eastAsia"/>
          <w:lang w:eastAsia="zh-CN"/>
        </w:rPr>
        <w:t>）</w:t>
      </w:r>
      <w:r>
        <w:rPr>
          <w:rFonts w:hint="eastAsia"/>
        </w:rPr>
        <w:t>负责指导和帮助化验室的日常工作。</w:t>
      </w:r>
    </w:p>
    <w:p>
      <w:pPr>
        <w:ind w:firstLine="480"/>
      </w:pPr>
      <w:r>
        <w:rPr>
          <w:rFonts w:hint="eastAsia"/>
          <w:lang w:eastAsia="zh-CN"/>
        </w:rPr>
        <w:t>（</w:t>
      </w:r>
      <w:r>
        <w:rPr>
          <w:rFonts w:hint="eastAsia"/>
          <w:lang w:val="en-US" w:eastAsia="zh-CN"/>
        </w:rPr>
        <w:t>八</w:t>
      </w:r>
      <w:r>
        <w:rPr>
          <w:rFonts w:hint="eastAsia"/>
          <w:lang w:eastAsia="zh-CN"/>
        </w:rPr>
        <w:t>）</w:t>
      </w:r>
      <w:r>
        <w:rPr>
          <w:rFonts w:hint="eastAsia"/>
        </w:rPr>
        <w:t>对生产过程中的中控分析或学成品检验，进行业务指导。</w:t>
      </w:r>
    </w:p>
    <w:p>
      <w:pPr>
        <w:ind w:firstLine="480"/>
      </w:pPr>
      <w:r>
        <w:rPr>
          <w:rFonts w:hint="eastAsia"/>
          <w:lang w:eastAsia="zh-CN"/>
        </w:rPr>
        <w:t>（</w:t>
      </w:r>
      <w:r>
        <w:rPr>
          <w:rFonts w:hint="eastAsia"/>
          <w:lang w:val="en-US" w:eastAsia="zh-CN"/>
        </w:rPr>
        <w:t>九</w:t>
      </w:r>
      <w:r>
        <w:rPr>
          <w:rFonts w:hint="eastAsia"/>
          <w:lang w:eastAsia="zh-CN"/>
        </w:rPr>
        <w:t>）</w:t>
      </w:r>
      <w:r>
        <w:rPr>
          <w:rFonts w:hint="eastAsia"/>
        </w:rPr>
        <w:t>严格执行技术标准，合同和有关技术文件，负賣对购进原材料的入厂检查，以及外购仪器，设备等的入厂验收检验。</w:t>
      </w:r>
    </w:p>
    <w:p>
      <w:pPr>
        <w:ind w:firstLine="480"/>
      </w:pPr>
      <w:r>
        <w:rPr>
          <w:rFonts w:hint="eastAsia"/>
          <w:lang w:eastAsia="zh-CN"/>
        </w:rPr>
        <w:t>（</w:t>
      </w:r>
      <w:r>
        <w:rPr>
          <w:rFonts w:hint="eastAsia"/>
          <w:lang w:val="en-US" w:eastAsia="zh-CN"/>
        </w:rPr>
        <w:t>十</w:t>
      </w:r>
      <w:r>
        <w:rPr>
          <w:rFonts w:hint="eastAsia"/>
          <w:lang w:eastAsia="zh-CN"/>
        </w:rPr>
        <w:t>）</w:t>
      </w:r>
      <w:r>
        <w:rPr>
          <w:rFonts w:hint="eastAsia"/>
        </w:rPr>
        <w:t>负責生产过程产品质量检验，切实执行“五不准”，井签发产品合格证，确保产晶质量达到规定的技术标准。</w:t>
      </w:r>
    </w:p>
    <w:p>
      <w:pPr>
        <w:ind w:firstLine="480"/>
      </w:pPr>
      <w:r>
        <w:rPr>
          <w:rFonts w:hint="eastAsia"/>
          <w:lang w:eastAsia="zh-CN"/>
        </w:rPr>
        <w:t>（</w:t>
      </w:r>
      <w:r>
        <w:rPr>
          <w:rFonts w:hint="eastAsia"/>
          <w:lang w:val="en-US" w:eastAsia="zh-CN"/>
        </w:rPr>
        <w:t>十一</w:t>
      </w:r>
      <w:r>
        <w:rPr>
          <w:rFonts w:hint="eastAsia"/>
          <w:lang w:eastAsia="zh-CN"/>
        </w:rPr>
        <w:t>）</w:t>
      </w:r>
      <w:r>
        <w:rPr>
          <w:rFonts w:hint="eastAsia"/>
        </w:rPr>
        <w:t>负责定期或不定期的抽查库存或已经检验合格的成品，以考察检验工作质量，评价产品质量水平，发现产品质量存在的问题。及时采取改进措施，并将抽查结果向有关部门报告。</w:t>
      </w:r>
    </w:p>
    <w:p>
      <w:pPr>
        <w:ind w:firstLine="480"/>
      </w:pPr>
      <w:r>
        <w:rPr>
          <w:rFonts w:hint="eastAsia"/>
          <w:lang w:eastAsia="zh-CN"/>
        </w:rPr>
        <w:t>（</w:t>
      </w:r>
      <w:r>
        <w:rPr>
          <w:rFonts w:hint="eastAsia"/>
          <w:lang w:val="en-US" w:eastAsia="zh-CN"/>
        </w:rPr>
        <w:t>十二</w:t>
      </w:r>
      <w:r>
        <w:rPr>
          <w:rFonts w:hint="eastAsia"/>
          <w:lang w:eastAsia="zh-CN"/>
        </w:rPr>
        <w:t>）</w:t>
      </w:r>
      <w:r>
        <w:rPr>
          <w:rFonts w:hint="eastAsia"/>
        </w:rPr>
        <w:t>加强自我建设。不断学习。改进，研究或采用新的检验方法，认真贯彻执行标准，提高质量检验水平，贯彻以预防为主的原则，做好防止和减少检验误差的工作。保证检验工作质量。</w:t>
      </w:r>
    </w:p>
    <w:p>
      <w:pPr>
        <w:pStyle w:val="6"/>
        <w:bidi w:val="0"/>
      </w:pPr>
      <w:bookmarkStart w:id="688" w:name="_Toc14032"/>
      <w:r>
        <w:rPr>
          <w:rFonts w:hint="eastAsia"/>
          <w:lang w:eastAsia="zh-CN"/>
        </w:rPr>
        <w:t>（</w:t>
      </w:r>
      <w:r>
        <w:rPr>
          <w:rFonts w:hint="eastAsia"/>
          <w:lang w:val="en-US" w:eastAsia="zh-CN"/>
        </w:rPr>
        <w:t>四</w:t>
      </w:r>
      <w:r>
        <w:rPr>
          <w:rFonts w:hint="eastAsia"/>
          <w:lang w:eastAsia="zh-CN"/>
        </w:rPr>
        <w:t>）</w:t>
      </w:r>
      <w:r>
        <w:rPr>
          <w:rFonts w:hint="eastAsia"/>
        </w:rPr>
        <w:t>化验员质量责任制</w:t>
      </w:r>
      <w:bookmarkEnd w:id="688"/>
    </w:p>
    <w:p>
      <w:pPr>
        <w:ind w:firstLine="480"/>
      </w:pPr>
      <w:r>
        <w:rPr>
          <w:rFonts w:hint="eastAsia"/>
          <w:lang w:eastAsia="zh-CN"/>
        </w:rPr>
        <w:t>（</w:t>
      </w:r>
      <w:r>
        <w:rPr>
          <w:rFonts w:hint="eastAsia"/>
          <w:lang w:val="en-US" w:eastAsia="zh-CN"/>
        </w:rPr>
        <w:t>一</w:t>
      </w:r>
      <w:r>
        <w:rPr>
          <w:rFonts w:hint="eastAsia"/>
          <w:lang w:eastAsia="zh-CN"/>
        </w:rPr>
        <w:t>）</w:t>
      </w:r>
      <w:r>
        <w:rPr>
          <w:rFonts w:hint="eastAsia"/>
        </w:rPr>
        <w:t>认真贯彻执行国家的质量政策，搞好质量检验工作，充分发挥质量检验对产品质量的保证，预防和报告作用，以保证出厂产品都能符合国家标准的要求。</w:t>
      </w:r>
    </w:p>
    <w:p>
      <w:pPr>
        <w:ind w:firstLine="480"/>
      </w:pPr>
      <w:r>
        <w:rPr>
          <w:rFonts w:hint="eastAsia"/>
          <w:lang w:eastAsia="zh-CN"/>
        </w:rPr>
        <w:t>（</w:t>
      </w:r>
      <w:r>
        <w:rPr>
          <w:rFonts w:hint="eastAsia"/>
          <w:lang w:val="en-US" w:eastAsia="zh-CN"/>
        </w:rPr>
        <w:t>二</w:t>
      </w:r>
      <w:r>
        <w:rPr>
          <w:rFonts w:hint="eastAsia"/>
          <w:lang w:eastAsia="zh-CN"/>
        </w:rPr>
        <w:t>）</w:t>
      </w:r>
      <w:r>
        <w:rPr>
          <w:rFonts w:hint="eastAsia"/>
        </w:rPr>
        <w:t>按照标准和订货合同，负责从原材料入厂到成品出厂全过程的进货检验，工序检验，成品检验工作，盖合格章，严把质最关。</w:t>
      </w:r>
    </w:p>
    <w:p>
      <w:pPr>
        <w:ind w:firstLine="480"/>
      </w:pPr>
      <w:r>
        <w:rPr>
          <w:rFonts w:hint="eastAsia"/>
          <w:lang w:eastAsia="zh-CN"/>
        </w:rPr>
        <w:t>（</w:t>
      </w:r>
      <w:r>
        <w:rPr>
          <w:rFonts w:hint="eastAsia"/>
          <w:lang w:val="en-US" w:eastAsia="zh-CN"/>
        </w:rPr>
        <w:t>三</w:t>
      </w:r>
      <w:r>
        <w:rPr>
          <w:rFonts w:hint="eastAsia"/>
          <w:lang w:eastAsia="zh-CN"/>
        </w:rPr>
        <w:t>）</w:t>
      </w:r>
      <w:r>
        <w:rPr>
          <w:rFonts w:hint="eastAsia"/>
        </w:rPr>
        <w:t>负责产品理化试验，性能试验或产品要求的其他试验，编写试验报告。</w:t>
      </w:r>
    </w:p>
    <w:p>
      <w:pPr>
        <w:ind w:firstLine="480"/>
      </w:pPr>
      <w:r>
        <w:rPr>
          <w:rFonts w:hint="eastAsia"/>
          <w:lang w:eastAsia="zh-CN"/>
        </w:rPr>
        <w:t>（</w:t>
      </w:r>
      <w:r>
        <w:rPr>
          <w:rFonts w:hint="eastAsia"/>
          <w:lang w:val="en-US" w:eastAsia="zh-CN"/>
        </w:rPr>
        <w:t>四</w:t>
      </w:r>
      <w:r>
        <w:rPr>
          <w:rFonts w:hint="eastAsia"/>
          <w:lang w:eastAsia="zh-CN"/>
        </w:rPr>
        <w:t>）</w:t>
      </w:r>
      <w:r>
        <w:rPr>
          <w:rFonts w:hint="eastAsia"/>
        </w:rPr>
        <w:t>参加新产品的设计审查和鉴定，负责新产品的检验和试验工作，并提出试验报告。</w:t>
      </w:r>
    </w:p>
    <w:p>
      <w:pPr>
        <w:ind w:firstLine="480"/>
      </w:pPr>
      <w:r>
        <w:rPr>
          <w:rFonts w:hint="eastAsia"/>
          <w:lang w:eastAsia="zh-CN"/>
        </w:rPr>
        <w:t>（</w:t>
      </w:r>
      <w:r>
        <w:rPr>
          <w:rFonts w:hint="eastAsia"/>
          <w:lang w:val="en-US" w:eastAsia="zh-CN"/>
        </w:rPr>
        <w:t>五</w:t>
      </w:r>
      <w:r>
        <w:rPr>
          <w:rFonts w:hint="eastAsia"/>
          <w:lang w:eastAsia="zh-CN"/>
        </w:rPr>
        <w:t>）</w:t>
      </w:r>
      <w:r>
        <w:rPr>
          <w:rFonts w:hint="eastAsia"/>
        </w:rPr>
        <w:t>负责外协、外购件的质量检验工作。</w:t>
      </w:r>
    </w:p>
    <w:p>
      <w:pPr>
        <w:ind w:firstLine="480"/>
      </w:pPr>
      <w:r>
        <w:rPr>
          <w:rFonts w:hint="eastAsia"/>
          <w:lang w:eastAsia="zh-CN"/>
        </w:rPr>
        <w:t>（</w:t>
      </w:r>
      <w:r>
        <w:rPr>
          <w:rFonts w:hint="eastAsia"/>
          <w:lang w:val="en-US" w:eastAsia="zh-CN"/>
        </w:rPr>
        <w:t>六</w:t>
      </w:r>
      <w:r>
        <w:rPr>
          <w:rFonts w:hint="eastAsia"/>
          <w:lang w:eastAsia="zh-CN"/>
        </w:rPr>
        <w:t>）</w:t>
      </w:r>
      <w:r>
        <w:rPr>
          <w:rFonts w:hint="eastAsia"/>
        </w:rPr>
        <w:t>负责质量检验原始数据的记录和分析工作，并按规定的时间编写质量动态报告，作为正常的定期信息向总经理、生技科长和有关部门反馈，对于生产中发现的质量问题，按异常信息管理办法，及时向有关部门和人员反馈。</w:t>
      </w:r>
    </w:p>
    <w:p>
      <w:pPr>
        <w:ind w:firstLine="480"/>
      </w:pPr>
      <w:r>
        <w:rPr>
          <w:rFonts w:hint="eastAsia"/>
          <w:lang w:eastAsia="zh-CN"/>
        </w:rPr>
        <w:t>（</w:t>
      </w:r>
      <w:r>
        <w:rPr>
          <w:rFonts w:hint="eastAsia"/>
          <w:lang w:val="en-US" w:eastAsia="zh-CN"/>
        </w:rPr>
        <w:t>七</w:t>
      </w:r>
      <w:r>
        <w:rPr>
          <w:rFonts w:hint="eastAsia"/>
          <w:lang w:eastAsia="zh-CN"/>
        </w:rPr>
        <w:t>）</w:t>
      </w:r>
      <w:r>
        <w:rPr>
          <w:rFonts w:hint="eastAsia"/>
        </w:rPr>
        <w:t>认真做好不合格品的检验登记工作,通知生技科长和车间主任做好隔离和保管工作，防治同合格品混淆。</w:t>
      </w:r>
    </w:p>
    <w:p>
      <w:pPr>
        <w:pStyle w:val="6"/>
        <w:bidi w:val="0"/>
      </w:pPr>
      <w:bookmarkStart w:id="689" w:name="_Toc32360"/>
      <w:r>
        <w:rPr>
          <w:rFonts w:hint="eastAsia"/>
          <w:lang w:eastAsia="zh-CN"/>
        </w:rPr>
        <w:t>（</w:t>
      </w:r>
      <w:r>
        <w:rPr>
          <w:rFonts w:hint="eastAsia"/>
          <w:lang w:val="en-US" w:eastAsia="zh-CN"/>
        </w:rPr>
        <w:t>五</w:t>
      </w:r>
      <w:r>
        <w:rPr>
          <w:rFonts w:hint="eastAsia"/>
          <w:lang w:eastAsia="zh-CN"/>
        </w:rPr>
        <w:t>）</w:t>
      </w:r>
      <w:r>
        <w:rPr>
          <w:rFonts w:hint="eastAsia"/>
        </w:rPr>
        <w:t>全面质量管理办公室质量责任制</w:t>
      </w:r>
      <w:bookmarkEnd w:id="689"/>
    </w:p>
    <w:p>
      <w:pPr>
        <w:ind w:firstLine="480"/>
      </w:pPr>
      <w:r>
        <w:rPr>
          <w:rFonts w:hint="eastAsia"/>
          <w:lang w:eastAsia="zh-CN"/>
        </w:rPr>
        <w:t>（</w:t>
      </w:r>
      <w:r>
        <w:rPr>
          <w:rFonts w:hint="eastAsia"/>
          <w:lang w:val="en-US" w:eastAsia="zh-CN"/>
        </w:rPr>
        <w:t>一</w:t>
      </w:r>
      <w:r>
        <w:rPr>
          <w:rFonts w:hint="eastAsia"/>
          <w:lang w:eastAsia="zh-CN"/>
        </w:rPr>
        <w:t>）</w:t>
      </w:r>
      <w:r>
        <w:rPr>
          <w:rFonts w:hint="eastAsia"/>
        </w:rPr>
        <w:t>贯彻执行党和国家有关质量工作的方针，政策和规章制度，研究制订推行全面质量管理的长远规划和年度计划，参与制订工作。</w:t>
      </w:r>
    </w:p>
    <w:p>
      <w:pPr>
        <w:ind w:firstLine="480"/>
      </w:pPr>
      <w:r>
        <w:rPr>
          <w:rFonts w:hint="eastAsia"/>
          <w:lang w:eastAsia="zh-CN"/>
        </w:rPr>
        <w:t>（</w:t>
      </w:r>
      <w:r>
        <w:rPr>
          <w:rFonts w:hint="eastAsia"/>
          <w:lang w:val="en-US" w:eastAsia="zh-CN"/>
        </w:rPr>
        <w:t>二</w:t>
      </w:r>
      <w:r>
        <w:rPr>
          <w:rFonts w:hint="eastAsia"/>
          <w:lang w:eastAsia="zh-CN"/>
        </w:rPr>
        <w:t>）</w:t>
      </w:r>
      <w:r>
        <w:rPr>
          <w:rFonts w:hint="eastAsia"/>
        </w:rPr>
        <w:t>经常督促检查和协调本企业力针的实施和各车间、科室推行全面质量管理的情况，并制订标准进行考核。</w:t>
      </w:r>
    </w:p>
    <w:p>
      <w:pPr>
        <w:ind w:firstLine="480"/>
      </w:pPr>
      <w:r>
        <w:rPr>
          <w:rFonts w:hint="eastAsia"/>
          <w:lang w:eastAsia="zh-CN"/>
        </w:rPr>
        <w:t>（</w:t>
      </w:r>
      <w:r>
        <w:rPr>
          <w:rFonts w:hint="eastAsia"/>
          <w:lang w:val="en-US" w:eastAsia="zh-CN"/>
        </w:rPr>
        <w:t>三</w:t>
      </w:r>
      <w:r>
        <w:rPr>
          <w:rFonts w:hint="eastAsia"/>
          <w:lang w:eastAsia="zh-CN"/>
        </w:rPr>
        <w:t>）</w:t>
      </w:r>
      <w:r>
        <w:rPr>
          <w:rFonts w:hint="eastAsia"/>
        </w:rPr>
        <w:t>会同有关部门制订质量管理和质量管理活动计划，并对执行情况进行督促和检查，</w:t>
      </w:r>
    </w:p>
    <w:p>
      <w:pPr>
        <w:ind w:firstLine="480"/>
      </w:pPr>
      <w:r>
        <w:rPr>
          <w:rFonts w:hint="eastAsia"/>
          <w:lang w:eastAsia="zh-CN"/>
        </w:rPr>
        <w:t>（</w:t>
      </w:r>
      <w:r>
        <w:rPr>
          <w:rFonts w:hint="eastAsia"/>
          <w:lang w:val="en-US" w:eastAsia="zh-CN"/>
        </w:rPr>
        <w:t>四</w:t>
      </w:r>
      <w:r>
        <w:rPr>
          <w:rFonts w:hint="eastAsia"/>
          <w:lang w:eastAsia="zh-CN"/>
        </w:rPr>
        <w:t>）</w:t>
      </w:r>
      <w:r>
        <w:rPr>
          <w:rFonts w:hint="eastAsia"/>
        </w:rPr>
        <w:t>负责或参与推行全面质量管理及各项奖励办法的制订，负责工厂质量奖的评市工作。</w:t>
      </w:r>
    </w:p>
    <w:p>
      <w:pPr>
        <w:ind w:firstLine="480"/>
      </w:pPr>
      <w:r>
        <w:rPr>
          <w:rFonts w:hint="eastAsia"/>
          <w:lang w:eastAsia="zh-CN"/>
        </w:rPr>
        <w:t>（</w:t>
      </w:r>
      <w:r>
        <w:rPr>
          <w:rFonts w:hint="eastAsia"/>
          <w:lang w:val="en-US" w:eastAsia="zh-CN"/>
        </w:rPr>
        <w:t>五</w:t>
      </w:r>
      <w:r>
        <w:rPr>
          <w:rFonts w:hint="eastAsia"/>
          <w:lang w:eastAsia="zh-CN"/>
        </w:rPr>
        <w:t>）</w:t>
      </w:r>
      <w:r>
        <w:rPr>
          <w:rFonts w:hint="eastAsia"/>
        </w:rPr>
        <w:t>研究推广有关质量管理的各种科学方法和先进的质量控制的检验方法。</w:t>
      </w:r>
    </w:p>
    <w:p>
      <w:pPr>
        <w:ind w:firstLine="480"/>
      </w:pPr>
      <w:r>
        <w:rPr>
          <w:rFonts w:hint="eastAsia"/>
          <w:lang w:eastAsia="zh-CN"/>
        </w:rPr>
        <w:t>（</w:t>
      </w:r>
      <w:r>
        <w:rPr>
          <w:rFonts w:hint="eastAsia"/>
          <w:lang w:val="en-US" w:eastAsia="zh-CN"/>
        </w:rPr>
        <w:t>六</w:t>
      </w:r>
      <w:r>
        <w:rPr>
          <w:rFonts w:hint="eastAsia"/>
          <w:lang w:eastAsia="zh-CN"/>
        </w:rPr>
        <w:t>）</w:t>
      </w:r>
      <w:r>
        <w:rPr>
          <w:rFonts w:hint="eastAsia"/>
        </w:rPr>
        <w:t>对厂内外质量信息进行综合分析，提出改进管理的建议和措施。</w:t>
      </w:r>
    </w:p>
    <w:p>
      <w:pPr>
        <w:ind w:firstLine="480"/>
      </w:pPr>
      <w:r>
        <w:rPr>
          <w:rFonts w:hint="eastAsia"/>
          <w:lang w:eastAsia="zh-CN"/>
        </w:rPr>
        <w:t>（</w:t>
      </w:r>
      <w:r>
        <w:rPr>
          <w:rFonts w:hint="eastAsia"/>
          <w:lang w:val="en-US" w:eastAsia="zh-CN"/>
        </w:rPr>
        <w:t>七</w:t>
      </w:r>
      <w:r>
        <w:rPr>
          <w:rFonts w:hint="eastAsia"/>
          <w:lang w:eastAsia="zh-CN"/>
        </w:rPr>
        <w:t>）</w:t>
      </w:r>
      <w:r>
        <w:rPr>
          <w:rFonts w:hint="eastAsia"/>
        </w:rPr>
        <w:t>组织开展“质量月“活动，归口管理全厂的质量管理小组。</w:t>
      </w:r>
    </w:p>
    <w:p>
      <w:pPr>
        <w:ind w:firstLine="480"/>
      </w:pPr>
      <w:r>
        <w:rPr>
          <w:rFonts w:hint="eastAsia"/>
          <w:lang w:eastAsia="zh-CN"/>
        </w:rPr>
        <w:t>（</w:t>
      </w:r>
      <w:r>
        <w:rPr>
          <w:rFonts w:hint="eastAsia"/>
          <w:lang w:val="en-US" w:eastAsia="zh-CN"/>
        </w:rPr>
        <w:t>八</w:t>
      </w:r>
      <w:r>
        <w:rPr>
          <w:rFonts w:hint="eastAsia"/>
          <w:lang w:eastAsia="zh-CN"/>
        </w:rPr>
        <w:t>）</w:t>
      </w:r>
      <w:r>
        <w:rPr>
          <w:rFonts w:hint="eastAsia"/>
        </w:rPr>
        <w:t>参与财产品使用效果和使用婴求的调查，参与新产品的鉴定，</w:t>
      </w:r>
    </w:p>
    <w:p>
      <w:pPr>
        <w:ind w:firstLine="480"/>
      </w:pPr>
      <w:r>
        <w:rPr>
          <w:rFonts w:hint="eastAsia"/>
          <w:lang w:eastAsia="zh-CN"/>
        </w:rPr>
        <w:t>（</w:t>
      </w:r>
      <w:r>
        <w:rPr>
          <w:rFonts w:hint="eastAsia"/>
          <w:lang w:val="en-US" w:eastAsia="zh-CN"/>
        </w:rPr>
        <w:t>九</w:t>
      </w:r>
      <w:r>
        <w:rPr>
          <w:rFonts w:hint="eastAsia"/>
          <w:lang w:eastAsia="zh-CN"/>
        </w:rPr>
        <w:t>）</w:t>
      </w:r>
      <w:r>
        <w:rPr>
          <w:rFonts w:hint="eastAsia"/>
        </w:rPr>
        <w:t>负责工厂生产过程不合格品的统计与管理工作，并按有关规定叛定返工品，分别进行处理。</w:t>
      </w:r>
    </w:p>
    <w:p>
      <w:pPr>
        <w:ind w:firstLine="480"/>
      </w:pPr>
      <w:r>
        <w:rPr>
          <w:rFonts w:hint="eastAsia"/>
          <w:lang w:eastAsia="zh-CN"/>
        </w:rPr>
        <w:t>（</w:t>
      </w:r>
      <w:r>
        <w:rPr>
          <w:rFonts w:hint="eastAsia"/>
          <w:lang w:val="en-US" w:eastAsia="zh-CN"/>
        </w:rPr>
        <w:t>十</w:t>
      </w:r>
      <w:r>
        <w:rPr>
          <w:rFonts w:hint="eastAsia"/>
          <w:lang w:eastAsia="zh-CN"/>
        </w:rPr>
        <w:t>）</w:t>
      </w:r>
      <w:r>
        <w:rPr>
          <w:rFonts w:hint="eastAsia"/>
        </w:rPr>
        <w:t>负责提出产品质量考核指标的建议，并按此标准的质量计划指标进行统计、分析与考核工作。</w:t>
      </w:r>
    </w:p>
    <w:p>
      <w:pPr>
        <w:ind w:firstLine="480"/>
      </w:pPr>
      <w:r>
        <w:rPr>
          <w:rFonts w:hint="eastAsia"/>
          <w:lang w:eastAsia="zh-CN"/>
        </w:rPr>
        <w:t>（</w:t>
      </w:r>
      <w:r>
        <w:rPr>
          <w:rFonts w:hint="eastAsia"/>
          <w:lang w:val="en-US" w:eastAsia="zh-CN"/>
        </w:rPr>
        <w:t>十一</w:t>
      </w:r>
      <w:r>
        <w:rPr>
          <w:rFonts w:hint="eastAsia"/>
          <w:lang w:eastAsia="zh-CN"/>
        </w:rPr>
        <w:t>）</w:t>
      </w:r>
      <w:r>
        <w:rPr>
          <w:rFonts w:hint="eastAsia"/>
        </w:rPr>
        <w:t>通过有效的质量管理活动提高产品的综合质量，完成工厂领导交办的其他工作。</w:t>
      </w:r>
    </w:p>
    <w:p>
      <w:pPr>
        <w:pStyle w:val="6"/>
        <w:bidi w:val="0"/>
      </w:pPr>
      <w:bookmarkStart w:id="690" w:name="_Toc6217"/>
      <w:r>
        <w:rPr>
          <w:rFonts w:hint="eastAsia"/>
          <w:lang w:eastAsia="zh-CN"/>
        </w:rPr>
        <w:t>（</w:t>
      </w:r>
      <w:r>
        <w:rPr>
          <w:rFonts w:hint="eastAsia"/>
          <w:lang w:val="en-US" w:eastAsia="zh-CN"/>
        </w:rPr>
        <w:t>六</w:t>
      </w:r>
      <w:r>
        <w:rPr>
          <w:rFonts w:hint="eastAsia"/>
          <w:lang w:eastAsia="zh-CN"/>
        </w:rPr>
        <w:t>）</w:t>
      </w:r>
      <w:r>
        <w:rPr>
          <w:rFonts w:hint="eastAsia"/>
        </w:rPr>
        <w:t>计量员质量责任制</w:t>
      </w:r>
      <w:bookmarkEnd w:id="690"/>
    </w:p>
    <w:p>
      <w:pPr>
        <w:ind w:firstLine="480"/>
      </w:pPr>
      <w:r>
        <w:rPr>
          <w:rFonts w:hint="eastAsia"/>
          <w:lang w:eastAsia="zh-CN"/>
        </w:rPr>
        <w:t>（</w:t>
      </w:r>
      <w:r>
        <w:rPr>
          <w:rFonts w:hint="eastAsia"/>
          <w:lang w:val="en-US" w:eastAsia="zh-CN"/>
        </w:rPr>
        <w:t>一</w:t>
      </w:r>
      <w:r>
        <w:rPr>
          <w:rFonts w:hint="eastAsia"/>
          <w:lang w:eastAsia="zh-CN"/>
        </w:rPr>
        <w:t>）</w:t>
      </w:r>
      <w:r>
        <w:rPr>
          <w:rFonts w:hint="eastAsia"/>
        </w:rPr>
        <w:t>严格贯彻执行国家计量工作的方针政策、法令、法规和制度。</w:t>
      </w:r>
    </w:p>
    <w:p>
      <w:pPr>
        <w:ind w:firstLine="480"/>
      </w:pPr>
      <w:r>
        <w:rPr>
          <w:rFonts w:hint="eastAsia"/>
          <w:lang w:eastAsia="zh-CN"/>
        </w:rPr>
        <w:t>（</w:t>
      </w:r>
      <w:r>
        <w:rPr>
          <w:rFonts w:hint="eastAsia"/>
          <w:lang w:val="en-US" w:eastAsia="zh-CN"/>
        </w:rPr>
        <w:t>二</w:t>
      </w:r>
      <w:r>
        <w:rPr>
          <w:rFonts w:hint="eastAsia"/>
          <w:lang w:eastAsia="zh-CN"/>
        </w:rPr>
        <w:t>）</w:t>
      </w:r>
      <w:r>
        <w:rPr>
          <w:rFonts w:hint="eastAsia"/>
        </w:rPr>
        <w:t>在生技科长的领导下，对全公司的计量器具统一管理，保证计量器具配备齐全，质量稳定，示值准确统-。</w:t>
      </w:r>
    </w:p>
    <w:p>
      <w:pPr>
        <w:ind w:firstLine="480"/>
      </w:pPr>
      <w:r>
        <w:rPr>
          <w:rFonts w:hint="eastAsia"/>
          <w:lang w:eastAsia="zh-CN"/>
        </w:rPr>
        <w:t>（</w:t>
      </w:r>
      <w:r>
        <w:rPr>
          <w:rFonts w:hint="eastAsia"/>
          <w:lang w:val="en-US" w:eastAsia="zh-CN"/>
        </w:rPr>
        <w:t>三</w:t>
      </w:r>
      <w:r>
        <w:rPr>
          <w:rFonts w:hint="eastAsia"/>
          <w:lang w:eastAsia="zh-CN"/>
        </w:rPr>
        <w:t>）</w:t>
      </w:r>
      <w:r>
        <w:rPr>
          <w:rFonts w:hint="eastAsia"/>
        </w:rPr>
        <w:t>负责按标准规定的检验项目和方式对各类计量器具进行入库检定，周期和返检定。</w:t>
      </w:r>
    </w:p>
    <w:p>
      <w:pPr>
        <w:ind w:firstLine="480"/>
      </w:pPr>
      <w:r>
        <w:rPr>
          <w:rFonts w:hint="eastAsia"/>
          <w:lang w:eastAsia="zh-CN"/>
        </w:rPr>
        <w:t>（</w:t>
      </w:r>
      <w:r>
        <w:rPr>
          <w:rFonts w:hint="eastAsia"/>
          <w:lang w:val="en-US" w:eastAsia="zh-CN"/>
        </w:rPr>
        <w:t>四</w:t>
      </w:r>
      <w:r>
        <w:rPr>
          <w:rFonts w:hint="eastAsia"/>
          <w:lang w:eastAsia="zh-CN"/>
        </w:rPr>
        <w:t>）</w:t>
      </w:r>
      <w:r>
        <w:rPr>
          <w:rFonts w:hint="eastAsia"/>
        </w:rPr>
        <w:t>负责对量具使用单位和个人定期抽查，对在用量具的全貌维护和保管，对在用量具的完好率进行考核。</w:t>
      </w:r>
    </w:p>
    <w:p>
      <w:pPr>
        <w:ind w:firstLine="480"/>
      </w:pPr>
      <w:r>
        <w:rPr>
          <w:rFonts w:hint="eastAsia"/>
          <w:lang w:eastAsia="zh-CN"/>
        </w:rPr>
        <w:t>（</w:t>
      </w:r>
      <w:r>
        <w:rPr>
          <w:rFonts w:hint="eastAsia"/>
          <w:lang w:val="en-US" w:eastAsia="zh-CN"/>
        </w:rPr>
        <w:t>五</w:t>
      </w:r>
      <w:r>
        <w:rPr>
          <w:rFonts w:hint="eastAsia"/>
          <w:lang w:eastAsia="zh-CN"/>
        </w:rPr>
        <w:t>）</w:t>
      </w:r>
      <w:r>
        <w:rPr>
          <w:rFonts w:hint="eastAsia"/>
        </w:rPr>
        <w:t>不断提高业务水平，积极研究和引进的测试技术充分发挥计量工作队质量的保证作用。</w:t>
      </w:r>
    </w:p>
    <w:p>
      <w:pPr>
        <w:pStyle w:val="6"/>
        <w:bidi w:val="0"/>
      </w:pPr>
      <w:bookmarkStart w:id="691" w:name="_Toc28382"/>
      <w:r>
        <w:rPr>
          <w:rFonts w:hint="eastAsia"/>
          <w:lang w:eastAsia="zh-CN"/>
        </w:rPr>
        <w:t>（</w:t>
      </w:r>
      <w:r>
        <w:rPr>
          <w:rFonts w:hint="eastAsia"/>
          <w:lang w:val="en-US" w:eastAsia="zh-CN"/>
        </w:rPr>
        <w:t>七</w:t>
      </w:r>
      <w:r>
        <w:rPr>
          <w:rFonts w:hint="eastAsia"/>
          <w:lang w:eastAsia="zh-CN"/>
        </w:rPr>
        <w:t>）</w:t>
      </w:r>
      <w:r>
        <w:rPr>
          <w:rFonts w:hint="eastAsia"/>
        </w:rPr>
        <w:t>供销科长岗位质量责任制</w:t>
      </w:r>
      <w:bookmarkEnd w:id="691"/>
    </w:p>
    <w:p>
      <w:pPr>
        <w:ind w:firstLine="480"/>
      </w:pPr>
      <w:r>
        <w:rPr>
          <w:rFonts w:hint="eastAsia"/>
          <w:lang w:eastAsia="zh-CN"/>
        </w:rPr>
        <w:t>（</w:t>
      </w:r>
      <w:r>
        <w:rPr>
          <w:rFonts w:hint="eastAsia"/>
          <w:lang w:val="en-US" w:eastAsia="zh-CN"/>
        </w:rPr>
        <w:t>一</w:t>
      </w:r>
      <w:r>
        <w:rPr>
          <w:rFonts w:hint="eastAsia"/>
          <w:lang w:eastAsia="zh-CN"/>
        </w:rPr>
        <w:t>）</w:t>
      </w:r>
      <w:r>
        <w:rPr>
          <w:rFonts w:hint="eastAsia"/>
        </w:rPr>
        <w:t>作好销售计划，作好各地区销售工作的应用技术售后服务和推广。</w:t>
      </w:r>
    </w:p>
    <w:p>
      <w:pPr>
        <w:ind w:firstLine="480"/>
      </w:pPr>
      <w:r>
        <w:rPr>
          <w:rFonts w:hint="eastAsia"/>
          <w:lang w:eastAsia="zh-CN"/>
        </w:rPr>
        <w:t>（</w:t>
      </w:r>
      <w:r>
        <w:rPr>
          <w:rFonts w:hint="eastAsia"/>
          <w:lang w:val="en-US" w:eastAsia="zh-CN"/>
        </w:rPr>
        <w:t>二</w:t>
      </w:r>
      <w:r>
        <w:rPr>
          <w:rFonts w:hint="eastAsia"/>
          <w:lang w:eastAsia="zh-CN"/>
        </w:rPr>
        <w:t>）</w:t>
      </w:r>
      <w:r>
        <w:rPr>
          <w:rFonts w:hint="eastAsia"/>
        </w:rPr>
        <w:t>做好市场的调查、分析、预测、掌握用户的要求。</w:t>
      </w:r>
    </w:p>
    <w:p>
      <w:pPr>
        <w:ind w:firstLine="480"/>
      </w:pPr>
      <w:r>
        <w:rPr>
          <w:rFonts w:hint="eastAsia"/>
          <w:lang w:eastAsia="zh-CN"/>
        </w:rPr>
        <w:t>（</w:t>
      </w:r>
      <w:r>
        <w:rPr>
          <w:rFonts w:hint="eastAsia"/>
          <w:lang w:val="en-US" w:eastAsia="zh-CN"/>
        </w:rPr>
        <w:t>三</w:t>
      </w:r>
      <w:r>
        <w:rPr>
          <w:rFonts w:hint="eastAsia"/>
          <w:lang w:eastAsia="zh-CN"/>
        </w:rPr>
        <w:t>）</w:t>
      </w:r>
      <w:r>
        <w:rPr>
          <w:rFonts w:hint="eastAsia"/>
        </w:rPr>
        <w:t>搞好产品的销售服务，保证按期交货。</w:t>
      </w:r>
    </w:p>
    <w:p>
      <w:pPr>
        <w:ind w:firstLine="480"/>
      </w:pPr>
      <w:r>
        <w:rPr>
          <w:rFonts w:hint="eastAsia"/>
          <w:lang w:eastAsia="zh-CN"/>
        </w:rPr>
        <w:t>（</w:t>
      </w:r>
      <w:r>
        <w:rPr>
          <w:rFonts w:hint="eastAsia"/>
          <w:lang w:val="en-US" w:eastAsia="zh-CN"/>
        </w:rPr>
        <w:t>四</w:t>
      </w:r>
      <w:r>
        <w:rPr>
          <w:rFonts w:hint="eastAsia"/>
          <w:lang w:eastAsia="zh-CN"/>
        </w:rPr>
        <w:t>）</w:t>
      </w:r>
      <w:r>
        <w:rPr>
          <w:rFonts w:hint="eastAsia"/>
        </w:rPr>
        <w:t>做好产品的宜传工作，为用户提供完整的使用说明书及其他宜传品。</w:t>
      </w:r>
    </w:p>
    <w:p>
      <w:pPr>
        <w:ind w:firstLine="480"/>
      </w:pPr>
      <w:r>
        <w:rPr>
          <w:rFonts w:hint="eastAsia"/>
          <w:lang w:eastAsia="zh-CN"/>
        </w:rPr>
        <w:t>（</w:t>
      </w:r>
      <w:r>
        <w:rPr>
          <w:rFonts w:hint="eastAsia"/>
          <w:lang w:val="en-US" w:eastAsia="zh-CN"/>
        </w:rPr>
        <w:t>五</w:t>
      </w:r>
      <w:r>
        <w:rPr>
          <w:rFonts w:hint="eastAsia"/>
          <w:lang w:eastAsia="zh-CN"/>
        </w:rPr>
        <w:t>）</w:t>
      </w:r>
      <w:r>
        <w:rPr>
          <w:rFonts w:hint="eastAsia"/>
        </w:rPr>
        <w:t>承担产品质量责任，及时处理用户要求，树立质量信誉，</w:t>
      </w:r>
    </w:p>
    <w:p>
      <w:pPr>
        <w:ind w:firstLine="480"/>
      </w:pPr>
      <w:r>
        <w:rPr>
          <w:rFonts w:hint="eastAsia"/>
          <w:lang w:eastAsia="zh-CN"/>
        </w:rPr>
        <w:t>（</w:t>
      </w:r>
      <w:r>
        <w:rPr>
          <w:rFonts w:hint="eastAsia"/>
          <w:lang w:val="en-US" w:eastAsia="zh-CN"/>
        </w:rPr>
        <w:t>六</w:t>
      </w:r>
      <w:r>
        <w:rPr>
          <w:rFonts w:hint="eastAsia"/>
          <w:lang w:eastAsia="zh-CN"/>
        </w:rPr>
        <w:t>）</w:t>
      </w:r>
      <w:r>
        <w:rPr>
          <w:rFonts w:hint="eastAsia"/>
        </w:rPr>
        <w:t>做好用户回访工作，及时整理回访报告。</w:t>
      </w:r>
    </w:p>
    <w:p>
      <w:pPr>
        <w:ind w:firstLine="480"/>
      </w:pPr>
      <w:r>
        <w:rPr>
          <w:rFonts w:hint="eastAsia"/>
          <w:lang w:eastAsia="zh-CN"/>
        </w:rPr>
        <w:t>（</w:t>
      </w:r>
      <w:r>
        <w:rPr>
          <w:rFonts w:hint="eastAsia"/>
          <w:lang w:val="en-US" w:eastAsia="zh-CN"/>
        </w:rPr>
        <w:t>七</w:t>
      </w:r>
      <w:r>
        <w:rPr>
          <w:rFonts w:hint="eastAsia"/>
          <w:lang w:eastAsia="zh-CN"/>
        </w:rPr>
        <w:t>）</w:t>
      </w:r>
      <w:r>
        <w:rPr>
          <w:rFonts w:hint="eastAsia"/>
        </w:rPr>
        <w:t>负责对发生在用户的产品质量问题的检验、分析与确认、提出改进意见。</w:t>
      </w:r>
    </w:p>
    <w:p>
      <w:pPr>
        <w:ind w:firstLine="480"/>
      </w:pPr>
      <w:r>
        <w:rPr>
          <w:rFonts w:hint="eastAsia"/>
          <w:lang w:eastAsia="zh-CN"/>
        </w:rPr>
        <w:t>（</w:t>
      </w:r>
      <w:r>
        <w:rPr>
          <w:rFonts w:hint="eastAsia"/>
          <w:lang w:val="en-US" w:eastAsia="zh-CN"/>
        </w:rPr>
        <w:t>八</w:t>
      </w:r>
      <w:r>
        <w:rPr>
          <w:rFonts w:hint="eastAsia"/>
          <w:lang w:eastAsia="zh-CN"/>
        </w:rPr>
        <w:t>）</w:t>
      </w:r>
      <w:r>
        <w:rPr>
          <w:rFonts w:hint="eastAsia"/>
        </w:rPr>
        <w:t>负责收集、积累本公司产品在推广应用中。用户的质量反馈资料，并建立产品质量用户档案。</w:t>
      </w:r>
    </w:p>
    <w:p>
      <w:pPr>
        <w:ind w:firstLine="480"/>
      </w:pPr>
      <w:r>
        <w:rPr>
          <w:rFonts w:hint="eastAsia"/>
          <w:lang w:eastAsia="zh-CN"/>
        </w:rPr>
        <w:t>（</w:t>
      </w:r>
      <w:r>
        <w:rPr>
          <w:rFonts w:hint="eastAsia"/>
          <w:lang w:val="en-US" w:eastAsia="zh-CN"/>
        </w:rPr>
        <w:t>九</w:t>
      </w:r>
      <w:r>
        <w:rPr>
          <w:rFonts w:hint="eastAsia"/>
          <w:lang w:eastAsia="zh-CN"/>
        </w:rPr>
        <w:t>）</w:t>
      </w:r>
      <w:r>
        <w:rPr>
          <w:rFonts w:hint="eastAsia"/>
        </w:rPr>
        <w:t>负责全公司所需物资原材料的采购,运输和入库等全过程的供应工作。</w:t>
      </w:r>
    </w:p>
    <w:p>
      <w:pPr>
        <w:ind w:firstLine="480"/>
      </w:pPr>
      <w:r>
        <w:rPr>
          <w:rFonts w:hint="eastAsia"/>
          <w:lang w:eastAsia="zh-CN"/>
        </w:rPr>
        <w:t>（</w:t>
      </w:r>
      <w:r>
        <w:rPr>
          <w:rFonts w:hint="eastAsia"/>
          <w:lang w:val="en-US" w:eastAsia="zh-CN"/>
        </w:rPr>
        <w:t>十</w:t>
      </w:r>
      <w:r>
        <w:rPr>
          <w:rFonts w:hint="eastAsia"/>
          <w:lang w:eastAsia="zh-CN"/>
        </w:rPr>
        <w:t>）</w:t>
      </w:r>
      <w:r>
        <w:rPr>
          <w:rFonts w:hint="eastAsia"/>
        </w:rPr>
        <w:t>负责制定供方评价准则，特别是大宗原料如有机质等产品供货方要进行评价，择优采购，以满足公司产品的质量要求。</w:t>
      </w:r>
    </w:p>
    <w:p>
      <w:pPr>
        <w:ind w:firstLine="480"/>
      </w:pPr>
      <w:r>
        <w:rPr>
          <w:rFonts w:hint="eastAsia"/>
          <w:lang w:eastAsia="zh-CN"/>
        </w:rPr>
        <w:t>（</w:t>
      </w:r>
      <w:r>
        <w:rPr>
          <w:rFonts w:hint="eastAsia"/>
          <w:lang w:val="en-US" w:eastAsia="zh-CN"/>
        </w:rPr>
        <w:t>十一</w:t>
      </w:r>
      <w:r>
        <w:rPr>
          <w:rFonts w:hint="eastAsia"/>
          <w:lang w:eastAsia="zh-CN"/>
        </w:rPr>
        <w:t>）</w:t>
      </w:r>
      <w:r>
        <w:rPr>
          <w:rFonts w:hint="eastAsia"/>
        </w:rPr>
        <w:t>采购物资严把质量关，若出现质量问题和价格问题，或以人为因素未及时采购供应造成停产等，一切经济责任由供销人员负责。</w:t>
      </w:r>
    </w:p>
    <w:p>
      <w:pPr>
        <w:pStyle w:val="6"/>
        <w:bidi w:val="0"/>
      </w:pPr>
      <w:bookmarkStart w:id="692" w:name="_Toc23524"/>
      <w:r>
        <w:rPr>
          <w:rFonts w:hint="eastAsia"/>
          <w:lang w:eastAsia="zh-CN"/>
        </w:rPr>
        <w:t>（</w:t>
      </w:r>
      <w:r>
        <w:rPr>
          <w:rFonts w:hint="eastAsia"/>
          <w:lang w:val="en-US" w:eastAsia="zh-CN"/>
        </w:rPr>
        <w:t>八</w:t>
      </w:r>
      <w:r>
        <w:rPr>
          <w:rFonts w:hint="eastAsia"/>
          <w:lang w:eastAsia="zh-CN"/>
        </w:rPr>
        <w:t>）</w:t>
      </w:r>
      <w:r>
        <w:rPr>
          <w:rFonts w:hint="eastAsia"/>
        </w:rPr>
        <w:t>生产工人岗位质量责任制</w:t>
      </w:r>
      <w:bookmarkEnd w:id="692"/>
    </w:p>
    <w:p>
      <w:pPr>
        <w:ind w:firstLine="480"/>
      </w:pPr>
      <w:r>
        <w:rPr>
          <w:rFonts w:hint="eastAsia"/>
          <w:lang w:eastAsia="zh-CN"/>
        </w:rPr>
        <w:t>（</w:t>
      </w:r>
      <w:r>
        <w:rPr>
          <w:rFonts w:hint="eastAsia"/>
          <w:lang w:val="en-US" w:eastAsia="zh-CN"/>
        </w:rPr>
        <w:t>一</w:t>
      </w:r>
      <w:r>
        <w:rPr>
          <w:rFonts w:hint="eastAsia"/>
          <w:lang w:eastAsia="zh-CN"/>
        </w:rPr>
        <w:t>）</w:t>
      </w:r>
      <w:r>
        <w:rPr>
          <w:rFonts w:hint="eastAsia"/>
        </w:rPr>
        <w:t>熟悉质量标准，工艺文件和作业指导书。</w:t>
      </w:r>
    </w:p>
    <w:p>
      <w:pPr>
        <w:ind w:firstLine="480"/>
      </w:pPr>
      <w:r>
        <w:rPr>
          <w:rFonts w:hint="eastAsia"/>
          <w:lang w:eastAsia="zh-CN"/>
        </w:rPr>
        <w:t>（</w:t>
      </w:r>
      <w:r>
        <w:rPr>
          <w:rFonts w:hint="eastAsia"/>
          <w:lang w:val="en-US" w:eastAsia="zh-CN"/>
        </w:rPr>
        <w:t>二</w:t>
      </w:r>
      <w:r>
        <w:rPr>
          <w:rFonts w:hint="eastAsia"/>
          <w:lang w:eastAsia="zh-CN"/>
        </w:rPr>
        <w:t>）</w:t>
      </w:r>
      <w:r>
        <w:rPr>
          <w:rFonts w:hint="eastAsia"/>
        </w:rPr>
        <w:t>严格遵守工艺纪律和操作规程，确保产品质量。</w:t>
      </w:r>
    </w:p>
    <w:p>
      <w:pPr>
        <w:ind w:firstLine="480"/>
      </w:pPr>
      <w:r>
        <w:rPr>
          <w:rFonts w:hint="eastAsia"/>
          <w:lang w:eastAsia="zh-CN"/>
        </w:rPr>
        <w:t>（</w:t>
      </w:r>
      <w:r>
        <w:rPr>
          <w:rFonts w:hint="eastAsia"/>
          <w:lang w:val="en-US" w:eastAsia="zh-CN"/>
        </w:rPr>
        <w:t>三</w:t>
      </w:r>
      <w:r>
        <w:rPr>
          <w:rFonts w:hint="eastAsia"/>
          <w:lang w:eastAsia="zh-CN"/>
        </w:rPr>
        <w:t>）</w:t>
      </w:r>
      <w:r>
        <w:rPr>
          <w:rFonts w:hint="eastAsia"/>
        </w:rPr>
        <w:t>开工前认真消化工艺文件，检查好传动设备、精心操作，认真检查，作好自己的代号标记。.</w:t>
      </w:r>
    </w:p>
    <w:p>
      <w:pPr>
        <w:ind w:firstLine="480"/>
      </w:pPr>
      <w:r>
        <w:rPr>
          <w:rFonts w:hint="eastAsia"/>
          <w:lang w:eastAsia="zh-CN"/>
        </w:rPr>
        <w:t>（</w:t>
      </w:r>
      <w:r>
        <w:rPr>
          <w:rFonts w:hint="eastAsia"/>
          <w:lang w:val="en-US" w:eastAsia="zh-CN"/>
        </w:rPr>
        <w:t>四</w:t>
      </w:r>
      <w:r>
        <w:rPr>
          <w:rFonts w:hint="eastAsia"/>
          <w:lang w:eastAsia="zh-CN"/>
        </w:rPr>
        <w:t>）</w:t>
      </w:r>
      <w:r>
        <w:rPr>
          <w:rFonts w:hint="eastAsia"/>
        </w:rPr>
        <w:t>对工厂量具、仪器、仪表做到合理使用，精心维护。</w:t>
      </w:r>
    </w:p>
    <w:p>
      <w:pPr>
        <w:ind w:firstLine="480"/>
      </w:pPr>
      <w:r>
        <w:rPr>
          <w:rFonts w:hint="eastAsia"/>
          <w:lang w:eastAsia="zh-CN"/>
        </w:rPr>
        <w:t>（</w:t>
      </w:r>
      <w:r>
        <w:rPr>
          <w:rFonts w:hint="eastAsia"/>
          <w:lang w:val="en-US" w:eastAsia="zh-CN"/>
        </w:rPr>
        <w:t>五</w:t>
      </w:r>
      <w:r>
        <w:rPr>
          <w:rFonts w:hint="eastAsia"/>
          <w:lang w:eastAsia="zh-CN"/>
        </w:rPr>
        <w:t>）</w:t>
      </w:r>
      <w:r>
        <w:rPr>
          <w:rFonts w:hint="eastAsia"/>
        </w:rPr>
        <w:t>认真执行“三检”</w:t>
      </w:r>
      <w:r>
        <w:rPr>
          <w:rFonts w:hint="eastAsia"/>
          <w:lang w:eastAsia="zh-CN"/>
        </w:rPr>
        <w:t>（</w:t>
      </w:r>
      <w:r>
        <w:rPr>
          <w:rFonts w:hint="eastAsia"/>
        </w:rPr>
        <w:t>自检、互检、交厂检</w:t>
      </w:r>
      <w:r>
        <w:rPr>
          <w:rFonts w:hint="eastAsia"/>
          <w:lang w:eastAsia="zh-CN"/>
        </w:rPr>
        <w:t>）</w:t>
      </w:r>
      <w:r>
        <w:rPr>
          <w:rFonts w:hint="eastAsia"/>
        </w:rPr>
        <w:t>，“三要”</w:t>
      </w:r>
      <w:r>
        <w:rPr>
          <w:rFonts w:hint="eastAsia"/>
          <w:lang w:eastAsia="zh-CN"/>
        </w:rPr>
        <w:t>（</w:t>
      </w:r>
      <w:r>
        <w:rPr>
          <w:rFonts w:hint="eastAsia"/>
        </w:rPr>
        <w:t>包装件要轻拿轻放，按指定工位要摆放整齐，出了问题要分析</w:t>
      </w:r>
      <w:r>
        <w:rPr>
          <w:rFonts w:hint="eastAsia"/>
          <w:lang w:eastAsia="zh-CN"/>
        </w:rPr>
        <w:t>）</w:t>
      </w:r>
      <w:r>
        <w:rPr>
          <w:rFonts w:hint="eastAsia"/>
        </w:rPr>
        <w:t>，主动挑出，隔离不合格品。</w:t>
      </w:r>
    </w:p>
    <w:p>
      <w:pPr>
        <w:ind w:firstLine="480"/>
      </w:pPr>
      <w:r>
        <w:rPr>
          <w:rFonts w:hint="eastAsia"/>
        </w:rPr>
        <w:t>六、努力学习全面质量管理知识，掌握必要的技巧，积极参加每年的质量月宣传活动。</w:t>
      </w:r>
    </w:p>
    <w:p>
      <w:pPr>
        <w:widowControl/>
        <w:spacing w:before="0" w:after="0" w:line="240" w:lineRule="auto"/>
        <w:ind w:firstLine="0" w:firstLineChars="0"/>
        <w:jc w:val="left"/>
      </w:pPr>
      <w:r>
        <w:br w:type="page"/>
      </w:r>
    </w:p>
    <w:p>
      <w:pPr>
        <w:pStyle w:val="4"/>
        <w:bidi w:val="0"/>
      </w:pPr>
      <w:bookmarkStart w:id="693" w:name="_Toc118233247"/>
      <w:bookmarkStart w:id="694" w:name="_Toc116924324"/>
      <w:bookmarkStart w:id="695" w:name="_Toc118293320"/>
      <w:bookmarkStart w:id="696" w:name="_Ref118207122"/>
      <w:bookmarkStart w:id="697" w:name="_Ref118207125"/>
      <w:bookmarkStart w:id="698" w:name="_Toc105600353"/>
      <w:bookmarkStart w:id="699" w:name="_Toc27183"/>
      <w:r>
        <w:rPr>
          <w:rFonts w:hint="eastAsia"/>
          <w:lang w:val="en-US" w:eastAsia="zh-CN"/>
        </w:rPr>
        <w:t xml:space="preserve">第五节  </w:t>
      </w:r>
      <w:r>
        <w:t>对问题产品有具体的应急解决方案</w:t>
      </w:r>
      <w:bookmarkEnd w:id="693"/>
      <w:bookmarkEnd w:id="694"/>
      <w:bookmarkEnd w:id="695"/>
      <w:bookmarkEnd w:id="696"/>
      <w:bookmarkEnd w:id="697"/>
      <w:bookmarkEnd w:id="698"/>
      <w:bookmarkEnd w:id="699"/>
    </w:p>
    <w:p>
      <w:pPr>
        <w:pStyle w:val="5"/>
        <w:bidi w:val="0"/>
      </w:pPr>
      <w:bookmarkStart w:id="700" w:name="_Ref118207130"/>
      <w:bookmarkStart w:id="701" w:name="_Toc105600354"/>
      <w:bookmarkStart w:id="702" w:name="_Toc118293321"/>
      <w:bookmarkStart w:id="703" w:name="_Toc118233248"/>
      <w:bookmarkStart w:id="704" w:name="_Ref118207138"/>
      <w:bookmarkStart w:id="705" w:name="_Toc116924325"/>
      <w:bookmarkStart w:id="706" w:name="_Toc2087"/>
      <w:bookmarkStart w:id="707" w:name="_Ref118207132"/>
      <w:r>
        <w:rPr>
          <w:rFonts w:hint="eastAsia"/>
          <w:lang w:val="en-US" w:eastAsia="zh-CN"/>
        </w:rPr>
        <w:t>一、</w:t>
      </w:r>
      <w:r>
        <w:rPr>
          <w:rFonts w:hint="eastAsia"/>
        </w:rPr>
        <w:t>产品问题的处理</w:t>
      </w:r>
      <w:bookmarkEnd w:id="700"/>
      <w:bookmarkEnd w:id="701"/>
      <w:bookmarkEnd w:id="702"/>
      <w:bookmarkEnd w:id="703"/>
      <w:bookmarkEnd w:id="704"/>
      <w:bookmarkEnd w:id="705"/>
      <w:bookmarkEnd w:id="706"/>
      <w:bookmarkEnd w:id="707"/>
    </w:p>
    <w:p>
      <w:pPr>
        <w:ind w:firstLine="480"/>
        <w:rPr>
          <w:rFonts w:hint="eastAsia" w:eastAsia="宋体"/>
          <w:lang w:eastAsia="zh-CN"/>
        </w:rPr>
      </w:pPr>
      <w:r>
        <w:rPr>
          <w:rFonts w:hint="eastAsia"/>
          <w:lang w:eastAsia="zh-CN"/>
        </w:rPr>
        <w:t>（</w:t>
      </w:r>
      <w:r>
        <w:rPr>
          <w:rFonts w:hint="eastAsia"/>
          <w:lang w:val="en-US" w:eastAsia="zh-CN"/>
        </w:rPr>
        <w:t>一</w:t>
      </w:r>
      <w:r>
        <w:rPr>
          <w:rFonts w:hint="eastAsia"/>
          <w:lang w:eastAsia="zh-CN"/>
        </w:rPr>
        <w:t>）</w:t>
      </w:r>
      <w:r>
        <w:rPr>
          <w:rFonts w:hint="eastAsia"/>
        </w:rPr>
        <w:t>售后服务部及办事处办公室立即召集应急预案小组成员举行会议，通报情况，研究应对措施，并将责任落实到相关部门。</w:t>
      </w:r>
    </w:p>
    <w:p>
      <w:pPr>
        <w:ind w:firstLine="480"/>
        <w:rPr>
          <w:rFonts w:hint="eastAsia" w:eastAsia="宋体"/>
          <w:lang w:eastAsia="zh-CN"/>
        </w:rPr>
      </w:pPr>
      <w:r>
        <w:rPr>
          <w:rFonts w:hint="eastAsia"/>
          <w:lang w:eastAsia="zh-CN"/>
        </w:rPr>
        <w:t>（</w:t>
      </w:r>
      <w:r>
        <w:rPr>
          <w:rFonts w:hint="eastAsia"/>
          <w:lang w:val="en-US" w:eastAsia="zh-CN"/>
        </w:rPr>
        <w:t>二</w:t>
      </w:r>
      <w:r>
        <w:rPr>
          <w:rFonts w:hint="eastAsia"/>
          <w:lang w:eastAsia="zh-CN"/>
        </w:rPr>
        <w:t>）</w:t>
      </w:r>
      <w:r>
        <w:rPr>
          <w:rFonts w:hint="eastAsia"/>
        </w:rPr>
        <w:t>根据会议要求，有相关责任部门启用解决预案，对咨询或者投诉的客户立即作出回应。售后服务人员保证24小时内到现场解决。</w:t>
      </w:r>
    </w:p>
    <w:p>
      <w:pPr>
        <w:ind w:firstLine="480"/>
        <w:rPr>
          <w:rFonts w:hint="eastAsia" w:eastAsia="宋体"/>
          <w:lang w:eastAsia="zh-CN"/>
        </w:rPr>
      </w:pPr>
      <w:r>
        <w:rPr>
          <w:rFonts w:hint="eastAsia"/>
          <w:lang w:eastAsia="zh-CN"/>
        </w:rPr>
        <w:t>（</w:t>
      </w:r>
      <w:r>
        <w:rPr>
          <w:rFonts w:hint="eastAsia"/>
          <w:lang w:val="en-US" w:eastAsia="zh-CN"/>
        </w:rPr>
        <w:t>三</w:t>
      </w:r>
      <w:r>
        <w:rPr>
          <w:rFonts w:hint="eastAsia"/>
          <w:lang w:eastAsia="zh-CN"/>
        </w:rPr>
        <w:t>）</w:t>
      </w:r>
      <w:r>
        <w:rPr>
          <w:rFonts w:hint="eastAsia"/>
        </w:rPr>
        <w:t>质量问题涉及到技术部和质检部的，相关部门要随时提供技术参数和资料，以便现场服务人员能够准确、快速地解决问题。</w:t>
      </w:r>
    </w:p>
    <w:p>
      <w:pPr>
        <w:ind w:firstLine="480"/>
      </w:pPr>
      <w:r>
        <w:rPr>
          <w:rFonts w:hint="eastAsia"/>
          <w:lang w:eastAsia="zh-CN"/>
        </w:rPr>
        <w:t>（</w:t>
      </w:r>
      <w:r>
        <w:rPr>
          <w:rFonts w:hint="eastAsia"/>
          <w:lang w:val="en-US" w:eastAsia="zh-CN"/>
        </w:rPr>
        <w:t>四</w:t>
      </w:r>
      <w:r>
        <w:rPr>
          <w:rFonts w:hint="eastAsia"/>
          <w:lang w:eastAsia="zh-CN"/>
        </w:rPr>
        <w:t>）</w:t>
      </w:r>
      <w:r>
        <w:rPr>
          <w:rFonts w:hint="eastAsia"/>
        </w:rPr>
        <w:t>在服务过程中，要征求客户意见，制定客户满意的服务方案。免费提供技术、人员和工具处置质量问题，并给予客户以技术指导，技术指导不明白不准离开现场，待用户满意后，方可离开现场。</w:t>
      </w:r>
    </w:p>
    <w:p>
      <w:pPr>
        <w:pStyle w:val="5"/>
        <w:bidi w:val="0"/>
      </w:pPr>
      <w:bookmarkStart w:id="708" w:name="_Ref118207145"/>
      <w:bookmarkStart w:id="709" w:name="_Toc105600355"/>
      <w:bookmarkStart w:id="710" w:name="_Toc116924326"/>
      <w:bookmarkStart w:id="711" w:name="_Ref118207152"/>
      <w:bookmarkStart w:id="712" w:name="_Ref118207143"/>
      <w:bookmarkStart w:id="713" w:name="_Toc118233249"/>
      <w:bookmarkStart w:id="714" w:name="_Toc118293322"/>
      <w:bookmarkStart w:id="715" w:name="_Toc14567"/>
      <w:r>
        <w:rPr>
          <w:rFonts w:hint="eastAsia"/>
          <w:lang w:val="en-US" w:eastAsia="zh-CN"/>
        </w:rPr>
        <w:t>二、</w:t>
      </w:r>
      <w:r>
        <w:rPr>
          <w:rFonts w:hint="eastAsia"/>
        </w:rPr>
        <w:t>产品问题的应急预案</w:t>
      </w:r>
      <w:bookmarkEnd w:id="708"/>
      <w:bookmarkEnd w:id="709"/>
      <w:bookmarkEnd w:id="710"/>
      <w:bookmarkEnd w:id="711"/>
      <w:bookmarkEnd w:id="712"/>
      <w:bookmarkEnd w:id="713"/>
      <w:bookmarkEnd w:id="714"/>
      <w:bookmarkEnd w:id="715"/>
    </w:p>
    <w:p>
      <w:pPr>
        <w:pStyle w:val="6"/>
        <w:bidi w:val="0"/>
      </w:pPr>
      <w:bookmarkStart w:id="716" w:name="_Toc5916"/>
      <w:r>
        <w:rPr>
          <w:rFonts w:hint="eastAsia"/>
        </w:rPr>
        <w:t>（</w:t>
      </w:r>
      <w:r>
        <w:rPr>
          <w:rFonts w:hint="eastAsia"/>
          <w:lang w:val="en-US" w:eastAsia="zh-CN"/>
        </w:rPr>
        <w:t>一</w:t>
      </w:r>
      <w:r>
        <w:rPr>
          <w:rFonts w:hint="eastAsia"/>
        </w:rPr>
        <w:t>）对生产的有机肥库存的管控</w:t>
      </w:r>
      <w:bookmarkEnd w:id="716"/>
    </w:p>
    <w:p>
      <w:pPr>
        <w:ind w:firstLine="480"/>
      </w:pPr>
      <w:r>
        <w:rPr>
          <w:rFonts w:hint="eastAsia"/>
        </w:rPr>
        <w:t>检验人员负责定期对生产的库存有机肥成品进行抽检，形成书面资料并签名留档；仓库管理人员负责对库存成品的保管，定期盘点，严格按照公司《仓库管理制度》的要求对库存成品进行合理摆放，最大限度的减少其物理特性的变化。</w:t>
      </w:r>
    </w:p>
    <w:p>
      <w:pPr>
        <w:pStyle w:val="6"/>
        <w:bidi w:val="0"/>
      </w:pPr>
      <w:bookmarkStart w:id="717" w:name="_Toc14802"/>
      <w:r>
        <w:rPr>
          <w:rFonts w:hint="eastAsia"/>
        </w:rPr>
        <w:t>（</w:t>
      </w:r>
      <w:r>
        <w:rPr>
          <w:rFonts w:hint="eastAsia"/>
          <w:lang w:val="en-US" w:eastAsia="zh-CN"/>
        </w:rPr>
        <w:t>二</w:t>
      </w:r>
      <w:r>
        <w:rPr>
          <w:rFonts w:hint="eastAsia"/>
        </w:rPr>
        <w:t>）对物流出货的管控</w:t>
      </w:r>
      <w:bookmarkEnd w:id="717"/>
    </w:p>
    <w:p>
      <w:pPr>
        <w:ind w:firstLine="480"/>
      </w:pPr>
      <w:r>
        <w:rPr>
          <w:rFonts w:hint="eastAsia"/>
        </w:rPr>
        <w:t>销售部负责销售过程中出现的产品质量事件的监测和汇报。物流仓储人员负责成品储存和流通过程中产品质量事件的监测和汇报；</w:t>
      </w:r>
    </w:p>
    <w:p>
      <w:pPr>
        <w:pStyle w:val="6"/>
        <w:bidi w:val="0"/>
      </w:pPr>
      <w:bookmarkStart w:id="718" w:name="_Toc11681"/>
      <w:r>
        <w:rPr>
          <w:rFonts w:hint="eastAsia"/>
        </w:rPr>
        <w:t>（</w:t>
      </w:r>
      <w:r>
        <w:rPr>
          <w:rFonts w:hint="eastAsia"/>
          <w:lang w:val="en-US" w:eastAsia="zh-CN"/>
        </w:rPr>
        <w:t>三</w:t>
      </w:r>
      <w:r>
        <w:rPr>
          <w:rFonts w:hint="eastAsia"/>
        </w:rPr>
        <w:t>）事后管理</w:t>
      </w:r>
      <w:bookmarkEnd w:id="718"/>
    </w:p>
    <w:p>
      <w:pPr>
        <w:ind w:firstLine="480"/>
      </w:pPr>
      <w:r>
        <w:rPr>
          <w:rFonts w:hint="eastAsia"/>
        </w:rPr>
        <w:t>建议建立客户回访制度，具体由销售部负责定期对购货方进行电话回访，详细询问公司产品在使用过程中是否存在缺陷，对存在的缺陷记录并分析，逐步追溯，发现具体原因后，不管对公司是否造成经济损失，均应对具体责任人进行相应处罚。</w:t>
      </w:r>
    </w:p>
    <w:p>
      <w:pPr>
        <w:pStyle w:val="6"/>
        <w:bidi w:val="0"/>
      </w:pPr>
      <w:bookmarkStart w:id="719" w:name="_Toc17035"/>
      <w:r>
        <w:rPr>
          <w:rFonts w:hint="eastAsia"/>
        </w:rPr>
        <w:t>（</w:t>
      </w:r>
      <w:r>
        <w:rPr>
          <w:rFonts w:hint="eastAsia"/>
          <w:lang w:val="en-US" w:eastAsia="zh-CN"/>
        </w:rPr>
        <w:t>四</w:t>
      </w:r>
      <w:r>
        <w:rPr>
          <w:rFonts w:hint="eastAsia"/>
        </w:rPr>
        <w:t>）建立预警系统</w:t>
      </w:r>
      <w:bookmarkEnd w:id="719"/>
    </w:p>
    <w:p>
      <w:pPr>
        <w:ind w:firstLine="480"/>
      </w:pPr>
      <w:r>
        <w:rPr>
          <w:rFonts w:hint="eastAsia"/>
        </w:rPr>
        <w:t>综合服务部、生产部、销售部应该按照各自的职责要求，加强对质量事件的监测和分析，提高质量意识和隐患意识，及时分析产品的危害程度、可能的发展趋势，及时作出预警，并保障系统的有效运行。</w:t>
      </w:r>
    </w:p>
    <w:p>
      <w:pPr>
        <w:pStyle w:val="6"/>
        <w:bidi w:val="0"/>
      </w:pPr>
      <w:bookmarkStart w:id="720" w:name="_Toc26170"/>
      <w:r>
        <w:rPr>
          <w:rFonts w:hint="eastAsia"/>
        </w:rPr>
        <w:t>（</w:t>
      </w:r>
      <w:r>
        <w:rPr>
          <w:rFonts w:hint="eastAsia"/>
          <w:lang w:val="en-US" w:eastAsia="zh-CN"/>
        </w:rPr>
        <w:t>五</w:t>
      </w:r>
      <w:r>
        <w:rPr>
          <w:rFonts w:hint="eastAsia"/>
        </w:rPr>
        <w:t>）一般质量事件的应急响应</w:t>
      </w:r>
      <w:bookmarkEnd w:id="720"/>
    </w:p>
    <w:p>
      <w:pPr>
        <w:ind w:firstLine="480"/>
      </w:pPr>
      <w:r>
        <w:rPr>
          <w:rFonts w:hint="eastAsia"/>
        </w:rPr>
        <w:t>品质检验人员负责及时将问题的情况通报生产部；生产部对问题的原因进行分析，并制定相应的改进预防措施，并具体执行；品质检验人员根据情况对整改效果进行验证。</w:t>
      </w:r>
    </w:p>
    <w:p>
      <w:pPr>
        <w:pStyle w:val="6"/>
        <w:bidi w:val="0"/>
      </w:pPr>
      <w:bookmarkStart w:id="721" w:name="_Toc31126"/>
      <w:r>
        <w:rPr>
          <w:rFonts w:hint="eastAsia"/>
        </w:rPr>
        <w:t>（</w:t>
      </w:r>
      <w:r>
        <w:rPr>
          <w:rFonts w:hint="eastAsia"/>
          <w:lang w:val="en-US" w:eastAsia="zh-CN"/>
        </w:rPr>
        <w:t>六</w:t>
      </w:r>
      <w:r>
        <w:rPr>
          <w:rFonts w:hint="eastAsia"/>
        </w:rPr>
        <w:t>）较大质量事件的应急响应</w:t>
      </w:r>
      <w:bookmarkEnd w:id="721"/>
    </w:p>
    <w:p>
      <w:pPr>
        <w:ind w:firstLine="480"/>
      </w:pPr>
      <w:r>
        <w:rPr>
          <w:rFonts w:hint="eastAsia"/>
        </w:rPr>
        <w:t>较大质量事件发生后，对口部门负责迅速控制所有问题产品或可能存在问题的产品，防止其继续流通或销售；品质检验人员组织相关部门对原因进行分析，一定要找出产生质量问题的根本原因，制定出相应的处理措施。品质检验人员负责对措施的执行效果进行验证。</w:t>
      </w:r>
    </w:p>
    <w:p>
      <w:pPr>
        <w:pStyle w:val="6"/>
        <w:bidi w:val="0"/>
      </w:pPr>
      <w:bookmarkStart w:id="722" w:name="_Toc4923"/>
      <w:r>
        <w:rPr>
          <w:rFonts w:hint="eastAsia"/>
        </w:rPr>
        <w:t>（</w:t>
      </w:r>
      <w:r>
        <w:rPr>
          <w:rFonts w:hint="eastAsia"/>
          <w:lang w:val="en-US" w:eastAsia="zh-CN"/>
        </w:rPr>
        <w:t>七</w:t>
      </w:r>
      <w:r>
        <w:rPr>
          <w:rFonts w:hint="eastAsia"/>
        </w:rPr>
        <w:t>）潜在质量事件的应急响应</w:t>
      </w:r>
      <w:bookmarkEnd w:id="722"/>
    </w:p>
    <w:p>
      <w:pPr>
        <w:ind w:firstLine="480"/>
      </w:pPr>
      <w:r>
        <w:rPr>
          <w:rFonts w:hint="eastAsia"/>
        </w:rPr>
        <w:t>本着预防为主的原则，对于潜在的质量事件必须高度重视，潜在质量事件一旦发生，发现人员必须及时通知品质检验人员，由品质检验人员协助组织相关人员对潜在质量事件的影响和危害程度进行评估；根据危害评估的结果，制定相应的补救措施，避免质量事故的发生，降低损失。品质检验人员负责对预防措施的效果进行验证，必要的情况下，产品需要定点进行销售，一旦出现问题，便于及时有效的控制扩散。</w:t>
      </w:r>
    </w:p>
    <w:p>
      <w:pPr>
        <w:pStyle w:val="6"/>
        <w:bidi w:val="0"/>
      </w:pPr>
      <w:bookmarkStart w:id="723" w:name="_Toc7755"/>
      <w:r>
        <w:rPr>
          <w:rFonts w:hint="eastAsia"/>
        </w:rPr>
        <w:t>（</w:t>
      </w:r>
      <w:r>
        <w:rPr>
          <w:rFonts w:hint="eastAsia"/>
          <w:lang w:val="en-US" w:eastAsia="zh-CN"/>
        </w:rPr>
        <w:t>八</w:t>
      </w:r>
      <w:r>
        <w:rPr>
          <w:rFonts w:hint="eastAsia"/>
        </w:rPr>
        <w:t>）紧急处置</w:t>
      </w:r>
      <w:bookmarkEnd w:id="723"/>
    </w:p>
    <w:p>
      <w:pPr>
        <w:ind w:firstLine="480"/>
      </w:pPr>
      <w:r>
        <w:rPr>
          <w:rFonts w:hint="eastAsia"/>
        </w:rPr>
        <w:t>产品处置由问题产品所在部门负责，问题出现后，迅速对产品进行隔离，并正确标识，产品的最终处理措施下达之前，任何人不得对产品进行随意处治。事态出现急剧恶化的情况时，或者潜在的质量事件向重大甚至恶性事件转化时，责任部门必须及时通报相关情况，并组织相关人员，修改紧急处置措施。</w:t>
      </w:r>
    </w:p>
    <w:p>
      <w:pPr>
        <w:pStyle w:val="5"/>
        <w:bidi w:val="0"/>
      </w:pPr>
      <w:bookmarkStart w:id="724" w:name="_Ref118207165"/>
      <w:bookmarkStart w:id="725" w:name="_Toc105600356"/>
      <w:bookmarkStart w:id="726" w:name="_Toc15246"/>
      <w:bookmarkStart w:id="727" w:name="_Ref118207156"/>
      <w:bookmarkStart w:id="728" w:name="_Ref118207159"/>
      <w:bookmarkStart w:id="729" w:name="_Toc118293323"/>
      <w:bookmarkStart w:id="730" w:name="_Toc118233250"/>
      <w:bookmarkStart w:id="731" w:name="_Toc116924327"/>
      <w:r>
        <w:rPr>
          <w:rFonts w:hint="eastAsia"/>
          <w:lang w:val="en-US" w:eastAsia="zh-CN"/>
        </w:rPr>
        <w:t>三、</w:t>
      </w:r>
      <w:r>
        <w:rPr>
          <w:rFonts w:hint="eastAsia"/>
        </w:rPr>
        <w:t>产品安全事故救助体系和运行机制</w:t>
      </w:r>
      <w:bookmarkEnd w:id="724"/>
      <w:bookmarkEnd w:id="725"/>
      <w:bookmarkEnd w:id="726"/>
      <w:bookmarkEnd w:id="727"/>
      <w:bookmarkEnd w:id="728"/>
      <w:bookmarkEnd w:id="729"/>
      <w:bookmarkEnd w:id="730"/>
      <w:bookmarkEnd w:id="731"/>
    </w:p>
    <w:p>
      <w:pPr>
        <w:pStyle w:val="6"/>
        <w:bidi w:val="0"/>
      </w:pPr>
      <w:bookmarkStart w:id="732" w:name="_Toc5404"/>
      <w:r>
        <w:rPr>
          <w:rFonts w:hint="eastAsia"/>
          <w:lang w:eastAsia="zh-CN"/>
        </w:rPr>
        <w:t>（</w:t>
      </w:r>
      <w:r>
        <w:rPr>
          <w:rFonts w:hint="eastAsia"/>
          <w:lang w:val="en-US" w:eastAsia="zh-CN"/>
        </w:rPr>
        <w:t>一</w:t>
      </w:r>
      <w:r>
        <w:rPr>
          <w:rFonts w:hint="eastAsia"/>
          <w:lang w:eastAsia="zh-CN"/>
        </w:rPr>
        <w:t>）</w:t>
      </w:r>
      <w:r>
        <w:rPr>
          <w:rFonts w:hint="eastAsia"/>
        </w:rPr>
        <w:t>目的</w:t>
      </w:r>
      <w:bookmarkEnd w:id="732"/>
    </w:p>
    <w:p>
      <w:pPr>
        <w:ind w:firstLine="480"/>
      </w:pPr>
      <w:r>
        <w:rPr>
          <w:rFonts w:hint="eastAsia"/>
        </w:rPr>
        <w:t>建立健全应对突发产品重大质量问题的补救体系和运行机制，规范和指导应急处理工作，有效预防、积极应对、及时控制产品质量事故，高效组织应急补救工作，最大限度地减少产品安全质量问题事件的危害，保障消费者的权益，降低公司损失，树立公司品牌形象。</w:t>
      </w:r>
    </w:p>
    <w:p>
      <w:pPr>
        <w:pStyle w:val="6"/>
        <w:bidi w:val="0"/>
      </w:pPr>
      <w:bookmarkStart w:id="733" w:name="_Toc28256"/>
      <w:r>
        <w:rPr>
          <w:rFonts w:hint="eastAsia"/>
          <w:lang w:eastAsia="zh-CN"/>
        </w:rPr>
        <w:t>（</w:t>
      </w:r>
      <w:r>
        <w:rPr>
          <w:rFonts w:hint="eastAsia"/>
          <w:lang w:val="en-US" w:eastAsia="zh-CN"/>
        </w:rPr>
        <w:t>二</w:t>
      </w:r>
      <w:r>
        <w:rPr>
          <w:rFonts w:hint="eastAsia"/>
          <w:lang w:eastAsia="zh-CN"/>
        </w:rPr>
        <w:t>）</w:t>
      </w:r>
      <w:r>
        <w:rPr>
          <w:rFonts w:hint="eastAsia"/>
        </w:rPr>
        <w:t>适用范围</w:t>
      </w:r>
      <w:bookmarkEnd w:id="733"/>
    </w:p>
    <w:p>
      <w:pPr>
        <w:ind w:firstLine="480"/>
      </w:pPr>
      <w:r>
        <w:rPr>
          <w:rFonts w:hint="eastAsia"/>
        </w:rPr>
        <w:t>公司产品的生产加工、包装、储存、运输、流通和消费等环节发生意外，导致对产品的质量造成影响或者可能对产品质量构成潜在的重大危害，并造成或可能造成重大影响的产品质量事故适用于本预案。</w:t>
      </w:r>
    </w:p>
    <w:p>
      <w:pPr>
        <w:pStyle w:val="6"/>
        <w:bidi w:val="0"/>
      </w:pPr>
      <w:bookmarkStart w:id="734" w:name="_Toc759"/>
      <w:r>
        <w:rPr>
          <w:rFonts w:hint="eastAsia"/>
          <w:lang w:eastAsia="zh-CN"/>
        </w:rPr>
        <w:t>（</w:t>
      </w:r>
      <w:r>
        <w:rPr>
          <w:rFonts w:hint="eastAsia"/>
          <w:lang w:val="en-US" w:eastAsia="zh-CN"/>
        </w:rPr>
        <w:t>三</w:t>
      </w:r>
      <w:r>
        <w:rPr>
          <w:rFonts w:hint="eastAsia"/>
          <w:lang w:eastAsia="zh-CN"/>
        </w:rPr>
        <w:t>）</w:t>
      </w:r>
      <w:r>
        <w:rPr>
          <w:rFonts w:hint="eastAsia"/>
        </w:rPr>
        <w:t>职责</w:t>
      </w:r>
      <w:bookmarkEnd w:id="734"/>
    </w:p>
    <w:p>
      <w:pPr>
        <w:ind w:firstLine="480"/>
      </w:pPr>
      <w:r>
        <w:rPr>
          <w:rFonts w:hint="eastAsia"/>
        </w:rPr>
        <w:t>综合服务部负责应急预案的编制，并负责应急措施的组织实施；</w:t>
      </w:r>
    </w:p>
    <w:p>
      <w:pPr>
        <w:ind w:firstLine="480"/>
      </w:pPr>
      <w:r>
        <w:rPr>
          <w:rFonts w:hint="eastAsia"/>
        </w:rPr>
        <w:t>综合服务部、生产部、销售部负责应急措施的具体执行和实施。</w:t>
      </w:r>
    </w:p>
    <w:p>
      <w:pPr>
        <w:ind w:firstLine="562" w:firstLineChars="200"/>
        <w:rPr>
          <w:b/>
          <w:bCs/>
        </w:rPr>
      </w:pPr>
      <w:r>
        <w:rPr>
          <w:rFonts w:hint="eastAsia"/>
          <w:b/>
          <w:bCs/>
          <w:lang w:eastAsia="zh-CN"/>
        </w:rPr>
        <w:t>（</w:t>
      </w:r>
      <w:r>
        <w:rPr>
          <w:rFonts w:hint="eastAsia"/>
          <w:b/>
          <w:bCs/>
          <w:lang w:val="en-US" w:eastAsia="zh-CN"/>
        </w:rPr>
        <w:t>一</w:t>
      </w:r>
      <w:r>
        <w:rPr>
          <w:rFonts w:hint="eastAsia"/>
          <w:b/>
          <w:bCs/>
          <w:lang w:eastAsia="zh-CN"/>
        </w:rPr>
        <w:t>）</w:t>
      </w:r>
      <w:r>
        <w:rPr>
          <w:rFonts w:hint="eastAsia"/>
          <w:b/>
          <w:bCs/>
        </w:rPr>
        <w:t>应急组织机构</w:t>
      </w:r>
    </w:p>
    <w:p>
      <w:pPr>
        <w:pStyle w:val="52"/>
      </w:pPr>
      <w:r>
        <w:rPr>
          <w:rFonts w:hint="eastAsia"/>
        </w:rPr>
        <w:drawing>
          <wp:inline distT="0" distB="0" distL="0" distR="0">
            <wp:extent cx="5278120" cy="2635885"/>
            <wp:effectExtent l="57150" t="0" r="17780" b="0"/>
            <wp:docPr id="6004" name="图示 60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pPr>
        <w:ind w:firstLine="562" w:firstLineChars="200"/>
        <w:rPr>
          <w:rFonts w:hint="eastAsia"/>
          <w:b/>
          <w:bCs/>
          <w:lang w:eastAsia="zh-CN"/>
        </w:rPr>
      </w:pPr>
      <w:r>
        <w:rPr>
          <w:rFonts w:hint="eastAsia"/>
          <w:b/>
          <w:bCs/>
          <w:lang w:eastAsia="zh-CN"/>
        </w:rPr>
        <w:t>（</w:t>
      </w:r>
      <w:r>
        <w:rPr>
          <w:rFonts w:hint="eastAsia"/>
          <w:b/>
          <w:bCs/>
          <w:lang w:val="en-US" w:eastAsia="zh-CN"/>
        </w:rPr>
        <w:t>二</w:t>
      </w:r>
      <w:r>
        <w:rPr>
          <w:rFonts w:hint="eastAsia"/>
          <w:b/>
          <w:bCs/>
          <w:lang w:eastAsia="zh-CN"/>
        </w:rPr>
        <w:t>）设置管理机构</w:t>
      </w:r>
    </w:p>
    <w:p>
      <w:pPr>
        <w:ind w:firstLine="480"/>
      </w:pPr>
      <w:r>
        <w:rPr>
          <w:rFonts w:hint="eastAsia"/>
        </w:rPr>
        <w:t>建立质量管理机构（质量领导小组），机构成员由各部门负责人及主要技术人员组成，机构负责人由综合服务部部长担任。</w:t>
      </w:r>
    </w:p>
    <w:p>
      <w:pPr>
        <w:ind w:firstLine="480"/>
      </w:pPr>
      <w:r>
        <w:rPr>
          <w:rFonts w:hint="eastAsia"/>
        </w:rPr>
        <w:t>制定严格的产品质量体系，该体系主要包含各种合格管材的所有物理特性及参数（若有国家标准可直接引用）。</w:t>
      </w:r>
    </w:p>
    <w:p>
      <w:pPr>
        <w:ind w:firstLine="480"/>
      </w:pPr>
      <w:r>
        <w:rPr>
          <w:rFonts w:hint="eastAsia"/>
        </w:rPr>
        <w:t>定期组织调研学习，学习行业优秀企业管理经验和先进工艺技术，灌输产品质量理念。</w:t>
      </w:r>
    </w:p>
    <w:p>
      <w:pPr>
        <w:ind w:firstLine="562" w:firstLineChars="200"/>
        <w:rPr>
          <w:rFonts w:hint="eastAsia"/>
          <w:b/>
          <w:bCs/>
          <w:lang w:eastAsia="zh-CN"/>
        </w:rPr>
      </w:pPr>
      <w:r>
        <w:rPr>
          <w:rFonts w:hint="eastAsia"/>
          <w:b/>
          <w:bCs/>
          <w:lang w:eastAsia="zh-CN"/>
        </w:rPr>
        <w:t>（</w:t>
      </w:r>
      <w:r>
        <w:rPr>
          <w:rFonts w:hint="eastAsia"/>
          <w:b/>
          <w:bCs/>
          <w:lang w:val="en-US" w:eastAsia="zh-CN"/>
        </w:rPr>
        <w:t>三</w:t>
      </w:r>
      <w:r>
        <w:rPr>
          <w:rFonts w:hint="eastAsia"/>
          <w:b/>
          <w:bCs/>
          <w:lang w:eastAsia="zh-CN"/>
        </w:rPr>
        <w:t>）建立质量管理体系</w:t>
      </w:r>
    </w:p>
    <w:p>
      <w:pPr>
        <w:pStyle w:val="55"/>
        <w:numPr>
          <w:ilvl w:val="0"/>
          <w:numId w:val="0"/>
        </w:numPr>
        <w:ind w:left="0" w:firstLine="482"/>
        <w:rPr>
          <w:b/>
          <w:bCs/>
        </w:rPr>
      </w:pPr>
      <w:r>
        <w:rPr>
          <w:rFonts w:hint="eastAsia"/>
          <w:b/>
          <w:bCs/>
          <w:lang w:val="en-US" w:eastAsia="zh-CN"/>
        </w:rPr>
        <w:t>1、</w:t>
      </w:r>
      <w:r>
        <w:rPr>
          <w:rFonts w:hint="eastAsia"/>
          <w:b/>
          <w:bCs/>
        </w:rPr>
        <w:t>对原材料的质量管控</w:t>
      </w:r>
    </w:p>
    <w:p>
      <w:pPr>
        <w:ind w:firstLine="480"/>
        <w:rPr>
          <w:rFonts w:hint="eastAsia" w:eastAsia="宋体"/>
          <w:lang w:eastAsia="zh-CN"/>
        </w:rPr>
      </w:pPr>
      <w:r>
        <w:rPr>
          <w:rFonts w:hint="eastAsia"/>
        </w:rPr>
        <w:t>品质检验人员、制造部工艺人员以及其他技术人员负责对采购的原材料进行质量监测，对入库的每一批次原材料均进行严格的质量检查，形成书面资料（验收合格单）并签名留档；对库存原材料定期进行抽检，避免因库存时间较长造成物理或化学性质的变化，形成书面资料并签名留档。</w:t>
      </w:r>
    </w:p>
    <w:p>
      <w:pPr>
        <w:ind w:firstLine="480"/>
        <w:rPr>
          <w:rFonts w:hint="eastAsia" w:eastAsia="宋体"/>
          <w:lang w:eastAsia="zh-CN"/>
        </w:rPr>
      </w:pPr>
      <w:r>
        <w:rPr>
          <w:rFonts w:hint="eastAsia"/>
        </w:rPr>
        <w:t>在采购合同中拟定，若由供应商提供的材料存在瑕疵或供货时间较长致使压缩生产周期所导致的产品质量问题，由供应商赔偿全部经济损失（具体金额可商定）。</w:t>
      </w:r>
    </w:p>
    <w:p>
      <w:pPr>
        <w:ind w:firstLine="480"/>
        <w:rPr>
          <w:rFonts w:hint="eastAsia" w:eastAsia="宋体"/>
          <w:lang w:eastAsia="zh-CN"/>
        </w:rPr>
      </w:pPr>
      <w:r>
        <w:rPr>
          <w:rFonts w:hint="eastAsia"/>
        </w:rPr>
        <w:t>建立供应商信用管理体系，定期对供应商进行信用评级</w:t>
      </w:r>
    </w:p>
    <w:p>
      <w:pPr>
        <w:pStyle w:val="55"/>
        <w:numPr>
          <w:ilvl w:val="0"/>
          <w:numId w:val="0"/>
        </w:numPr>
        <w:ind w:left="0" w:firstLine="482"/>
        <w:rPr>
          <w:rFonts w:hint="eastAsia" w:eastAsia="宋体"/>
          <w:b/>
          <w:bCs/>
          <w:lang w:eastAsia="zh-CN"/>
        </w:rPr>
      </w:pPr>
      <w:r>
        <w:rPr>
          <w:rFonts w:hint="eastAsia"/>
          <w:b/>
          <w:bCs/>
          <w:lang w:val="en-US" w:eastAsia="zh-CN"/>
        </w:rPr>
        <w:t>2、</w:t>
      </w:r>
      <w:r>
        <w:rPr>
          <w:rFonts w:hint="eastAsia"/>
          <w:b/>
          <w:bCs/>
        </w:rPr>
        <w:t>对生产过程的管控</w:t>
      </w:r>
    </w:p>
    <w:p>
      <w:pPr>
        <w:ind w:firstLine="480"/>
        <w:rPr>
          <w:rFonts w:hint="eastAsia" w:eastAsia="宋体"/>
          <w:lang w:eastAsia="zh-CN"/>
        </w:rPr>
      </w:pPr>
      <w:r>
        <w:rPr>
          <w:rFonts w:hint="eastAsia"/>
        </w:rPr>
        <w:t>工艺人员严格按照生产工序流程进行操作，并设定时间间隔（如</w:t>
      </w:r>
      <w:r>
        <w:t>1</w:t>
      </w:r>
      <w:r>
        <w:rPr>
          <w:rFonts w:hint="eastAsia"/>
        </w:rPr>
        <w:t>小时）定期对设备运行或工艺工序进行检查，形成书面资料并签名留档；形成巡检制度并上墙。</w:t>
      </w:r>
    </w:p>
    <w:p>
      <w:pPr>
        <w:pStyle w:val="55"/>
        <w:numPr>
          <w:ilvl w:val="0"/>
          <w:numId w:val="0"/>
        </w:numPr>
        <w:ind w:left="0" w:firstLine="482"/>
        <w:rPr>
          <w:rFonts w:hint="eastAsia" w:eastAsia="宋体"/>
          <w:b/>
          <w:bCs/>
          <w:lang w:eastAsia="zh-CN"/>
        </w:rPr>
      </w:pPr>
      <w:r>
        <w:rPr>
          <w:rFonts w:hint="eastAsia"/>
          <w:b/>
          <w:bCs/>
          <w:lang w:val="en-US" w:eastAsia="zh-CN"/>
        </w:rPr>
        <w:t>3、</w:t>
      </w:r>
      <w:r>
        <w:rPr>
          <w:rFonts w:hint="eastAsia"/>
          <w:b/>
          <w:bCs/>
        </w:rPr>
        <w:t>对成品的管控</w:t>
      </w:r>
    </w:p>
    <w:p>
      <w:pPr>
        <w:ind w:firstLine="480"/>
      </w:pPr>
      <w:r>
        <w:rPr>
          <w:rFonts w:hint="eastAsia"/>
        </w:rPr>
        <w:t>品质检验人员、制造部工艺人员以及其他技术人员负责对成品进行终检，形成书面资料并签名留档，对不合格的成品进行质量分析，并上报质量管理委员会，具体责任可由委员会进行划分。</w:t>
      </w:r>
    </w:p>
    <w:p>
      <w:pPr>
        <w:pStyle w:val="55"/>
        <w:numPr>
          <w:ilvl w:val="0"/>
          <w:numId w:val="0"/>
        </w:numPr>
        <w:ind w:left="0" w:firstLine="482"/>
        <w:rPr>
          <w:rFonts w:hint="eastAsia" w:eastAsia="宋体"/>
          <w:b/>
          <w:bCs/>
          <w:lang w:eastAsia="zh-CN"/>
        </w:rPr>
      </w:pPr>
      <w:r>
        <w:rPr>
          <w:rFonts w:hint="eastAsia"/>
          <w:b/>
          <w:bCs/>
          <w:lang w:val="en-US" w:eastAsia="zh-CN"/>
        </w:rPr>
        <w:t>4、</w:t>
      </w:r>
      <w:r>
        <w:rPr>
          <w:rFonts w:hint="eastAsia"/>
          <w:b/>
          <w:bCs/>
        </w:rPr>
        <w:t>对库存的管控</w:t>
      </w:r>
    </w:p>
    <w:p>
      <w:pPr>
        <w:ind w:firstLine="480"/>
      </w:pPr>
      <w:r>
        <w:rPr>
          <w:rFonts w:hint="eastAsia"/>
        </w:rPr>
        <w:t>品质检验人员负责定期对库存成品进行抽检，形成书面资料并签名留档；仓库管理人员负责对库存成品的保管，定期盘点，严格按照公司《仓库管理制度》的要求对库存成品进行合理摆放，最大限度的减少其物理特性的变化。</w:t>
      </w:r>
    </w:p>
    <w:p>
      <w:pPr>
        <w:pStyle w:val="55"/>
        <w:numPr>
          <w:ilvl w:val="0"/>
          <w:numId w:val="0"/>
        </w:numPr>
        <w:ind w:left="0" w:firstLine="482"/>
        <w:rPr>
          <w:b/>
          <w:bCs/>
        </w:rPr>
      </w:pPr>
      <w:r>
        <w:rPr>
          <w:rFonts w:hint="eastAsia"/>
          <w:b/>
          <w:bCs/>
          <w:lang w:val="en-US" w:eastAsia="zh-CN"/>
        </w:rPr>
        <w:t>5、</w:t>
      </w:r>
      <w:r>
        <w:rPr>
          <w:rFonts w:hint="eastAsia"/>
          <w:b/>
          <w:bCs/>
        </w:rPr>
        <w:t>对物流出货的管控</w:t>
      </w:r>
    </w:p>
    <w:p>
      <w:pPr>
        <w:ind w:firstLine="480"/>
      </w:pPr>
      <w:r>
        <w:rPr>
          <w:rFonts w:hint="eastAsia"/>
        </w:rPr>
        <w:t>销售部负责销售过程中出现的产品质量事件的监测和汇报。物流仓储人员负责成品储存和流通过程中产品质量事件的监测和汇报；</w:t>
      </w:r>
    </w:p>
    <w:p>
      <w:pPr>
        <w:pStyle w:val="55"/>
        <w:numPr>
          <w:ilvl w:val="0"/>
          <w:numId w:val="0"/>
        </w:numPr>
        <w:ind w:left="0" w:firstLine="482"/>
        <w:rPr>
          <w:rFonts w:hint="eastAsia" w:eastAsia="宋体"/>
          <w:b/>
          <w:bCs/>
          <w:lang w:eastAsia="zh-CN"/>
        </w:rPr>
      </w:pPr>
      <w:r>
        <w:rPr>
          <w:rFonts w:hint="eastAsia"/>
          <w:b/>
          <w:bCs/>
          <w:lang w:val="en-US" w:eastAsia="zh-CN"/>
        </w:rPr>
        <w:t>6、</w:t>
      </w:r>
      <w:r>
        <w:rPr>
          <w:rFonts w:hint="eastAsia"/>
          <w:b/>
          <w:bCs/>
        </w:rPr>
        <w:t>事后管理</w:t>
      </w:r>
    </w:p>
    <w:p>
      <w:pPr>
        <w:ind w:firstLine="480"/>
        <w:rPr>
          <w:rFonts w:hint="eastAsia" w:eastAsia="宋体"/>
          <w:lang w:eastAsia="zh-CN"/>
        </w:rPr>
      </w:pPr>
      <w:r>
        <w:rPr>
          <w:rFonts w:hint="eastAsia"/>
        </w:rPr>
        <w:t>建议建立客户回访制度，具体由销售部负责定期对购货方进行电话回访，详细询问公司产品在使用过程中是否存在缺陷，对存在的缺陷记录并分析，逐步追溯，发现具体原因后，不管对公司是否造成经济损失，均应对具体责任人进行相应处罚。</w:t>
      </w:r>
    </w:p>
    <w:p>
      <w:pPr>
        <w:ind w:firstLine="562" w:firstLineChars="200"/>
        <w:rPr>
          <w:rFonts w:hint="eastAsia"/>
          <w:b/>
          <w:bCs/>
          <w:lang w:eastAsia="zh-CN"/>
        </w:rPr>
      </w:pPr>
      <w:r>
        <w:rPr>
          <w:rFonts w:hint="eastAsia"/>
          <w:b/>
          <w:bCs/>
          <w:lang w:eastAsia="zh-CN"/>
        </w:rPr>
        <w:t>（</w:t>
      </w:r>
      <w:r>
        <w:rPr>
          <w:rFonts w:hint="eastAsia"/>
          <w:b/>
          <w:bCs/>
          <w:lang w:val="en-US" w:eastAsia="zh-CN"/>
        </w:rPr>
        <w:t>四</w:t>
      </w:r>
      <w:r>
        <w:rPr>
          <w:rFonts w:hint="eastAsia"/>
          <w:b/>
          <w:bCs/>
          <w:lang w:eastAsia="zh-CN"/>
        </w:rPr>
        <w:t>）建立预警系统</w:t>
      </w:r>
    </w:p>
    <w:p>
      <w:pPr>
        <w:ind w:firstLine="480"/>
      </w:pPr>
      <w:r>
        <w:rPr>
          <w:rFonts w:hint="eastAsia"/>
        </w:rPr>
        <w:t>综合服务部、生产部、销售部应该按照各自的职责要求，加强对质量事件的监测和分析，提高质量意识和隐患意识，及时分析产品的危害程度、可能的发展趋势，及时作出预警，并保障系统的有效运行。</w:t>
      </w:r>
    </w:p>
    <w:p>
      <w:pPr>
        <w:ind w:firstLine="562" w:firstLineChars="200"/>
        <w:rPr>
          <w:rFonts w:hint="eastAsia"/>
          <w:b/>
          <w:bCs/>
          <w:lang w:eastAsia="zh-CN"/>
        </w:rPr>
      </w:pPr>
      <w:r>
        <w:rPr>
          <w:rFonts w:hint="eastAsia"/>
          <w:b/>
          <w:bCs/>
          <w:lang w:eastAsia="zh-CN"/>
        </w:rPr>
        <w:t>（</w:t>
      </w:r>
      <w:r>
        <w:rPr>
          <w:rFonts w:hint="eastAsia"/>
          <w:b/>
          <w:bCs/>
          <w:lang w:val="en-US" w:eastAsia="zh-CN"/>
        </w:rPr>
        <w:t>五</w:t>
      </w:r>
      <w:r>
        <w:rPr>
          <w:rFonts w:hint="eastAsia"/>
          <w:b/>
          <w:bCs/>
          <w:lang w:eastAsia="zh-CN"/>
        </w:rPr>
        <w:t>）应急响应</w:t>
      </w:r>
    </w:p>
    <w:p>
      <w:pPr>
        <w:ind w:firstLine="480"/>
      </w:pPr>
      <w:r>
        <w:rPr>
          <w:rFonts w:hint="eastAsia"/>
        </w:rPr>
        <w:t>应急事件处理流程</w:t>
      </w:r>
    </w:p>
    <w:p>
      <w:pPr>
        <w:pStyle w:val="52"/>
      </w:pPr>
      <w:r>
        <w:drawing>
          <wp:inline distT="0" distB="0" distL="0" distR="0">
            <wp:extent cx="5278120" cy="2753360"/>
            <wp:effectExtent l="0" t="0" r="17780" b="8890"/>
            <wp:docPr id="193" name="图片 19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图示&#10;&#10;描述已自动生成"/>
                    <pic:cNvPicPr>
                      <a:picLocks noChangeAspect="1"/>
                    </pic:cNvPicPr>
                  </pic:nvPicPr>
                  <pic:blipFill>
                    <a:blip r:embed="rId53"/>
                    <a:stretch>
                      <a:fillRect/>
                    </a:stretch>
                  </pic:blipFill>
                  <pic:spPr>
                    <a:xfrm>
                      <a:off x="0" y="0"/>
                      <a:ext cx="5278120" cy="2753360"/>
                    </a:xfrm>
                    <a:prstGeom prst="rect">
                      <a:avLst/>
                    </a:prstGeom>
                  </pic:spPr>
                </pic:pic>
              </a:graphicData>
            </a:graphic>
          </wp:inline>
        </w:drawing>
      </w:r>
    </w:p>
    <w:p>
      <w:pPr>
        <w:pStyle w:val="55"/>
        <w:numPr>
          <w:ilvl w:val="0"/>
          <w:numId w:val="0"/>
        </w:numPr>
        <w:ind w:left="0" w:firstLine="482"/>
        <w:rPr>
          <w:rFonts w:hint="eastAsia" w:eastAsia="宋体"/>
          <w:b/>
          <w:bCs/>
          <w:lang w:eastAsia="zh-CN"/>
        </w:rPr>
      </w:pPr>
      <w:r>
        <w:rPr>
          <w:rFonts w:hint="eastAsia"/>
          <w:b/>
          <w:bCs/>
          <w:lang w:val="en-US" w:eastAsia="zh-CN"/>
        </w:rPr>
        <w:t>1、</w:t>
      </w:r>
      <w:r>
        <w:rPr>
          <w:rFonts w:hint="eastAsia"/>
          <w:b/>
          <w:bCs/>
        </w:rPr>
        <w:t>重大质量事件的应急响应</w:t>
      </w:r>
    </w:p>
    <w:p>
      <w:pPr>
        <w:ind w:firstLine="480"/>
      </w:pPr>
      <w:r>
        <w:rPr>
          <w:rFonts w:hint="eastAsia"/>
        </w:rPr>
        <w:t>（</w:t>
      </w:r>
      <w:r>
        <w:t>1</w:t>
      </w:r>
      <w:r>
        <w:rPr>
          <w:rFonts w:hint="eastAsia"/>
        </w:rPr>
        <w:t>）质量领导小组迅速组织相关技术人员对问题的原因进行分析，并根据事件的影响程度制定出相应的应急措施，内容包括产品的处理，消除影响、降低损失等方面的内容。</w:t>
      </w:r>
    </w:p>
    <w:p>
      <w:pPr>
        <w:ind w:firstLine="480"/>
        <w:rPr>
          <w:rFonts w:hint="eastAsia" w:eastAsia="宋体"/>
          <w:lang w:eastAsia="zh-CN"/>
        </w:rPr>
      </w:pPr>
      <w:r>
        <w:rPr>
          <w:rFonts w:hint="eastAsia"/>
        </w:rPr>
        <w:t>（</w:t>
      </w:r>
      <w:r>
        <w:t>2</w:t>
      </w:r>
      <w:r>
        <w:rPr>
          <w:rFonts w:hint="eastAsia"/>
        </w:rPr>
        <w:t>）各部门负责按照应急措施的要求迅速组织相关工作。</w:t>
      </w:r>
    </w:p>
    <w:p>
      <w:pPr>
        <w:ind w:firstLine="480"/>
        <w:rPr>
          <w:rFonts w:hint="eastAsia" w:eastAsia="宋体"/>
          <w:lang w:eastAsia="zh-CN"/>
        </w:rPr>
      </w:pPr>
      <w:r>
        <w:rPr>
          <w:rFonts w:hint="eastAsia"/>
        </w:rPr>
        <w:t>（</w:t>
      </w:r>
      <w:r>
        <w:t>3</w:t>
      </w:r>
      <w:r>
        <w:rPr>
          <w:rFonts w:hint="eastAsia"/>
        </w:rPr>
        <w:t>）品质检验人员负责对应急措施的执行情况进行检查。</w:t>
      </w:r>
    </w:p>
    <w:p>
      <w:pPr>
        <w:pStyle w:val="55"/>
        <w:numPr>
          <w:ilvl w:val="0"/>
          <w:numId w:val="0"/>
        </w:numPr>
        <w:ind w:left="0" w:firstLine="482"/>
        <w:rPr>
          <w:b/>
          <w:bCs/>
        </w:rPr>
      </w:pPr>
      <w:r>
        <w:rPr>
          <w:rFonts w:hint="eastAsia"/>
          <w:b/>
          <w:bCs/>
          <w:lang w:val="en-US" w:eastAsia="zh-CN"/>
        </w:rPr>
        <w:t>2、</w:t>
      </w:r>
      <w:r>
        <w:rPr>
          <w:rFonts w:hint="eastAsia"/>
          <w:b/>
          <w:bCs/>
        </w:rPr>
        <w:t>较大质量事件的应急响应</w:t>
      </w:r>
    </w:p>
    <w:p>
      <w:pPr>
        <w:ind w:firstLine="480"/>
      </w:pPr>
      <w:r>
        <w:rPr>
          <w:rFonts w:hint="eastAsia"/>
        </w:rPr>
        <w:t>（</w:t>
      </w:r>
      <w:r>
        <w:t>1</w:t>
      </w:r>
      <w:r>
        <w:rPr>
          <w:rFonts w:hint="eastAsia"/>
        </w:rPr>
        <w:t>）较大质量事件发生后，对口部门负责迅速控制所有问题产品或可能存在问题的产品，防止其继续流通或销售；</w:t>
      </w:r>
    </w:p>
    <w:p>
      <w:pPr>
        <w:ind w:firstLine="480"/>
      </w:pPr>
      <w:r>
        <w:rPr>
          <w:rFonts w:hint="eastAsia"/>
        </w:rPr>
        <w:t>（</w:t>
      </w:r>
      <w:r>
        <w:t>2</w:t>
      </w:r>
      <w:r>
        <w:rPr>
          <w:rFonts w:hint="eastAsia"/>
        </w:rPr>
        <w:t>）品质检验人员组织相关部门对原因进行分析，一定要找出产生质量问题的根本原因，制定出相应的处理措施。</w:t>
      </w:r>
    </w:p>
    <w:p>
      <w:pPr>
        <w:ind w:firstLine="480"/>
      </w:pPr>
      <w:r>
        <w:rPr>
          <w:rFonts w:hint="eastAsia"/>
        </w:rPr>
        <w:t>（</w:t>
      </w:r>
      <w:r>
        <w:t>3</w:t>
      </w:r>
      <w:r>
        <w:rPr>
          <w:rFonts w:hint="eastAsia"/>
        </w:rPr>
        <w:t>）品质检验人员负责对措施的执行效果进行验证。</w:t>
      </w:r>
    </w:p>
    <w:p>
      <w:pPr>
        <w:pStyle w:val="55"/>
        <w:numPr>
          <w:ilvl w:val="0"/>
          <w:numId w:val="0"/>
        </w:numPr>
        <w:ind w:left="0" w:firstLine="482"/>
        <w:rPr>
          <w:b/>
          <w:bCs/>
        </w:rPr>
      </w:pPr>
      <w:r>
        <w:rPr>
          <w:rFonts w:hint="eastAsia"/>
          <w:b/>
          <w:bCs/>
          <w:lang w:val="en-US" w:eastAsia="zh-CN"/>
        </w:rPr>
        <w:t>3、</w:t>
      </w:r>
      <w:r>
        <w:rPr>
          <w:rFonts w:hint="eastAsia"/>
          <w:b/>
          <w:bCs/>
        </w:rPr>
        <w:t>一般质量事件的应急响应</w:t>
      </w:r>
    </w:p>
    <w:p>
      <w:pPr>
        <w:ind w:firstLine="480"/>
        <w:rPr>
          <w:rFonts w:hint="eastAsia" w:eastAsia="宋体"/>
          <w:lang w:eastAsia="zh-CN"/>
        </w:rPr>
      </w:pPr>
      <w:r>
        <w:rPr>
          <w:rFonts w:hint="eastAsia"/>
        </w:rPr>
        <w:t>（</w:t>
      </w:r>
      <w:r>
        <w:t>1</w:t>
      </w:r>
      <w:r>
        <w:rPr>
          <w:rFonts w:hint="eastAsia"/>
        </w:rPr>
        <w:t>）品质检验人员负责及时将问题的情况通报生产部；</w:t>
      </w:r>
    </w:p>
    <w:p>
      <w:pPr>
        <w:ind w:firstLine="480"/>
        <w:rPr>
          <w:rFonts w:hint="eastAsia" w:eastAsia="宋体"/>
          <w:lang w:eastAsia="zh-CN"/>
        </w:rPr>
      </w:pPr>
      <w:r>
        <w:rPr>
          <w:rFonts w:hint="eastAsia"/>
        </w:rPr>
        <w:t>（</w:t>
      </w:r>
      <w:r>
        <w:t>2</w:t>
      </w:r>
      <w:r>
        <w:rPr>
          <w:rFonts w:hint="eastAsia"/>
        </w:rPr>
        <w:t>）生产部对问题的原因进行分析，并制定相应的改进预防措施，并具体执行；</w:t>
      </w:r>
    </w:p>
    <w:p>
      <w:pPr>
        <w:ind w:firstLine="480"/>
        <w:rPr>
          <w:rFonts w:hint="eastAsia" w:eastAsia="宋体"/>
          <w:lang w:eastAsia="zh-CN"/>
        </w:rPr>
      </w:pPr>
      <w:r>
        <w:rPr>
          <w:rFonts w:hint="eastAsia"/>
        </w:rPr>
        <w:t>（</w:t>
      </w:r>
      <w:r>
        <w:t>3</w:t>
      </w:r>
      <w:r>
        <w:rPr>
          <w:rFonts w:hint="eastAsia"/>
        </w:rPr>
        <w:t>）品质检验人员根据情况对整改效果进行验证。</w:t>
      </w:r>
    </w:p>
    <w:p>
      <w:pPr>
        <w:pStyle w:val="55"/>
        <w:numPr>
          <w:ilvl w:val="0"/>
          <w:numId w:val="0"/>
        </w:numPr>
        <w:ind w:left="0" w:firstLine="482"/>
        <w:rPr>
          <w:rFonts w:hint="eastAsia" w:eastAsia="宋体"/>
          <w:b/>
          <w:bCs/>
          <w:lang w:eastAsia="zh-CN"/>
        </w:rPr>
      </w:pPr>
      <w:r>
        <w:rPr>
          <w:rFonts w:hint="eastAsia"/>
          <w:b/>
          <w:bCs/>
          <w:lang w:val="en-US" w:eastAsia="zh-CN"/>
        </w:rPr>
        <w:t>4、</w:t>
      </w:r>
      <w:r>
        <w:rPr>
          <w:rFonts w:hint="eastAsia"/>
          <w:b/>
          <w:bCs/>
        </w:rPr>
        <w:t>潜在质量事件的应急响应</w:t>
      </w:r>
    </w:p>
    <w:p>
      <w:pPr>
        <w:ind w:firstLine="480"/>
        <w:rPr>
          <w:rFonts w:hint="eastAsia" w:eastAsia="宋体"/>
          <w:lang w:eastAsia="zh-CN"/>
        </w:rPr>
      </w:pPr>
      <w:r>
        <w:rPr>
          <w:rFonts w:hint="eastAsia"/>
        </w:rPr>
        <w:t>（</w:t>
      </w:r>
      <w:r>
        <w:t>1</w:t>
      </w:r>
      <w:r>
        <w:rPr>
          <w:rFonts w:hint="eastAsia"/>
        </w:rPr>
        <w:t>）本着预防为主的原则，对于潜在的质量事件必须高度重视，潜在质量事件一旦发生，发现人员必须及时通知品质检验人员，由品质检验人员协助组织相关人员对潜在质量事件的影响和危害程度进行评估；</w:t>
      </w:r>
    </w:p>
    <w:p>
      <w:pPr>
        <w:ind w:firstLine="480"/>
        <w:rPr>
          <w:rFonts w:hint="eastAsia" w:eastAsia="宋体"/>
          <w:lang w:eastAsia="zh-CN"/>
        </w:rPr>
      </w:pPr>
      <w:r>
        <w:rPr>
          <w:rFonts w:hint="eastAsia"/>
        </w:rPr>
        <w:t>（</w:t>
      </w:r>
      <w:r>
        <w:t>2</w:t>
      </w:r>
      <w:r>
        <w:rPr>
          <w:rFonts w:hint="eastAsia"/>
        </w:rPr>
        <w:t>）根据危害评估的结果，制定相应的补救措施，避免质量事故的发生，降低损失。</w:t>
      </w:r>
    </w:p>
    <w:p>
      <w:pPr>
        <w:ind w:firstLine="480"/>
      </w:pPr>
      <w:r>
        <w:rPr>
          <w:rFonts w:hint="eastAsia"/>
        </w:rPr>
        <w:t>（</w:t>
      </w:r>
      <w:r>
        <w:t>3</w:t>
      </w:r>
      <w:r>
        <w:rPr>
          <w:rFonts w:hint="eastAsia"/>
        </w:rPr>
        <w:t>）品质检验人员负责对预防措施的效果进行验证，必要的情况下，产品需要定点进行销售，一旦出现问题，便于及时有效的控制扩散。</w:t>
      </w:r>
    </w:p>
    <w:p>
      <w:pPr>
        <w:ind w:firstLine="562" w:firstLineChars="200"/>
        <w:rPr>
          <w:rFonts w:hint="eastAsia"/>
          <w:b/>
          <w:bCs/>
          <w:lang w:eastAsia="zh-CN"/>
        </w:rPr>
      </w:pPr>
      <w:r>
        <w:rPr>
          <w:rFonts w:hint="eastAsia"/>
          <w:b/>
          <w:bCs/>
          <w:lang w:eastAsia="zh-CN"/>
        </w:rPr>
        <w:t>（</w:t>
      </w:r>
      <w:r>
        <w:rPr>
          <w:rFonts w:hint="eastAsia"/>
          <w:b/>
          <w:bCs/>
          <w:lang w:val="en-US" w:eastAsia="zh-CN"/>
        </w:rPr>
        <w:t>六</w:t>
      </w:r>
      <w:r>
        <w:rPr>
          <w:rFonts w:hint="eastAsia"/>
          <w:b/>
          <w:bCs/>
          <w:lang w:eastAsia="zh-CN"/>
        </w:rPr>
        <w:t>）应急救援过程的人员、物资保障</w:t>
      </w:r>
    </w:p>
    <w:p>
      <w:pPr>
        <w:ind w:firstLine="480"/>
      </w:pPr>
      <w:r>
        <w:rPr>
          <w:rFonts w:hint="eastAsia"/>
          <w:lang w:val="en-US" w:eastAsia="zh-CN"/>
        </w:rPr>
        <w:t>1、</w:t>
      </w:r>
      <w:r>
        <w:rPr>
          <w:rFonts w:hint="eastAsia"/>
        </w:rPr>
        <w:t>应急领导小组架构示意图</w:t>
      </w:r>
    </w:p>
    <w:p>
      <w:pPr>
        <w:pStyle w:val="52"/>
      </w:pPr>
      <w:r>
        <w:drawing>
          <wp:inline distT="0" distB="0" distL="0" distR="0">
            <wp:extent cx="5276215" cy="3235960"/>
            <wp:effectExtent l="0" t="0" r="635" b="2540"/>
            <wp:docPr id="195" name="图片 19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图示&#10;&#10;描述已自动生成"/>
                    <pic:cNvPicPr>
                      <a:picLocks noChangeAspect="1"/>
                    </pic:cNvPicPr>
                  </pic:nvPicPr>
                  <pic:blipFill>
                    <a:blip r:embed="rId54"/>
                    <a:stretch>
                      <a:fillRect/>
                    </a:stretch>
                  </pic:blipFill>
                  <pic:spPr>
                    <a:xfrm>
                      <a:off x="0" y="0"/>
                      <a:ext cx="5288755" cy="3243924"/>
                    </a:xfrm>
                    <a:prstGeom prst="rect">
                      <a:avLst/>
                    </a:prstGeom>
                  </pic:spPr>
                </pic:pic>
              </a:graphicData>
            </a:graphic>
          </wp:inline>
        </w:drawing>
      </w:r>
    </w:p>
    <w:p>
      <w:pPr>
        <w:ind w:firstLine="480"/>
        <w:rPr>
          <w:rFonts w:hint="eastAsia" w:eastAsia="宋体"/>
          <w:lang w:eastAsia="zh-CN"/>
        </w:rPr>
      </w:pPr>
      <w:r>
        <w:rPr>
          <w:rFonts w:hint="eastAsia"/>
          <w:lang w:val="en-US" w:eastAsia="zh-CN"/>
        </w:rPr>
        <w:t>2、</w:t>
      </w:r>
      <w:r>
        <w:rPr>
          <w:rFonts w:hint="eastAsia"/>
        </w:rPr>
        <w:t>应急通讯。配送部应在仓库等重要部位醒目位置公布报警电话。物流配送中心应急领导小组有关人员24小时开通移动电话，所有配送人员工作期间一律开通移动电话。</w:t>
      </w:r>
    </w:p>
    <w:p>
      <w:pPr>
        <w:ind w:firstLine="480"/>
      </w:pPr>
      <w:r>
        <w:rPr>
          <w:rFonts w:hint="eastAsia"/>
          <w:lang w:val="en-US" w:eastAsia="zh-CN"/>
        </w:rPr>
        <w:t>3、</w:t>
      </w:r>
      <w:r>
        <w:rPr>
          <w:rFonts w:hint="eastAsia"/>
        </w:rPr>
        <w:t>应急物品保障。配送部负责配备安全帽、手套、防身工具等必要的应急救援物品，指定专人保管和维护。</w:t>
      </w:r>
    </w:p>
    <w:tbl>
      <w:tblPr>
        <w:tblStyle w:val="60"/>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2173"/>
        <w:gridCol w:w="3969"/>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4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b w:val="0"/>
                <w:bCs w:val="0"/>
                <w:color w:val="000000"/>
                <w:kern w:val="0"/>
              </w:rPr>
            </w:pPr>
            <w:r>
              <w:rPr>
                <w:rFonts w:hint="eastAsia"/>
                <w:b/>
                <w:bCs/>
                <w:color w:val="000000"/>
                <w:kern w:val="0"/>
              </w:rPr>
              <w:t>序号</w:t>
            </w:r>
          </w:p>
        </w:tc>
        <w:tc>
          <w:tcPr>
            <w:tcW w:w="21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rFonts w:hint="eastAsia" w:eastAsia="宋体"/>
                <w:b w:val="0"/>
                <w:bCs w:val="0"/>
                <w:color w:val="000000"/>
                <w:kern w:val="0"/>
                <w:lang w:eastAsia="zh-CN"/>
              </w:rPr>
            </w:pPr>
            <w:r>
              <w:rPr>
                <w:b/>
                <w:bCs/>
                <w:color w:val="000000"/>
                <w:kern w:val="0"/>
              </w:rPr>
              <w:t>设备</w:t>
            </w:r>
            <w:r>
              <w:rPr>
                <w:rFonts w:hint="eastAsia"/>
                <w:b/>
                <w:bCs/>
                <w:color w:val="000000"/>
                <w:kern w:val="0"/>
              </w:rPr>
              <w:t>、</w:t>
            </w:r>
            <w:r>
              <w:rPr>
                <w:b/>
                <w:bCs/>
                <w:color w:val="000000"/>
                <w:kern w:val="0"/>
              </w:rPr>
              <w:t>设施名称</w:t>
            </w:r>
          </w:p>
        </w:tc>
        <w:tc>
          <w:tcPr>
            <w:tcW w:w="396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rFonts w:hint="eastAsia" w:eastAsia="宋体"/>
                <w:b w:val="0"/>
                <w:bCs w:val="0"/>
                <w:color w:val="000000"/>
                <w:kern w:val="0"/>
                <w:lang w:eastAsia="zh-CN"/>
              </w:rPr>
            </w:pPr>
            <w:r>
              <w:rPr>
                <w:b/>
                <w:bCs/>
                <w:color w:val="000000"/>
                <w:kern w:val="0"/>
              </w:rPr>
              <w:t>图例</w:t>
            </w:r>
          </w:p>
        </w:tc>
        <w:tc>
          <w:tcPr>
            <w:tcW w:w="12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b w:val="0"/>
                <w:bCs w:val="0"/>
                <w:color w:val="000000"/>
                <w:kern w:val="0"/>
              </w:rPr>
            </w:pPr>
            <w:r>
              <w:rPr>
                <w:b/>
                <w:bCs/>
                <w:color w:val="000000"/>
                <w:kern w:val="0"/>
              </w:rPr>
              <w:t>保障项目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5"/>
              <w:numPr>
                <w:ilvl w:val="0"/>
                <w:numId w:val="0"/>
              </w:numPr>
              <w:spacing w:before="0" w:after="0"/>
              <w:ind w:left="0" w:firstLine="420" w:firstLineChars="0"/>
              <w:jc w:val="center"/>
              <w:rPr>
                <w:b w:val="0"/>
                <w:bCs w:val="0"/>
                <w:color w:val="000000"/>
                <w:kern w:val="0"/>
              </w:rPr>
            </w:pPr>
            <w:r>
              <w:rPr>
                <w:rFonts w:hint="eastAsia" w:ascii="Times New Roman" w:hAnsi="Times New Roman" w:eastAsia="宋体" w:cs="Times New Roman"/>
                <w:b w:val="0"/>
                <w:bCs w:val="0"/>
                <w:color w:val="000000"/>
                <w:kern w:val="0"/>
                <w:sz w:val="28"/>
                <w:szCs w:val="20"/>
                <w:lang w:val="en-US" w:eastAsia="zh-CN" w:bidi="ar-SA"/>
              </w:rPr>
              <w:t>1</w:t>
            </w:r>
          </w:p>
        </w:tc>
        <w:tc>
          <w:tcPr>
            <w:tcW w:w="21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r>
              <w:rPr>
                <w:rFonts w:hint="eastAsia"/>
                <w:color w:val="000000"/>
                <w:kern w:val="0"/>
              </w:rPr>
              <w:t>柴油发电机</w:t>
            </w:r>
          </w:p>
        </w:tc>
        <w:tc>
          <w:tcPr>
            <w:tcW w:w="396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r>
              <w:rPr>
                <w:color w:val="000000"/>
                <w:kern w:val="0"/>
              </w:rPr>
              <w:drawing>
                <wp:inline distT="0" distB="0" distL="0" distR="0">
                  <wp:extent cx="1619885" cy="1533525"/>
                  <wp:effectExtent l="0" t="0" r="18415" b="9525"/>
                  <wp:docPr id="196" name="图片 196" descr="图片包含 卡车, 小, 橙子, 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图片包含 卡车, 小, 橙子, 前&#10;&#10;描述已自动生成"/>
                          <pic:cNvPicPr>
                            <a:picLocks noChangeAspect="1"/>
                          </pic:cNvPicPr>
                        </pic:nvPicPr>
                        <pic:blipFill>
                          <a:blip r:embed="rId55"/>
                          <a:stretch>
                            <a:fillRect/>
                          </a:stretch>
                        </pic:blipFill>
                        <pic:spPr>
                          <a:xfrm>
                            <a:off x="0" y="0"/>
                            <a:ext cx="1620000" cy="1533600"/>
                          </a:xfrm>
                          <a:prstGeom prst="rect">
                            <a:avLst/>
                          </a:prstGeom>
                        </pic:spPr>
                      </pic:pic>
                    </a:graphicData>
                  </a:graphic>
                </wp:inline>
              </w:drawing>
            </w:r>
          </w:p>
        </w:tc>
        <w:tc>
          <w:tcPr>
            <w:tcW w:w="12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rFonts w:hint="eastAsia" w:eastAsia="宋体"/>
                <w:color w:val="000000"/>
                <w:kern w:val="0"/>
                <w:lang w:eastAsia="zh-CN"/>
              </w:rPr>
            </w:pPr>
            <w:r>
              <w:rPr>
                <w:rFonts w:hint="eastAsia"/>
                <w:color w:val="000000"/>
                <w:kern w:val="0"/>
              </w:rPr>
              <w:t>应急电源保障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5"/>
              <w:numPr>
                <w:ilvl w:val="0"/>
                <w:numId w:val="0"/>
              </w:numPr>
              <w:spacing w:before="0" w:after="0"/>
              <w:ind w:left="0" w:firstLine="420" w:firstLineChars="0"/>
              <w:jc w:val="center"/>
              <w:rPr>
                <w:b w:val="0"/>
                <w:bCs w:val="0"/>
                <w:color w:val="000000"/>
                <w:kern w:val="0"/>
              </w:rPr>
            </w:pPr>
            <w:r>
              <w:rPr>
                <w:rFonts w:hint="eastAsia" w:ascii="Times New Roman" w:hAnsi="Times New Roman" w:eastAsia="宋体" w:cs="Times New Roman"/>
                <w:b w:val="0"/>
                <w:bCs w:val="0"/>
                <w:color w:val="000000"/>
                <w:kern w:val="0"/>
                <w:sz w:val="28"/>
                <w:szCs w:val="20"/>
                <w:lang w:val="en-US" w:eastAsia="zh-CN" w:bidi="ar-SA"/>
              </w:rPr>
              <w:t>2</w:t>
            </w:r>
          </w:p>
        </w:tc>
        <w:tc>
          <w:tcPr>
            <w:tcW w:w="21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r>
              <w:rPr>
                <w:rFonts w:hint="eastAsia"/>
                <w:color w:val="000000"/>
                <w:kern w:val="0"/>
              </w:rPr>
              <w:t>安全手套</w:t>
            </w:r>
          </w:p>
        </w:tc>
        <w:tc>
          <w:tcPr>
            <w:tcW w:w="396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r>
              <w:rPr>
                <w:color w:val="000000"/>
                <w:kern w:val="0"/>
              </w:rPr>
              <w:drawing>
                <wp:inline distT="0" distB="0" distL="0" distR="0">
                  <wp:extent cx="1619885" cy="1533525"/>
                  <wp:effectExtent l="0" t="0" r="18415" b="9525"/>
                  <wp:docPr id="197" name="图片 197" descr="图片包含 衣服, 服装, 室内, 鞋&#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图片包含 衣服, 服装, 室内, 鞋&#10;&#10;描述已自动生成"/>
                          <pic:cNvPicPr>
                            <a:picLocks noChangeAspect="1"/>
                          </pic:cNvPicPr>
                        </pic:nvPicPr>
                        <pic:blipFill>
                          <a:blip r:embed="rId56"/>
                          <a:stretch>
                            <a:fillRect/>
                          </a:stretch>
                        </pic:blipFill>
                        <pic:spPr>
                          <a:xfrm>
                            <a:off x="0" y="0"/>
                            <a:ext cx="1620000" cy="1533600"/>
                          </a:xfrm>
                          <a:prstGeom prst="rect">
                            <a:avLst/>
                          </a:prstGeom>
                        </pic:spPr>
                      </pic:pic>
                    </a:graphicData>
                  </a:graphic>
                </wp:inline>
              </w:drawing>
            </w:r>
          </w:p>
        </w:tc>
        <w:tc>
          <w:tcPr>
            <w:tcW w:w="12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rFonts w:hint="eastAsia" w:eastAsia="宋体"/>
                <w:color w:val="000000"/>
                <w:kern w:val="0"/>
                <w:lang w:eastAsia="zh-CN"/>
              </w:rPr>
            </w:pPr>
            <w:r>
              <w:rPr>
                <w:rFonts w:hint="eastAsia"/>
                <w:color w:val="000000"/>
                <w:kern w:val="0"/>
              </w:rPr>
              <w:t>劳动用品保障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5"/>
              <w:numPr>
                <w:ilvl w:val="0"/>
                <w:numId w:val="0"/>
              </w:numPr>
              <w:spacing w:before="0" w:after="0"/>
              <w:ind w:left="0" w:firstLine="420" w:firstLineChars="0"/>
              <w:jc w:val="center"/>
              <w:rPr>
                <w:b w:val="0"/>
                <w:bCs w:val="0"/>
                <w:color w:val="000000"/>
                <w:kern w:val="0"/>
              </w:rPr>
            </w:pPr>
            <w:r>
              <w:rPr>
                <w:rFonts w:hint="eastAsia" w:ascii="Times New Roman" w:hAnsi="Times New Roman" w:eastAsia="宋体" w:cs="Times New Roman"/>
                <w:b w:val="0"/>
                <w:bCs w:val="0"/>
                <w:color w:val="000000"/>
                <w:kern w:val="0"/>
                <w:sz w:val="28"/>
                <w:szCs w:val="20"/>
                <w:lang w:val="en-US" w:eastAsia="zh-CN" w:bidi="ar-SA"/>
              </w:rPr>
              <w:t>3</w:t>
            </w:r>
          </w:p>
        </w:tc>
        <w:tc>
          <w:tcPr>
            <w:tcW w:w="21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r>
              <w:rPr>
                <w:rFonts w:hint="eastAsia"/>
                <w:color w:val="000000"/>
                <w:kern w:val="0"/>
              </w:rPr>
              <w:t>安全带</w:t>
            </w:r>
          </w:p>
        </w:tc>
        <w:tc>
          <w:tcPr>
            <w:tcW w:w="396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r>
              <w:rPr>
                <w:color w:val="000000"/>
                <w:kern w:val="0"/>
              </w:rPr>
              <w:drawing>
                <wp:inline distT="0" distB="0" distL="0" distR="0">
                  <wp:extent cx="1619885" cy="1533525"/>
                  <wp:effectExtent l="0" t="0" r="18415" b="9525"/>
                  <wp:docPr id="232" name="图片 232" descr="人躺在病床上&#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人躺在病床上&#10;&#10;低可信度描述已自动生成"/>
                          <pic:cNvPicPr>
                            <a:picLocks noChangeAspect="1"/>
                          </pic:cNvPicPr>
                        </pic:nvPicPr>
                        <pic:blipFill>
                          <a:blip r:embed="rId57"/>
                          <a:stretch>
                            <a:fillRect/>
                          </a:stretch>
                        </pic:blipFill>
                        <pic:spPr>
                          <a:xfrm>
                            <a:off x="0" y="0"/>
                            <a:ext cx="1620000" cy="1533600"/>
                          </a:xfrm>
                          <a:prstGeom prst="rect">
                            <a:avLst/>
                          </a:prstGeom>
                        </pic:spPr>
                      </pic:pic>
                    </a:graphicData>
                  </a:graphic>
                </wp:inline>
              </w:drawing>
            </w:r>
          </w:p>
        </w:tc>
        <w:tc>
          <w:tcPr>
            <w:tcW w:w="12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rFonts w:hint="eastAsia" w:eastAsia="宋体"/>
                <w:color w:val="000000"/>
                <w:kern w:val="0"/>
                <w:lang w:eastAsia="zh-CN"/>
              </w:rPr>
            </w:pPr>
            <w:r>
              <w:rPr>
                <w:rFonts w:hint="eastAsia"/>
                <w:color w:val="000000"/>
                <w:kern w:val="0"/>
              </w:rPr>
              <w:t>安全驾驶保障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5"/>
              <w:numPr>
                <w:ilvl w:val="0"/>
                <w:numId w:val="0"/>
              </w:numPr>
              <w:spacing w:before="0" w:after="0"/>
              <w:ind w:left="0" w:firstLine="420" w:firstLineChars="0"/>
              <w:jc w:val="center"/>
              <w:rPr>
                <w:b w:val="0"/>
                <w:bCs w:val="0"/>
                <w:color w:val="000000"/>
                <w:kern w:val="0"/>
              </w:rPr>
            </w:pPr>
            <w:r>
              <w:rPr>
                <w:rFonts w:hint="eastAsia" w:ascii="Times New Roman" w:hAnsi="Times New Roman" w:eastAsia="宋体" w:cs="Times New Roman"/>
                <w:b w:val="0"/>
                <w:bCs w:val="0"/>
                <w:color w:val="000000"/>
                <w:kern w:val="0"/>
                <w:sz w:val="28"/>
                <w:szCs w:val="20"/>
                <w:lang w:val="en-US" w:eastAsia="zh-CN" w:bidi="ar-SA"/>
              </w:rPr>
              <w:t>4</w:t>
            </w:r>
          </w:p>
        </w:tc>
        <w:tc>
          <w:tcPr>
            <w:tcW w:w="21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r>
              <w:rPr>
                <w:rFonts w:hint="eastAsia"/>
                <w:color w:val="000000"/>
                <w:kern w:val="0"/>
              </w:rPr>
              <w:t>车载灭火器</w:t>
            </w:r>
          </w:p>
        </w:tc>
        <w:tc>
          <w:tcPr>
            <w:tcW w:w="396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r>
              <w:rPr>
                <w:color w:val="000000"/>
                <w:kern w:val="0"/>
              </w:rPr>
              <w:drawing>
                <wp:inline distT="0" distB="0" distL="0" distR="0">
                  <wp:extent cx="1619885" cy="1533525"/>
                  <wp:effectExtent l="0" t="0" r="18415" b="9525"/>
                  <wp:docPr id="237" name="图片 237" descr="人手里拿着纸&#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人手里拿着纸&#10;&#10;中度可信度描述已自动生成"/>
                          <pic:cNvPicPr>
                            <a:picLocks noChangeAspect="1"/>
                          </pic:cNvPicPr>
                        </pic:nvPicPr>
                        <pic:blipFill>
                          <a:blip r:embed="rId58"/>
                          <a:stretch>
                            <a:fillRect/>
                          </a:stretch>
                        </pic:blipFill>
                        <pic:spPr>
                          <a:xfrm>
                            <a:off x="0" y="0"/>
                            <a:ext cx="1620000" cy="1533600"/>
                          </a:xfrm>
                          <a:prstGeom prst="rect">
                            <a:avLst/>
                          </a:prstGeom>
                        </pic:spPr>
                      </pic:pic>
                    </a:graphicData>
                  </a:graphic>
                </wp:inline>
              </w:drawing>
            </w:r>
          </w:p>
        </w:tc>
        <w:tc>
          <w:tcPr>
            <w:tcW w:w="12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r>
              <w:rPr>
                <w:rFonts w:hint="eastAsia"/>
                <w:color w:val="000000"/>
                <w:kern w:val="0"/>
              </w:rPr>
              <w:t>安全驾驶保障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5"/>
              <w:numPr>
                <w:ilvl w:val="0"/>
                <w:numId w:val="0"/>
              </w:numPr>
              <w:spacing w:before="0" w:after="0"/>
              <w:ind w:left="0" w:firstLine="420" w:firstLineChars="0"/>
              <w:jc w:val="center"/>
              <w:rPr>
                <w:b w:val="0"/>
                <w:bCs w:val="0"/>
                <w:color w:val="000000"/>
                <w:kern w:val="0"/>
              </w:rPr>
            </w:pPr>
            <w:r>
              <w:rPr>
                <w:rFonts w:hint="eastAsia" w:ascii="Times New Roman" w:hAnsi="Times New Roman" w:eastAsia="宋体" w:cs="Times New Roman"/>
                <w:b w:val="0"/>
                <w:bCs w:val="0"/>
                <w:color w:val="000000"/>
                <w:kern w:val="0"/>
                <w:sz w:val="28"/>
                <w:szCs w:val="20"/>
                <w:lang w:val="en-US" w:eastAsia="zh-CN" w:bidi="ar-SA"/>
              </w:rPr>
              <w:t>5</w:t>
            </w:r>
          </w:p>
        </w:tc>
        <w:tc>
          <w:tcPr>
            <w:tcW w:w="21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r>
              <w:rPr>
                <w:rFonts w:hint="eastAsia"/>
                <w:color w:val="000000"/>
                <w:kern w:val="0"/>
              </w:rPr>
              <w:t>口罩</w:t>
            </w:r>
          </w:p>
        </w:tc>
        <w:tc>
          <w:tcPr>
            <w:tcW w:w="396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r>
              <w:rPr>
                <w:color w:val="000000"/>
                <w:kern w:val="0"/>
              </w:rPr>
              <w:drawing>
                <wp:inline distT="0" distB="0" distL="0" distR="0">
                  <wp:extent cx="1619885" cy="1533525"/>
                  <wp:effectExtent l="0" t="0" r="18415" b="9525"/>
                  <wp:docPr id="239" name="图片 239"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卡通人物&#10;&#10;描述已自动生成"/>
                          <pic:cNvPicPr>
                            <a:picLocks noChangeAspect="1"/>
                          </pic:cNvPicPr>
                        </pic:nvPicPr>
                        <pic:blipFill>
                          <a:blip r:embed="rId59"/>
                          <a:stretch>
                            <a:fillRect/>
                          </a:stretch>
                        </pic:blipFill>
                        <pic:spPr>
                          <a:xfrm>
                            <a:off x="0" y="0"/>
                            <a:ext cx="1620000" cy="1533600"/>
                          </a:xfrm>
                          <a:prstGeom prst="rect">
                            <a:avLst/>
                          </a:prstGeom>
                        </pic:spPr>
                      </pic:pic>
                    </a:graphicData>
                  </a:graphic>
                </wp:inline>
              </w:drawing>
            </w:r>
          </w:p>
        </w:tc>
        <w:tc>
          <w:tcPr>
            <w:tcW w:w="1219"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r>
              <w:rPr>
                <w:rFonts w:hint="eastAsia"/>
                <w:color w:val="000000"/>
                <w:kern w:val="0"/>
              </w:rPr>
              <w:t>疫情防控物资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5"/>
              <w:numPr>
                <w:ilvl w:val="0"/>
                <w:numId w:val="0"/>
              </w:numPr>
              <w:spacing w:before="0" w:after="0"/>
              <w:ind w:left="0" w:firstLine="420" w:firstLineChars="0"/>
              <w:jc w:val="center"/>
              <w:rPr>
                <w:b w:val="0"/>
                <w:bCs w:val="0"/>
                <w:color w:val="000000"/>
                <w:kern w:val="0"/>
              </w:rPr>
            </w:pPr>
            <w:r>
              <w:rPr>
                <w:rFonts w:hint="eastAsia" w:ascii="Times New Roman" w:hAnsi="Times New Roman" w:eastAsia="宋体" w:cs="Times New Roman"/>
                <w:b w:val="0"/>
                <w:bCs w:val="0"/>
                <w:color w:val="000000"/>
                <w:kern w:val="0"/>
                <w:sz w:val="28"/>
                <w:szCs w:val="20"/>
                <w:lang w:val="en-US" w:eastAsia="zh-CN" w:bidi="ar-SA"/>
              </w:rPr>
              <w:t>6</w:t>
            </w:r>
          </w:p>
        </w:tc>
        <w:tc>
          <w:tcPr>
            <w:tcW w:w="21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r>
              <w:rPr>
                <w:rFonts w:hint="eastAsia"/>
                <w:color w:val="000000"/>
                <w:kern w:val="0"/>
              </w:rPr>
              <w:t>免洗手液</w:t>
            </w:r>
          </w:p>
        </w:tc>
        <w:tc>
          <w:tcPr>
            <w:tcW w:w="396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r>
              <w:rPr>
                <w:color w:val="000000"/>
                <w:kern w:val="0"/>
              </w:rPr>
              <w:drawing>
                <wp:inline distT="0" distB="0" distL="0" distR="0">
                  <wp:extent cx="1619885" cy="1533525"/>
                  <wp:effectExtent l="0" t="0" r="18415" b="9525"/>
                  <wp:docPr id="241" name="图片 241" descr="乳液的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descr="乳液的人&#10;&#10;低可信度描述已自动生成"/>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620000" cy="1533600"/>
                          </a:xfrm>
                          <a:prstGeom prst="rect">
                            <a:avLst/>
                          </a:prstGeom>
                          <a:noFill/>
                          <a:ln>
                            <a:noFill/>
                          </a:ln>
                        </pic:spPr>
                      </pic:pic>
                    </a:graphicData>
                  </a:graphic>
                </wp:inline>
              </w:drawing>
            </w:r>
          </w:p>
        </w:tc>
        <w:tc>
          <w:tcPr>
            <w:tcW w:w="1219"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b w:val="0"/>
                <w:bCs w:val="0"/>
                <w:color w:val="000000"/>
                <w:kern w:val="0"/>
              </w:rPr>
            </w:pPr>
            <w:r>
              <w:rPr>
                <w:rFonts w:hint="eastAsia"/>
                <w:b/>
                <w:bCs/>
                <w:color w:val="000000"/>
                <w:kern w:val="0"/>
              </w:rPr>
              <w:t>7</w:t>
            </w:r>
          </w:p>
        </w:tc>
        <w:tc>
          <w:tcPr>
            <w:tcW w:w="21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r>
              <w:rPr>
                <w:rFonts w:hint="eastAsia"/>
                <w:color w:val="000000"/>
                <w:kern w:val="0"/>
              </w:rPr>
              <w:t>8</w:t>
            </w:r>
            <w:r>
              <w:rPr>
                <w:color w:val="000000"/>
                <w:kern w:val="0"/>
              </w:rPr>
              <w:t>4</w:t>
            </w:r>
            <w:r>
              <w:rPr>
                <w:rFonts w:hint="eastAsia"/>
                <w:color w:val="000000"/>
                <w:kern w:val="0"/>
              </w:rPr>
              <w:t>消毒液</w:t>
            </w:r>
          </w:p>
        </w:tc>
        <w:tc>
          <w:tcPr>
            <w:tcW w:w="396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r>
              <w:rPr>
                <w:color w:val="000000"/>
                <w:kern w:val="0"/>
              </w:rPr>
              <w:drawing>
                <wp:inline distT="0" distB="0" distL="0" distR="0">
                  <wp:extent cx="1619885" cy="1533525"/>
                  <wp:effectExtent l="0" t="0" r="18415" b="9525"/>
                  <wp:docPr id="246" name="图片 246" descr="瓶子放在一起&#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瓶子放在一起&#10;&#10;低可信度描述已自动生成"/>
                          <pic:cNvPicPr>
                            <a:picLocks noChangeAspect="1"/>
                          </pic:cNvPicPr>
                        </pic:nvPicPr>
                        <pic:blipFill>
                          <a:blip r:embed="rId61"/>
                          <a:stretch>
                            <a:fillRect/>
                          </a:stretch>
                        </pic:blipFill>
                        <pic:spPr>
                          <a:xfrm>
                            <a:off x="0" y="0"/>
                            <a:ext cx="1620000" cy="1533600"/>
                          </a:xfrm>
                          <a:prstGeom prst="rect">
                            <a:avLst/>
                          </a:prstGeom>
                        </pic:spPr>
                      </pic:pic>
                    </a:graphicData>
                  </a:graphic>
                </wp:inline>
              </w:drawing>
            </w:r>
          </w:p>
        </w:tc>
        <w:tc>
          <w:tcPr>
            <w:tcW w:w="1219"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p>
        </w:tc>
      </w:tr>
    </w:tbl>
    <w:p>
      <w:pPr>
        <w:ind w:firstLine="562" w:firstLineChars="200"/>
        <w:rPr>
          <w:rFonts w:hint="eastAsia"/>
          <w:b/>
          <w:bCs/>
          <w:lang w:eastAsia="zh-CN"/>
        </w:rPr>
      </w:pPr>
      <w:r>
        <w:rPr>
          <w:rFonts w:hint="eastAsia"/>
          <w:b/>
          <w:bCs/>
          <w:lang w:eastAsia="zh-CN"/>
        </w:rPr>
        <w:t>（</w:t>
      </w:r>
      <w:r>
        <w:rPr>
          <w:rFonts w:hint="eastAsia"/>
          <w:b/>
          <w:bCs/>
          <w:lang w:val="en-US" w:eastAsia="zh-CN"/>
        </w:rPr>
        <w:t>七</w:t>
      </w:r>
      <w:r>
        <w:rPr>
          <w:rFonts w:hint="eastAsia"/>
          <w:b/>
          <w:bCs/>
          <w:lang w:eastAsia="zh-CN"/>
        </w:rPr>
        <w:t>）紧急处置</w:t>
      </w:r>
    </w:p>
    <w:p>
      <w:pPr>
        <w:ind w:firstLine="480"/>
      </w:pPr>
      <w:r>
        <w:rPr>
          <w:rFonts w:hint="eastAsia"/>
        </w:rPr>
        <w:t>产品处置由问题产品所在部门负责，问题出现后，迅速对产品进行隔离，并正确标识，产品的最终处理措施下达之前，任何人不得对产品进行随意处治。</w:t>
      </w:r>
    </w:p>
    <w:p>
      <w:pPr>
        <w:ind w:firstLine="480"/>
      </w:pPr>
      <w:r>
        <w:rPr>
          <w:rFonts w:hint="eastAsia"/>
        </w:rPr>
        <w:t>事态出现急剧恶化的情况时，或者潜在的质量事件向重大甚至恶性事件转化时，责任部门必须及时通报相关情况，并组织相关人员，修改紧急处置措施。</w:t>
      </w:r>
    </w:p>
    <w:p>
      <w:pPr>
        <w:ind w:firstLine="562" w:firstLineChars="200"/>
        <w:rPr>
          <w:rFonts w:hint="eastAsia"/>
          <w:b/>
          <w:bCs/>
          <w:lang w:eastAsia="zh-CN"/>
        </w:rPr>
      </w:pPr>
      <w:r>
        <w:rPr>
          <w:rFonts w:hint="eastAsia"/>
          <w:b/>
          <w:bCs/>
          <w:lang w:eastAsia="zh-CN"/>
        </w:rPr>
        <w:t>（</w:t>
      </w:r>
      <w:r>
        <w:rPr>
          <w:rFonts w:hint="eastAsia"/>
          <w:b/>
          <w:bCs/>
          <w:lang w:val="en-US" w:eastAsia="zh-CN"/>
        </w:rPr>
        <w:t>八</w:t>
      </w:r>
      <w:r>
        <w:rPr>
          <w:rFonts w:hint="eastAsia"/>
          <w:b/>
          <w:bCs/>
          <w:lang w:eastAsia="zh-CN"/>
        </w:rPr>
        <w:t>）响应终结</w:t>
      </w:r>
    </w:p>
    <w:p>
      <w:pPr>
        <w:ind w:firstLine="480"/>
      </w:pPr>
      <w:r>
        <w:rPr>
          <w:rFonts w:hint="eastAsia"/>
        </w:rPr>
        <w:t>质量事件的危害或相关的安全因素等消除后，品质检验人员组织有关人员进行分析论证，经具体分析、调查，确认无危害和风险后，提出终止应急响应的建议，经讨论通过后实施。</w:t>
      </w:r>
    </w:p>
    <w:p>
      <w:pPr>
        <w:ind w:firstLine="562" w:firstLineChars="200"/>
        <w:rPr>
          <w:rFonts w:hint="eastAsia"/>
          <w:b/>
          <w:bCs/>
          <w:lang w:eastAsia="zh-CN"/>
        </w:rPr>
      </w:pPr>
      <w:r>
        <w:rPr>
          <w:rFonts w:hint="eastAsia"/>
          <w:b/>
          <w:bCs/>
          <w:lang w:eastAsia="zh-CN"/>
        </w:rPr>
        <w:t>（</w:t>
      </w:r>
      <w:r>
        <w:rPr>
          <w:rFonts w:hint="eastAsia"/>
          <w:b/>
          <w:bCs/>
          <w:lang w:val="en-US" w:eastAsia="zh-CN"/>
        </w:rPr>
        <w:t>九</w:t>
      </w:r>
      <w:r>
        <w:rPr>
          <w:rFonts w:hint="eastAsia"/>
          <w:b/>
          <w:bCs/>
          <w:lang w:eastAsia="zh-CN"/>
        </w:rPr>
        <w:t>）责任追究</w:t>
      </w:r>
    </w:p>
    <w:p>
      <w:pPr>
        <w:ind w:firstLine="480"/>
      </w:pPr>
      <w:r>
        <w:rPr>
          <w:rFonts w:hint="eastAsia"/>
        </w:rPr>
        <w:t>对在重大质量事件的预防、通报、报告、调查、控制和处理过程中，有玩忽职守、失职、渎职等行为的，根据质量问题的产生情况确定相关责任人并进行罚款，罚款金额由品质检验人员按公司损失具体金额确认并报总经理审批执行。</w:t>
      </w:r>
    </w:p>
    <w:p>
      <w:pPr>
        <w:ind w:firstLine="562" w:firstLineChars="200"/>
        <w:rPr>
          <w:rFonts w:hint="eastAsia"/>
          <w:b/>
          <w:bCs/>
          <w:lang w:eastAsia="zh-CN"/>
        </w:rPr>
      </w:pPr>
      <w:r>
        <w:rPr>
          <w:rFonts w:hint="eastAsia"/>
          <w:b/>
          <w:bCs/>
          <w:lang w:eastAsia="zh-CN"/>
        </w:rPr>
        <w:t>（</w:t>
      </w:r>
      <w:r>
        <w:rPr>
          <w:rFonts w:hint="eastAsia"/>
          <w:b/>
          <w:bCs/>
          <w:lang w:val="en-US" w:eastAsia="zh-CN"/>
        </w:rPr>
        <w:t>十</w:t>
      </w:r>
      <w:r>
        <w:rPr>
          <w:rFonts w:hint="eastAsia"/>
          <w:b/>
          <w:bCs/>
          <w:lang w:eastAsia="zh-CN"/>
        </w:rPr>
        <w:t>）总结报告</w:t>
      </w:r>
    </w:p>
    <w:p>
      <w:pPr>
        <w:ind w:firstLine="480"/>
        <w:rPr>
          <w:rFonts w:hint="eastAsia" w:eastAsia="宋体"/>
          <w:lang w:eastAsia="zh-CN"/>
        </w:rPr>
      </w:pPr>
      <w:r>
        <w:rPr>
          <w:rFonts w:hint="eastAsia"/>
        </w:rPr>
        <w:t>重大质量事件处理完结后，由责任部门形成书面的总结材料，经讨论通过后发至各部门进行学习，并根据情况需要，可对本响应程序作出修改。</w:t>
      </w:r>
    </w:p>
    <w:p>
      <w:pPr>
        <w:ind w:firstLine="482"/>
        <w:rPr>
          <w:b/>
          <w:bCs/>
        </w:rPr>
      </w:pPr>
      <w:r>
        <w:rPr>
          <w:rFonts w:hint="eastAsia"/>
          <w:b/>
          <w:bCs/>
          <w:lang w:eastAsia="zh-CN"/>
        </w:rPr>
        <w:t>（</w:t>
      </w:r>
      <w:r>
        <w:rPr>
          <w:rFonts w:hint="eastAsia"/>
          <w:b/>
          <w:bCs/>
          <w:lang w:val="en-US" w:eastAsia="zh-CN"/>
        </w:rPr>
        <w:t>十一</w:t>
      </w:r>
      <w:r>
        <w:rPr>
          <w:rFonts w:hint="eastAsia"/>
          <w:b/>
          <w:bCs/>
          <w:lang w:eastAsia="zh-CN"/>
        </w:rPr>
        <w:t>）</w:t>
      </w:r>
      <w:r>
        <w:rPr>
          <w:rFonts w:hint="eastAsia"/>
          <w:b/>
          <w:bCs/>
        </w:rPr>
        <w:t>服务流程</w:t>
      </w:r>
    </w:p>
    <w:p>
      <w:pPr>
        <w:pStyle w:val="52"/>
      </w:pPr>
      <w:r>
        <w:drawing>
          <wp:inline distT="0" distB="0" distL="0" distR="0">
            <wp:extent cx="5278120" cy="3725545"/>
            <wp:effectExtent l="0" t="0" r="17780" b="8255"/>
            <wp:docPr id="6005" name="图片 600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 name="图片 6005" descr="图示&#10;&#10;描述已自动生成"/>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278120" cy="3725545"/>
                    </a:xfrm>
                    <a:prstGeom prst="rect">
                      <a:avLst/>
                    </a:prstGeom>
                    <a:noFill/>
                    <a:ln>
                      <a:noFill/>
                    </a:ln>
                  </pic:spPr>
                </pic:pic>
              </a:graphicData>
            </a:graphic>
          </wp:inline>
        </w:drawing>
      </w:r>
    </w:p>
    <w:p>
      <w:pPr>
        <w:widowControl/>
        <w:spacing w:before="0" w:after="0" w:line="240" w:lineRule="auto"/>
        <w:ind w:firstLine="0" w:firstLineChars="0"/>
        <w:jc w:val="left"/>
        <w:rPr>
          <w:b/>
          <w:color w:val="000000"/>
          <w:sz w:val="28"/>
          <w:szCs w:val="24"/>
        </w:rPr>
      </w:pPr>
      <w:r>
        <w:br w:type="page"/>
      </w:r>
    </w:p>
    <w:p>
      <w:pPr>
        <w:pStyle w:val="3"/>
        <w:bidi w:val="0"/>
      </w:pPr>
      <w:bookmarkStart w:id="735" w:name="_Toc118293325"/>
      <w:bookmarkStart w:id="736" w:name="_Toc11639"/>
      <w:r>
        <w:rPr>
          <w:rFonts w:hint="eastAsia"/>
          <w:lang w:val="en-US" w:eastAsia="zh-CN"/>
        </w:rPr>
        <w:t xml:space="preserve">第三章  </w:t>
      </w:r>
      <w:r>
        <w:rPr>
          <w:rFonts w:hint="eastAsia"/>
        </w:rPr>
        <w:t>售后服务承诺及保证措施</w:t>
      </w:r>
      <w:bookmarkEnd w:id="735"/>
      <w:bookmarkEnd w:id="736"/>
    </w:p>
    <w:p>
      <w:pPr>
        <w:pStyle w:val="4"/>
        <w:bidi w:val="0"/>
      </w:pPr>
      <w:bookmarkStart w:id="737" w:name="_Toc105600358"/>
      <w:bookmarkStart w:id="738" w:name="_Toc118293326"/>
      <w:bookmarkStart w:id="739" w:name="_Toc109319066"/>
      <w:bookmarkStart w:id="740" w:name="_Ref118206790"/>
      <w:bookmarkStart w:id="741" w:name="_Toc109300771"/>
      <w:bookmarkStart w:id="742" w:name="_Toc22744"/>
      <w:bookmarkStart w:id="743" w:name="_Toc116121570"/>
      <w:bookmarkStart w:id="744" w:name="_Toc118233228"/>
      <w:bookmarkStart w:id="745" w:name="_Ref118206797"/>
      <w:bookmarkStart w:id="746" w:name="_Ref118206788"/>
      <w:r>
        <w:rPr>
          <w:rFonts w:hint="eastAsia"/>
          <w:lang w:val="en-US" w:eastAsia="zh-CN"/>
        </w:rPr>
        <w:t xml:space="preserve">第一节  </w:t>
      </w:r>
      <w:r>
        <w:t>售后服务承诺</w:t>
      </w:r>
      <w:bookmarkEnd w:id="737"/>
      <w:bookmarkEnd w:id="738"/>
      <w:bookmarkEnd w:id="739"/>
      <w:bookmarkEnd w:id="740"/>
      <w:bookmarkEnd w:id="741"/>
      <w:bookmarkEnd w:id="742"/>
      <w:bookmarkEnd w:id="743"/>
      <w:bookmarkEnd w:id="744"/>
      <w:bookmarkEnd w:id="745"/>
      <w:bookmarkEnd w:id="746"/>
    </w:p>
    <w:p>
      <w:pPr>
        <w:ind w:firstLine="560" w:firstLineChars="200"/>
        <w:rPr>
          <w:rFonts w:hint="eastAsia"/>
        </w:rPr>
      </w:pPr>
      <w:r>
        <w:rPr>
          <w:rFonts w:hint="eastAsia"/>
        </w:rPr>
        <w:t>为切实履行产品售后服务，提升产品质量水平，保障产品质量安全，如果我单位的投标被评定为中标：</w:t>
      </w:r>
    </w:p>
    <w:p>
      <w:pPr>
        <w:ind w:firstLine="560" w:firstLineChars="200"/>
        <w:rPr>
          <w:rFonts w:hint="eastAsia"/>
        </w:rPr>
      </w:pPr>
      <w:r>
        <w:rPr>
          <w:rFonts w:hint="eastAsia"/>
        </w:rPr>
        <w:t>我公司承诺在24小时内作出响应并到场解决问题，如果24小时内没有作出响应并到场解决问题，向采购方支付违约金额5000元/次。</w:t>
      </w:r>
    </w:p>
    <w:p>
      <w:pPr>
        <w:ind w:firstLine="560" w:firstLineChars="200"/>
        <w:rPr>
          <w:rFonts w:hint="eastAsia"/>
          <w:lang w:eastAsia="zh-CN"/>
        </w:rPr>
      </w:pPr>
      <w:r>
        <w:rPr>
          <w:rFonts w:hint="eastAsia"/>
        </w:rPr>
        <w:t>我公司承诺对产品全使用周期的质量负责，对问题产品有具体的应急解决方案及售后服务保障。</w:t>
      </w:r>
    </w:p>
    <w:p>
      <w:pPr>
        <w:ind w:firstLine="560" w:firstLineChars="200"/>
        <w:rPr>
          <w:rFonts w:hint="eastAsia"/>
        </w:rPr>
      </w:pPr>
      <w:r>
        <w:rPr>
          <w:rFonts w:hint="eastAsia"/>
        </w:rPr>
        <w:t>我公司和</w:t>
      </w:r>
      <w:r>
        <w:rPr>
          <w:rFonts w:hint="eastAsia"/>
          <w:lang w:val="en-US" w:eastAsia="zh-CN"/>
        </w:rPr>
        <w:t>XXX</w:t>
      </w:r>
      <w:r>
        <w:rPr>
          <w:rFonts w:hint="eastAsia"/>
        </w:rPr>
        <w:t>大学土壤研究中心属于协议研究单位，中标后我公司承诺在合履行区同将邀请</w:t>
      </w:r>
      <w:r>
        <w:rPr>
          <w:rFonts w:hint="eastAsia"/>
          <w:lang w:val="en-US" w:eastAsia="zh-CN"/>
        </w:rPr>
        <w:t>XXX</w:t>
      </w:r>
      <w:r>
        <w:rPr>
          <w:rFonts w:hint="eastAsia"/>
        </w:rPr>
        <w:t>大学土壤研究中心对采购方进行至少一期的针对土壤、肥料种植技术等进行专业培训，加强对</w:t>
      </w:r>
      <w:r>
        <w:rPr>
          <w:rFonts w:hint="eastAsia"/>
          <w:lang w:eastAsia="zh-CN"/>
        </w:rPr>
        <w:t>XXX生物有机肥采购项目</w:t>
      </w:r>
      <w:r>
        <w:rPr>
          <w:rFonts w:hint="eastAsia"/>
        </w:rPr>
        <w:t>的有机肥使用培训。</w:t>
      </w:r>
    </w:p>
    <w:p>
      <w:pPr>
        <w:ind w:firstLine="560" w:firstLineChars="200"/>
        <w:rPr>
          <w:rFonts w:hint="eastAsia" w:ascii="宋体" w:hAnsi="宋体" w:eastAsia="宋体" w:cs="宋体"/>
        </w:rPr>
      </w:pPr>
      <w:r>
        <w:rPr>
          <w:rFonts w:hint="eastAsia"/>
        </w:rPr>
        <w:t>我公司负责</w:t>
      </w:r>
      <w:r>
        <w:rPr>
          <w:rFonts w:hint="eastAsia"/>
          <w:lang w:eastAsia="zh-CN"/>
        </w:rPr>
        <w:t>XXX生物有机肥采购项目</w:t>
      </w:r>
      <w:r>
        <w:rPr>
          <w:rFonts w:hint="eastAsia"/>
        </w:rPr>
        <w:t>肥料运输到采购人指定地点。有机肥运输费由我单位负责。我</w:t>
      </w:r>
      <w:r>
        <w:rPr>
          <w:rFonts w:hint="eastAsia" w:ascii="宋体" w:hAnsi="宋体" w:eastAsia="宋体" w:cs="宋体"/>
        </w:rPr>
        <w:t>单位会定期组织农科员、村委代表，每个村委会进行至少一期的针对土壤、肥料种植技术等进行专业培训，提升当地农户对有机肥的施用技术。本承诺中标后成为双方合同必要履行因素。我们除了完全响应招标文件对成交的伴随服务外，同时为采购单位提供如下服务：</w:t>
      </w:r>
    </w:p>
    <w:p>
      <w:pPr>
        <w:ind w:firstLine="48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一</w:t>
      </w:r>
      <w:r>
        <w:rPr>
          <w:rFonts w:hint="eastAsia" w:ascii="宋体" w:hAnsi="宋体" w:eastAsia="宋体" w:cs="宋体"/>
          <w:lang w:eastAsia="zh-CN"/>
        </w:rPr>
        <w:t>）</w:t>
      </w:r>
      <w:r>
        <w:rPr>
          <w:rFonts w:hint="eastAsia" w:ascii="宋体" w:hAnsi="宋体" w:eastAsia="宋体" w:cs="宋体"/>
        </w:rPr>
        <w:t>严格遵守国家《产品质量法》、《计量法》、《标准化法》、《消费者权益保护法》等相关法律、法规的规定，牢固树立产品质量主体责任意识，自觉履行法定义务，对我单位生产的产品质量负责，及时向采购方提供产品的储存、保管和使用等技术资料。</w:t>
      </w:r>
    </w:p>
    <w:p>
      <w:pPr>
        <w:ind w:firstLine="480"/>
        <w:rPr>
          <w:rFonts w:hint="eastAsia" w:ascii="宋体" w:hAnsi="宋体" w:eastAsia="宋体" w:cs="宋体"/>
          <w:lang w:eastAsia="zh-CN"/>
        </w:rPr>
      </w:pPr>
      <w:r>
        <w:rPr>
          <w:rFonts w:hint="eastAsia" w:ascii="宋体" w:hAnsi="宋体" w:eastAsia="宋体" w:cs="宋体"/>
          <w:lang w:val="en-US" w:eastAsia="zh-CN"/>
        </w:rPr>
        <w:t>1、</w:t>
      </w:r>
      <w:r>
        <w:rPr>
          <w:rFonts w:hint="eastAsia" w:ascii="宋体" w:hAnsi="宋体" w:eastAsia="宋体" w:cs="宋体"/>
        </w:rPr>
        <w:t>依法取得相关产品生产经营资质。</w:t>
      </w:r>
    </w:p>
    <w:p>
      <w:pPr>
        <w:ind w:firstLine="480"/>
        <w:rPr>
          <w:rFonts w:hint="eastAsia" w:ascii="宋体" w:hAnsi="宋体" w:eastAsia="宋体" w:cs="宋体"/>
          <w:lang w:eastAsia="zh-CN"/>
        </w:rPr>
      </w:pPr>
      <w:r>
        <w:rPr>
          <w:rFonts w:hint="eastAsia" w:ascii="宋体" w:hAnsi="宋体" w:eastAsia="宋体" w:cs="宋体"/>
          <w:lang w:val="en-US" w:eastAsia="zh-CN"/>
        </w:rPr>
        <w:t>2、</w:t>
      </w:r>
      <w:r>
        <w:rPr>
          <w:rFonts w:hint="eastAsia" w:ascii="宋体" w:hAnsi="宋体" w:eastAsia="宋体" w:cs="宋体"/>
        </w:rPr>
        <w:t>建立完善质量管理体系，不断提升质量管理水平和产品质量水平，保证产品质量符合国家有关产品标准与本项目要求标准，具备应当具备的使用性能，不存在危及人体健康、人身财产安全的不合理的危险。</w:t>
      </w:r>
    </w:p>
    <w:p>
      <w:pPr>
        <w:ind w:firstLine="480"/>
        <w:rPr>
          <w:rFonts w:hint="eastAsia" w:ascii="宋体" w:hAnsi="宋体" w:eastAsia="宋体" w:cs="宋体"/>
          <w:lang w:eastAsia="zh-CN"/>
        </w:rPr>
      </w:pPr>
      <w:r>
        <w:rPr>
          <w:rFonts w:hint="eastAsia" w:ascii="宋体" w:hAnsi="宋体" w:eastAsia="宋体" w:cs="宋体"/>
          <w:lang w:val="en-US" w:eastAsia="zh-CN"/>
        </w:rPr>
        <w:t>3、</w:t>
      </w:r>
      <w:r>
        <w:rPr>
          <w:rFonts w:hint="eastAsia" w:ascii="宋体" w:hAnsi="宋体" w:eastAsia="宋体" w:cs="宋体"/>
        </w:rPr>
        <w:t>建立完善产品质量检测体系，提高产品质量检验检测能力，严格原料进厂查验制度和成品出厂检验制度，保证产品经检验合格后出厂。</w:t>
      </w:r>
    </w:p>
    <w:p>
      <w:pPr>
        <w:ind w:firstLine="480"/>
        <w:rPr>
          <w:rFonts w:hint="eastAsia" w:ascii="宋体" w:hAnsi="宋体" w:eastAsia="宋体" w:cs="宋体"/>
          <w:lang w:eastAsia="zh-CN"/>
        </w:rPr>
      </w:pPr>
      <w:r>
        <w:rPr>
          <w:rFonts w:hint="eastAsia" w:ascii="宋体" w:hAnsi="宋体" w:eastAsia="宋体" w:cs="宋体"/>
          <w:lang w:val="en-US" w:eastAsia="zh-CN"/>
        </w:rPr>
        <w:t>4、</w:t>
      </w:r>
      <w:r>
        <w:rPr>
          <w:rFonts w:hint="eastAsia" w:ascii="宋体" w:hAnsi="宋体" w:eastAsia="宋体" w:cs="宋体"/>
        </w:rPr>
        <w:t>建立完善产品质量溯源制度，明确质量相关人员岗位责任，建立和保存产品生产记录和销售台帐，保证产品质量问题的可溯性。</w:t>
      </w:r>
    </w:p>
    <w:p>
      <w:pPr>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产品配发检验合格证书和适量使用说明书，以确保用户能正确使用我单位产品。我单位保证出厂的产品均按有关国家标准生产和检验，不合格的产品决不出厂。保证严格履行、兑现产品三包，严格执行国家化肥工业产品售后服务有关规定，对本单位产品自发货日起的保质期为一年，若买方能够证实产品本身确有材料或加工缺陷，并向本单位提出书面申请，本单位将有质量问题的产品免费召回，更换或按订货价全额退款。</w:t>
      </w:r>
    </w:p>
    <w:p>
      <w:pPr>
        <w:ind w:firstLine="480"/>
        <w:rPr>
          <w:rFonts w:hint="eastAsia" w:ascii="宋体" w:hAnsi="宋体" w:eastAsia="宋体" w:cs="宋体"/>
          <w:lang w:eastAsia="zh-CN"/>
        </w:rPr>
      </w:pPr>
      <w:r>
        <w:rPr>
          <w:rFonts w:hint="eastAsia" w:ascii="宋体" w:hAnsi="宋体" w:eastAsia="宋体" w:cs="宋体"/>
          <w:lang w:eastAsia="zh-CN"/>
        </w:rPr>
        <w:t>（</w:t>
      </w:r>
      <w:r>
        <w:rPr>
          <w:rFonts w:hint="eastAsia" w:ascii="宋体" w:hAnsi="宋体" w:eastAsia="宋体" w:cs="宋体"/>
          <w:lang w:val="en-US" w:eastAsia="zh-CN"/>
        </w:rPr>
        <w:t>二</w:t>
      </w:r>
      <w:r>
        <w:rPr>
          <w:rFonts w:hint="eastAsia" w:ascii="宋体" w:hAnsi="宋体" w:eastAsia="宋体" w:cs="宋体"/>
          <w:lang w:eastAsia="zh-CN"/>
        </w:rPr>
        <w:t>）</w:t>
      </w:r>
      <w:r>
        <w:rPr>
          <w:rFonts w:hint="eastAsia" w:ascii="宋体" w:hAnsi="宋体" w:eastAsia="宋体" w:cs="宋体"/>
        </w:rPr>
        <w:t>按采购方要求的时间到现场进行技术服务。</w:t>
      </w:r>
    </w:p>
    <w:p>
      <w:pPr>
        <w:ind w:firstLine="480"/>
        <w:rPr>
          <w:rFonts w:hint="eastAsia" w:ascii="宋体" w:hAnsi="宋体" w:eastAsia="宋体" w:cs="宋体"/>
          <w:lang w:eastAsia="zh-CN"/>
        </w:rPr>
      </w:pPr>
      <w:r>
        <w:rPr>
          <w:rFonts w:hint="eastAsia" w:ascii="宋体" w:hAnsi="宋体" w:eastAsia="宋体" w:cs="宋体"/>
          <w:lang w:val="en-US" w:eastAsia="zh-CN"/>
        </w:rPr>
        <w:t>1、</w:t>
      </w:r>
      <w:r>
        <w:rPr>
          <w:rFonts w:hint="eastAsia" w:ascii="宋体" w:hAnsi="宋体" w:eastAsia="宋体" w:cs="宋体"/>
        </w:rPr>
        <w:t>电话咨询：为采购方提供技术援助电话，解答采购方在产品使用过程中遇到的问题，及时解决问题。</w:t>
      </w:r>
    </w:p>
    <w:p>
      <w:pPr>
        <w:ind w:firstLine="480"/>
        <w:rPr>
          <w:rFonts w:hint="eastAsia" w:ascii="宋体" w:hAnsi="宋体" w:eastAsia="宋体" w:cs="宋体"/>
          <w:lang w:eastAsia="zh-CN"/>
        </w:rPr>
      </w:pPr>
      <w:r>
        <w:rPr>
          <w:rFonts w:hint="eastAsia" w:ascii="宋体" w:hAnsi="宋体" w:eastAsia="宋体" w:cs="宋体"/>
          <w:lang w:val="en-US" w:eastAsia="zh-CN"/>
        </w:rPr>
        <w:t>2、</w:t>
      </w:r>
      <w:r>
        <w:rPr>
          <w:rFonts w:hint="eastAsia" w:ascii="宋体" w:hAnsi="宋体" w:eastAsia="宋体" w:cs="宋体"/>
        </w:rPr>
        <w:t>现场响应：在采购方当地设立售后服务站点，当采购方遇到使用及技术问题，电话咨询不能解决的，我方保证就相关问题立即响应，10分钟内到达现场进行处理。</w:t>
      </w:r>
    </w:p>
    <w:p>
      <w:pPr>
        <w:ind w:firstLine="480"/>
        <w:rPr>
          <w:rFonts w:hint="eastAsia" w:ascii="宋体" w:hAnsi="宋体" w:eastAsia="宋体" w:cs="宋体"/>
          <w:lang w:eastAsia="zh-CN"/>
        </w:rPr>
      </w:pPr>
      <w:r>
        <w:rPr>
          <w:rFonts w:hint="eastAsia" w:ascii="宋体" w:hAnsi="宋体" w:eastAsia="宋体" w:cs="宋体"/>
          <w:lang w:eastAsia="zh-CN"/>
        </w:rPr>
        <w:t>（</w:t>
      </w:r>
      <w:r>
        <w:rPr>
          <w:rFonts w:hint="eastAsia" w:ascii="宋体" w:hAnsi="宋体" w:eastAsia="宋体" w:cs="宋体"/>
          <w:lang w:val="en-US" w:eastAsia="zh-CN"/>
        </w:rPr>
        <w:t>三</w:t>
      </w:r>
      <w:r>
        <w:rPr>
          <w:rFonts w:hint="eastAsia" w:ascii="宋体" w:hAnsi="宋体" w:eastAsia="宋体" w:cs="宋体"/>
          <w:lang w:eastAsia="zh-CN"/>
        </w:rPr>
        <w:t>）</w:t>
      </w:r>
      <w:r>
        <w:rPr>
          <w:rFonts w:hint="eastAsia" w:ascii="宋体" w:hAnsi="宋体" w:eastAsia="宋体" w:cs="宋体"/>
        </w:rPr>
        <w:t>严格执行供需双方就有关问题召开会议的纪要或签订的协议。</w:t>
      </w:r>
    </w:p>
    <w:p>
      <w:pPr>
        <w:ind w:firstLine="480"/>
        <w:rPr>
          <w:rFonts w:hint="eastAsia" w:ascii="宋体" w:hAnsi="宋体" w:eastAsia="宋体" w:cs="宋体"/>
          <w:lang w:eastAsia="zh-CN"/>
        </w:rPr>
      </w:pPr>
      <w:r>
        <w:rPr>
          <w:rFonts w:hint="eastAsia" w:ascii="宋体" w:hAnsi="宋体" w:eastAsia="宋体" w:cs="宋体"/>
          <w:lang w:eastAsia="zh-CN"/>
        </w:rPr>
        <w:t>（</w:t>
      </w:r>
      <w:r>
        <w:rPr>
          <w:rFonts w:hint="eastAsia" w:ascii="宋体" w:hAnsi="宋体" w:eastAsia="宋体" w:cs="宋体"/>
          <w:lang w:val="en-US" w:eastAsia="zh-CN"/>
        </w:rPr>
        <w:t>四</w:t>
      </w:r>
      <w:r>
        <w:rPr>
          <w:rFonts w:hint="eastAsia" w:ascii="宋体" w:hAnsi="宋体" w:eastAsia="宋体" w:cs="宋体"/>
          <w:lang w:eastAsia="zh-CN"/>
        </w:rPr>
        <w:t>）</w:t>
      </w:r>
      <w:r>
        <w:rPr>
          <w:rFonts w:hint="eastAsia" w:ascii="宋体" w:hAnsi="宋体" w:eastAsia="宋体" w:cs="宋体"/>
        </w:rPr>
        <w:t>委派针对该采购项目的具有相关证书的售后专职负责人2名，加强售前、售中、售后服务，把“</w:t>
      </w:r>
      <w:r>
        <w:rPr>
          <w:rFonts w:hint="eastAsia" w:ascii="宋体" w:hAnsi="宋体" w:eastAsia="宋体" w:cs="宋体"/>
          <w:b/>
          <w:bCs/>
        </w:rPr>
        <w:t>24小时服务”、“超前服务”、“全过程服务”</w:t>
      </w:r>
      <w:r>
        <w:rPr>
          <w:rFonts w:hint="eastAsia" w:ascii="宋体" w:hAnsi="宋体" w:eastAsia="宋体" w:cs="宋体"/>
        </w:rPr>
        <w:t>贯彻履行合同的始终。</w:t>
      </w:r>
    </w:p>
    <w:p>
      <w:pPr>
        <w:ind w:firstLine="480"/>
      </w:pPr>
      <w:r>
        <w:rPr>
          <w:rFonts w:hint="eastAsia"/>
          <w:lang w:eastAsia="zh-CN"/>
        </w:rPr>
        <w:t>（</w:t>
      </w:r>
      <w:r>
        <w:rPr>
          <w:rFonts w:hint="eastAsia"/>
          <w:lang w:val="en-US" w:eastAsia="zh-CN"/>
        </w:rPr>
        <w:t>五</w:t>
      </w:r>
      <w:r>
        <w:rPr>
          <w:rFonts w:hint="eastAsia"/>
          <w:lang w:eastAsia="zh-CN"/>
        </w:rPr>
        <w:t>）</w:t>
      </w:r>
      <w:r>
        <w:rPr>
          <w:rFonts w:hint="eastAsia"/>
        </w:rPr>
        <w:t>对所供产品实行“三包”服务。此外我方还成立一支受过良好教育和培训的、有经验的技术支持售后服务队伍，为本项目提供及时、全面以及本地化的技术支持和服务，保障本项目的正常运行。</w:t>
      </w:r>
    </w:p>
    <w:p>
      <w:pPr>
        <w:ind w:firstLine="480"/>
        <w:rPr>
          <w:rFonts w:hint="eastAsia" w:eastAsia="宋体"/>
          <w:lang w:eastAsia="zh-CN"/>
        </w:rPr>
      </w:pPr>
      <w:r>
        <w:rPr>
          <w:rFonts w:hint="eastAsia"/>
          <w:lang w:eastAsia="zh-CN"/>
        </w:rPr>
        <w:t>（</w:t>
      </w:r>
      <w:r>
        <w:rPr>
          <w:rFonts w:hint="eastAsia"/>
          <w:lang w:val="en-US" w:eastAsia="zh-CN"/>
        </w:rPr>
        <w:t>六</w:t>
      </w:r>
      <w:r>
        <w:rPr>
          <w:rFonts w:hint="eastAsia"/>
          <w:lang w:eastAsia="zh-CN"/>
        </w:rPr>
        <w:t>）</w:t>
      </w:r>
      <w:r>
        <w:rPr>
          <w:rFonts w:hint="eastAsia"/>
        </w:rPr>
        <w:t>我公司承诺：★合同履行期限：即项目实施（交货）时间：</w:t>
      </w:r>
      <w:r>
        <w:t>签订合同后120日历天（提交土壤提升评价报告）</w:t>
      </w:r>
      <w:r>
        <w:rPr>
          <w:rFonts w:hint="eastAsia"/>
        </w:rPr>
        <w:t>。</w:t>
      </w:r>
    </w:p>
    <w:p>
      <w:pPr>
        <w:ind w:firstLine="480"/>
        <w:rPr>
          <w:rFonts w:hint="eastAsia" w:eastAsia="宋体"/>
          <w:lang w:eastAsia="zh-CN"/>
        </w:rPr>
      </w:pPr>
      <w:r>
        <w:rPr>
          <w:rFonts w:hint="eastAsia"/>
          <w:lang w:val="en-US" w:eastAsia="zh-CN"/>
        </w:rPr>
        <w:t>1、</w:t>
      </w:r>
      <w:r>
        <w:rPr>
          <w:rFonts w:hint="eastAsia"/>
        </w:rPr>
        <w:t>逾期交货违约金：1000元/天（非中标人原因造成的除外）。</w:t>
      </w:r>
    </w:p>
    <w:p>
      <w:pPr>
        <w:ind w:firstLine="480"/>
        <w:rPr>
          <w:rFonts w:hint="eastAsia" w:eastAsia="宋体"/>
          <w:lang w:eastAsia="zh-CN"/>
        </w:rPr>
      </w:pPr>
      <w:r>
        <w:rPr>
          <w:rFonts w:hint="eastAsia"/>
          <w:lang w:val="en-US" w:eastAsia="zh-CN"/>
        </w:rPr>
        <w:t>2、</w:t>
      </w:r>
      <w:r>
        <w:rPr>
          <w:rFonts w:hint="eastAsia"/>
        </w:rPr>
        <w:t>质保期</w:t>
      </w:r>
      <w:r>
        <w:t>12</w:t>
      </w:r>
      <w:r>
        <w:rPr>
          <w:rFonts w:hint="eastAsia"/>
        </w:rPr>
        <w:t>个月。</w:t>
      </w:r>
    </w:p>
    <w:p>
      <w:pPr>
        <w:ind w:firstLine="480"/>
      </w:pPr>
      <w:r>
        <w:rPr>
          <w:rFonts w:hint="eastAsia"/>
          <w:lang w:val="en-US" w:eastAsia="zh-CN"/>
        </w:rPr>
        <w:t>3、</w:t>
      </w:r>
      <w:r>
        <w:rPr>
          <w:rFonts w:hint="eastAsia"/>
        </w:rPr>
        <w:t>确保按照投标文件中明确的相关承诺及产品质量进行供货，采购人也按相同的标准进行验收。采购人有权对产品进行抽检，若发现存在检测结果与投标文件承诺不一致的，视为我单位质量违约，采购人拒签合同并追究我单位因此造成的损失及责任。其投标保证金不予退还，并向行政监管部门提交不良行为记录。给采购人造成的损失超过投标保证金数额的，我单位应当对超过部分予以赔偿。</w:t>
      </w:r>
    </w:p>
    <w:p>
      <w:pPr>
        <w:ind w:firstLine="480"/>
      </w:pPr>
      <w:r>
        <w:rPr>
          <w:rFonts w:hint="eastAsia"/>
          <w:lang w:val="en-US" w:eastAsia="zh-CN"/>
        </w:rPr>
        <w:t>4、</w:t>
      </w:r>
      <w:r>
        <w:rPr>
          <w:rFonts w:hint="eastAsia"/>
        </w:rPr>
        <w:t>在合同签订以后，采购人根据行业标准进行供货。并按采购人要求配送到约定的交货地点。</w:t>
      </w:r>
    </w:p>
    <w:p>
      <w:pPr>
        <w:ind w:firstLine="480"/>
        <w:rPr>
          <w:rFonts w:hint="eastAsia" w:eastAsia="宋体"/>
          <w:lang w:eastAsia="zh-CN"/>
        </w:rPr>
      </w:pPr>
      <w:r>
        <w:rPr>
          <w:rFonts w:hint="eastAsia"/>
          <w:lang w:val="en-US" w:eastAsia="zh-CN"/>
        </w:rPr>
        <w:t>5、</w:t>
      </w:r>
      <w:r>
        <w:rPr>
          <w:rFonts w:hint="eastAsia"/>
        </w:rPr>
        <w:t>验收标准：外包装验收：无破损，无污染，包装完好。标签标识验收：标识清楚，符合国家有关法律法规及质监部门的质检报告。</w:t>
      </w:r>
    </w:p>
    <w:p>
      <w:pPr>
        <w:ind w:firstLine="480"/>
        <w:rPr>
          <w:b/>
          <w:bCs/>
        </w:rPr>
      </w:pPr>
      <w:r>
        <w:rPr>
          <w:rFonts w:hint="eastAsia"/>
          <w:lang w:eastAsia="zh-CN"/>
        </w:rPr>
        <w:t>（</w:t>
      </w:r>
      <w:r>
        <w:rPr>
          <w:rFonts w:hint="eastAsia"/>
          <w:lang w:val="en-US" w:eastAsia="zh-CN"/>
        </w:rPr>
        <w:t>七</w:t>
      </w:r>
      <w:r>
        <w:rPr>
          <w:rFonts w:hint="eastAsia"/>
          <w:lang w:eastAsia="zh-CN"/>
        </w:rPr>
        <w:t>）</w:t>
      </w:r>
      <w:r>
        <w:rPr>
          <w:rFonts w:hint="eastAsia"/>
          <w:b/>
          <w:bCs/>
        </w:rPr>
        <w:t>我公司承诺所投产品不烧根、不烧苗，因肥料问题出现烧根烧苗，由我公司赔偿因此带来的所有损失。</w:t>
      </w:r>
    </w:p>
    <w:p>
      <w:pPr>
        <w:ind w:firstLine="480"/>
      </w:pPr>
      <w:r>
        <w:rPr>
          <w:rFonts w:hint="eastAsia"/>
          <w:lang w:eastAsia="zh-CN"/>
        </w:rPr>
        <w:t>（</w:t>
      </w:r>
      <w:r>
        <w:rPr>
          <w:rFonts w:hint="eastAsia"/>
          <w:lang w:val="en-US" w:eastAsia="zh-CN"/>
        </w:rPr>
        <w:t>八</w:t>
      </w:r>
      <w:r>
        <w:rPr>
          <w:rFonts w:hint="eastAsia"/>
          <w:lang w:eastAsia="zh-CN"/>
        </w:rPr>
        <w:t>）</w:t>
      </w:r>
      <w:r>
        <w:rPr>
          <w:rFonts w:hint="eastAsia"/>
        </w:rPr>
        <w:t>我公司承诺中标后，组织</w:t>
      </w:r>
      <w:r>
        <w:rPr>
          <w:rFonts w:hint="eastAsia"/>
          <w:lang w:val="en-US" w:eastAsia="zh-CN"/>
        </w:rPr>
        <w:t>XXX</w:t>
      </w:r>
      <w:r>
        <w:rPr>
          <w:rFonts w:hint="eastAsia"/>
        </w:rPr>
        <w:t>大学土壤研究中心进行针对每个供货乡镇的技术培训服务及后期可给予采购方相关的试验展开、实验数据等服务。</w:t>
      </w:r>
    </w:p>
    <w:p>
      <w:pPr>
        <w:ind w:firstLine="480"/>
      </w:pPr>
      <w:r>
        <w:rPr>
          <w:rFonts w:hint="eastAsia"/>
          <w:lang w:eastAsia="zh-CN"/>
        </w:rPr>
        <w:t>（</w:t>
      </w:r>
      <w:r>
        <w:rPr>
          <w:rFonts w:hint="eastAsia"/>
          <w:lang w:val="en-US" w:eastAsia="zh-CN"/>
        </w:rPr>
        <w:t>九</w:t>
      </w:r>
      <w:r>
        <w:rPr>
          <w:rFonts w:hint="eastAsia"/>
          <w:lang w:eastAsia="zh-CN"/>
        </w:rPr>
        <w:t>）</w:t>
      </w:r>
      <w:r>
        <w:rPr>
          <w:rFonts w:hint="eastAsia"/>
        </w:rPr>
        <w:t>货物验收：肥料运输到指定地点后，我单位会向采购方提供随货同行的相关合格证书，由采购人进行验收；卸货及有关费用我单位负责；同时由采购人抽取的样品送到具有检测资质的单位进行检测（检测费用由我单位负责）</w:t>
      </w:r>
    </w:p>
    <w:p>
      <w:pPr>
        <w:ind w:firstLine="480"/>
      </w:pPr>
      <w:r>
        <w:rPr>
          <w:rFonts w:hint="eastAsia"/>
          <w:lang w:eastAsia="zh-CN"/>
        </w:rPr>
        <w:t>（</w:t>
      </w:r>
      <w:r>
        <w:rPr>
          <w:rFonts w:hint="eastAsia"/>
          <w:lang w:val="en-US" w:eastAsia="zh-CN"/>
        </w:rPr>
        <w:t>十</w:t>
      </w:r>
      <w:r>
        <w:rPr>
          <w:rFonts w:hint="eastAsia"/>
          <w:lang w:eastAsia="zh-CN"/>
        </w:rPr>
        <w:t>）</w:t>
      </w:r>
      <w:r>
        <w:rPr>
          <w:rFonts w:hint="eastAsia"/>
        </w:rPr>
        <w:t>业主方组织专家到我单位现场考察并随机对原材料及成品取样，合格后再签订供货合同。</w:t>
      </w:r>
    </w:p>
    <w:p>
      <w:pPr>
        <w:ind w:firstLine="480"/>
      </w:pPr>
      <w:r>
        <w:rPr>
          <w:rFonts w:hint="eastAsia"/>
          <w:lang w:eastAsia="zh-CN"/>
        </w:rPr>
        <w:t>（</w:t>
      </w:r>
      <w:r>
        <w:rPr>
          <w:rFonts w:hint="eastAsia"/>
          <w:lang w:val="en-US" w:eastAsia="zh-CN"/>
        </w:rPr>
        <w:t>十一</w:t>
      </w:r>
      <w:r>
        <w:rPr>
          <w:rFonts w:hint="eastAsia"/>
          <w:lang w:eastAsia="zh-CN"/>
        </w:rPr>
        <w:t>）</w:t>
      </w:r>
      <w:r>
        <w:rPr>
          <w:rFonts w:hint="eastAsia"/>
        </w:rPr>
        <w:t>我单位保证投标产品达到绿色环境友好型生产企业有排污许可证明</w:t>
      </w:r>
    </w:p>
    <w:p>
      <w:pPr>
        <w:ind w:firstLine="480"/>
      </w:pPr>
      <w:r>
        <w:rPr>
          <w:rFonts w:hint="eastAsia"/>
          <w:lang w:eastAsia="zh-CN"/>
        </w:rPr>
        <w:t>（</w:t>
      </w:r>
      <w:r>
        <w:rPr>
          <w:rFonts w:hint="eastAsia"/>
          <w:lang w:val="en-US" w:eastAsia="zh-CN"/>
        </w:rPr>
        <w:t>十二</w:t>
      </w:r>
      <w:r>
        <w:rPr>
          <w:rFonts w:hint="eastAsia"/>
          <w:lang w:eastAsia="zh-CN"/>
        </w:rPr>
        <w:t>）</w:t>
      </w:r>
      <w:r>
        <w:rPr>
          <w:rFonts w:hint="eastAsia"/>
        </w:rPr>
        <w:t>产品质量要求：符合国家现行相关标准及规范，满足采购人。</w:t>
      </w:r>
    </w:p>
    <w:p>
      <w:pPr>
        <w:widowControl/>
        <w:spacing w:before="0" w:after="0" w:line="240" w:lineRule="auto"/>
        <w:ind w:firstLine="0" w:firstLineChars="0"/>
        <w:jc w:val="left"/>
      </w:pPr>
      <w:r>
        <w:br w:type="page"/>
      </w:r>
    </w:p>
    <w:p>
      <w:pPr>
        <w:pStyle w:val="4"/>
        <w:bidi w:val="0"/>
      </w:pPr>
      <w:bookmarkStart w:id="747" w:name="_Ref118206823"/>
      <w:bookmarkStart w:id="748" w:name="_Toc118233230"/>
      <w:bookmarkStart w:id="749" w:name="_Toc109319072"/>
      <w:bookmarkStart w:id="750" w:name="_Toc109300777"/>
      <w:bookmarkStart w:id="751" w:name="_Toc105600357"/>
      <w:bookmarkStart w:id="752" w:name="_Toc116121572"/>
      <w:bookmarkStart w:id="753" w:name="_Ref118206821"/>
      <w:bookmarkStart w:id="754" w:name="_Toc27396"/>
      <w:bookmarkStart w:id="755" w:name="_Toc118293328"/>
      <w:r>
        <w:rPr>
          <w:rFonts w:hint="eastAsia"/>
          <w:lang w:val="en-US" w:eastAsia="zh-CN"/>
        </w:rPr>
        <w:t xml:space="preserve">第二节  </w:t>
      </w:r>
      <w:r>
        <w:t>售后服务</w:t>
      </w:r>
      <w:bookmarkEnd w:id="747"/>
      <w:bookmarkEnd w:id="748"/>
      <w:bookmarkEnd w:id="749"/>
      <w:bookmarkEnd w:id="750"/>
      <w:bookmarkEnd w:id="751"/>
      <w:bookmarkEnd w:id="752"/>
      <w:bookmarkEnd w:id="753"/>
      <w:r>
        <w:rPr>
          <w:rFonts w:hint="eastAsia"/>
        </w:rPr>
        <w:t>保证措施</w:t>
      </w:r>
      <w:bookmarkEnd w:id="754"/>
      <w:bookmarkEnd w:id="755"/>
    </w:p>
    <w:p>
      <w:pPr>
        <w:pStyle w:val="5"/>
        <w:bidi w:val="0"/>
      </w:pPr>
      <w:bookmarkStart w:id="756" w:name="_Ref118206840"/>
      <w:bookmarkStart w:id="757" w:name="_Toc118293329"/>
      <w:bookmarkStart w:id="758" w:name="_Toc30916"/>
      <w:bookmarkStart w:id="759" w:name="_Ref118206834"/>
      <w:bookmarkStart w:id="760" w:name="_Toc116121573"/>
      <w:bookmarkStart w:id="761" w:name="_Toc118233231"/>
      <w:bookmarkStart w:id="762" w:name="_Toc109319073"/>
      <w:bookmarkStart w:id="763" w:name="_Toc109300778"/>
      <w:bookmarkStart w:id="764" w:name="_Toc105600359"/>
      <w:bookmarkStart w:id="765" w:name="_Ref118206831"/>
      <w:r>
        <w:rPr>
          <w:rFonts w:hint="eastAsia"/>
          <w:lang w:val="en-US" w:eastAsia="zh-CN"/>
        </w:rPr>
        <w:t>一、</w:t>
      </w:r>
      <w:r>
        <w:rPr>
          <w:rFonts w:hint="eastAsia"/>
        </w:rPr>
        <w:t>售后服务宗旨</w:t>
      </w:r>
      <w:bookmarkEnd w:id="756"/>
      <w:bookmarkEnd w:id="757"/>
      <w:bookmarkEnd w:id="758"/>
      <w:bookmarkEnd w:id="759"/>
      <w:bookmarkEnd w:id="760"/>
      <w:bookmarkEnd w:id="761"/>
      <w:bookmarkEnd w:id="762"/>
      <w:bookmarkEnd w:id="763"/>
      <w:bookmarkEnd w:id="764"/>
      <w:bookmarkEnd w:id="765"/>
    </w:p>
    <w:p>
      <w:pPr>
        <w:keepNext w:val="0"/>
        <w:keepLines w:val="0"/>
        <w:pageBreakBefore w:val="0"/>
        <w:widowControl w:val="0"/>
        <w:kinsoku/>
        <w:wordWrap/>
        <w:overflowPunct/>
        <w:topLinePunct w:val="0"/>
        <w:autoSpaceDE/>
        <w:autoSpaceDN/>
        <w:bidi w:val="0"/>
        <w:adjustRightInd w:val="0"/>
        <w:snapToGrid w:val="0"/>
        <w:ind w:left="0" w:firstLine="560" w:firstLineChars="200"/>
        <w:textAlignment w:val="auto"/>
      </w:pPr>
      <w:r>
        <w:rPr>
          <w:rFonts w:hint="eastAsia"/>
        </w:rPr>
        <w:t>本着“为顾客提供最满意的产品和服务”的经营宗旨，</w:t>
      </w:r>
      <w:r>
        <w:rPr>
          <w:rFonts w:hint="eastAsia"/>
          <w:lang w:val="en-US" w:eastAsia="zh-CN"/>
        </w:rPr>
        <w:t>XXX</w:t>
      </w:r>
      <w:r>
        <w:rPr>
          <w:rFonts w:hint="eastAsia"/>
        </w:rPr>
        <w:t>有限公司郑重承诺：在确保肥料可靠性、稳定性的同时，不断改进服务质量，从售中到售后的交货、技术服务、用户技术培训等各方面，保证顾客能得到最好的服务，让顾客满意、放心。</w:t>
      </w:r>
    </w:p>
    <w:p>
      <w:pPr>
        <w:keepNext w:val="0"/>
        <w:keepLines w:val="0"/>
        <w:pageBreakBefore w:val="0"/>
        <w:widowControl w:val="0"/>
        <w:numPr>
          <w:ilvl w:val="0"/>
          <w:numId w:val="0"/>
        </w:numPr>
        <w:kinsoku/>
        <w:wordWrap/>
        <w:overflowPunct/>
        <w:topLinePunct w:val="0"/>
        <w:autoSpaceDE/>
        <w:autoSpaceDN/>
        <w:bidi w:val="0"/>
        <w:adjustRightInd w:val="0"/>
        <w:snapToGrid w:val="0"/>
        <w:ind w:left="0" w:firstLine="562" w:firstLineChars="200"/>
        <w:textAlignment w:val="auto"/>
        <w:rPr>
          <w:b/>
          <w:bCs/>
        </w:rPr>
      </w:pPr>
      <w:r>
        <w:rPr>
          <w:rFonts w:hint="eastAsia"/>
          <w:b/>
          <w:bCs/>
          <w:lang w:eastAsia="zh-CN" w:bidi="ar"/>
        </w:rPr>
        <w:t>（</w:t>
      </w:r>
      <w:r>
        <w:rPr>
          <w:rFonts w:hint="eastAsia"/>
          <w:b/>
          <w:bCs/>
          <w:lang w:val="en-US" w:eastAsia="zh-CN" w:bidi="ar"/>
        </w:rPr>
        <w:t>一</w:t>
      </w:r>
      <w:r>
        <w:rPr>
          <w:rFonts w:hint="eastAsia"/>
          <w:b/>
          <w:bCs/>
          <w:lang w:eastAsia="zh-CN" w:bidi="ar"/>
        </w:rPr>
        <w:t>）</w:t>
      </w:r>
      <w:r>
        <w:rPr>
          <w:rFonts w:hint="eastAsia"/>
          <w:b/>
          <w:bCs/>
          <w:lang w:bidi="ar"/>
        </w:rPr>
        <w:t>服务宗旨：</w:t>
      </w:r>
    </w:p>
    <w:p>
      <w:pPr>
        <w:keepNext w:val="0"/>
        <w:keepLines w:val="0"/>
        <w:pageBreakBefore w:val="0"/>
        <w:widowControl w:val="0"/>
        <w:numPr>
          <w:ilvl w:val="0"/>
          <w:numId w:val="0"/>
        </w:numPr>
        <w:kinsoku/>
        <w:wordWrap/>
        <w:overflowPunct/>
        <w:topLinePunct w:val="0"/>
        <w:autoSpaceDE/>
        <w:autoSpaceDN/>
        <w:bidi w:val="0"/>
        <w:adjustRightInd w:val="0"/>
        <w:snapToGrid w:val="0"/>
        <w:ind w:left="0" w:firstLine="560" w:firstLineChars="200"/>
        <w:textAlignment w:val="auto"/>
        <w:rPr>
          <w:rFonts w:hint="eastAsia" w:eastAsia="宋体"/>
          <w:lang w:eastAsia="zh-CN" w:bidi="ar"/>
        </w:rPr>
      </w:pPr>
      <w:r>
        <w:rPr>
          <w:rFonts w:hint="eastAsia"/>
          <w:lang w:val="en-US" w:eastAsia="zh-CN" w:bidi="ar"/>
        </w:rPr>
        <w:t>1、</w:t>
      </w:r>
      <w:r>
        <w:rPr>
          <w:rFonts w:hint="eastAsia"/>
          <w:lang w:bidi="ar"/>
        </w:rPr>
        <w:t>优秀的技术支持和售后服务队伍</w:t>
      </w:r>
    </w:p>
    <w:p>
      <w:pPr>
        <w:keepNext w:val="0"/>
        <w:keepLines w:val="0"/>
        <w:pageBreakBefore w:val="0"/>
        <w:widowControl w:val="0"/>
        <w:numPr>
          <w:ilvl w:val="0"/>
          <w:numId w:val="0"/>
        </w:numPr>
        <w:kinsoku/>
        <w:wordWrap/>
        <w:overflowPunct/>
        <w:topLinePunct w:val="0"/>
        <w:autoSpaceDE/>
        <w:autoSpaceDN/>
        <w:bidi w:val="0"/>
        <w:adjustRightInd w:val="0"/>
        <w:snapToGrid w:val="0"/>
        <w:ind w:left="0" w:firstLine="560" w:firstLineChars="200"/>
        <w:textAlignment w:val="auto"/>
        <w:rPr>
          <w:rFonts w:hint="eastAsia" w:eastAsia="宋体"/>
          <w:lang w:eastAsia="zh-CN" w:bidi="ar"/>
        </w:rPr>
      </w:pPr>
      <w:r>
        <w:rPr>
          <w:rFonts w:hint="eastAsia"/>
          <w:lang w:val="en-US" w:eastAsia="zh-CN" w:bidi="ar"/>
        </w:rPr>
        <w:t>2、</w:t>
      </w:r>
      <w:r>
        <w:rPr>
          <w:rFonts w:hint="eastAsia"/>
          <w:lang w:bidi="ar"/>
        </w:rPr>
        <w:t>完备的技术支持和售后服务体系</w:t>
      </w:r>
    </w:p>
    <w:p>
      <w:pPr>
        <w:keepNext w:val="0"/>
        <w:keepLines w:val="0"/>
        <w:pageBreakBefore w:val="0"/>
        <w:widowControl w:val="0"/>
        <w:numPr>
          <w:ilvl w:val="0"/>
          <w:numId w:val="0"/>
        </w:numPr>
        <w:kinsoku/>
        <w:wordWrap/>
        <w:overflowPunct/>
        <w:topLinePunct w:val="0"/>
        <w:autoSpaceDE/>
        <w:autoSpaceDN/>
        <w:bidi w:val="0"/>
        <w:adjustRightInd w:val="0"/>
        <w:snapToGrid w:val="0"/>
        <w:ind w:left="0" w:firstLine="560" w:firstLineChars="200"/>
        <w:textAlignment w:val="auto"/>
        <w:rPr>
          <w:lang w:bidi="ar"/>
        </w:rPr>
      </w:pPr>
      <w:r>
        <w:rPr>
          <w:rFonts w:hint="eastAsia"/>
          <w:lang w:val="en-US" w:eastAsia="zh-CN" w:bidi="ar"/>
        </w:rPr>
        <w:t>3、</w:t>
      </w:r>
      <w:r>
        <w:rPr>
          <w:rFonts w:hint="eastAsia"/>
          <w:lang w:bidi="ar"/>
        </w:rPr>
        <w:t>耐心、周到、热情的服务质量</w:t>
      </w:r>
    </w:p>
    <w:p>
      <w:pPr>
        <w:keepNext w:val="0"/>
        <w:keepLines w:val="0"/>
        <w:pageBreakBefore w:val="0"/>
        <w:widowControl w:val="0"/>
        <w:numPr>
          <w:ilvl w:val="0"/>
          <w:numId w:val="0"/>
        </w:numPr>
        <w:kinsoku/>
        <w:wordWrap/>
        <w:overflowPunct/>
        <w:topLinePunct w:val="0"/>
        <w:autoSpaceDE/>
        <w:autoSpaceDN/>
        <w:bidi w:val="0"/>
        <w:adjustRightInd w:val="0"/>
        <w:snapToGrid w:val="0"/>
        <w:ind w:left="0" w:firstLine="562" w:firstLineChars="200"/>
        <w:textAlignment w:val="auto"/>
        <w:rPr>
          <w:b/>
          <w:bCs/>
        </w:rPr>
      </w:pPr>
      <w:r>
        <w:rPr>
          <w:rFonts w:hint="eastAsia"/>
          <w:b/>
          <w:bCs/>
          <w:lang w:eastAsia="zh-CN" w:bidi="ar"/>
        </w:rPr>
        <w:t>（</w:t>
      </w:r>
      <w:r>
        <w:rPr>
          <w:rFonts w:hint="eastAsia"/>
          <w:b/>
          <w:bCs/>
          <w:lang w:val="en-US" w:eastAsia="zh-CN" w:bidi="ar"/>
        </w:rPr>
        <w:t>二</w:t>
      </w:r>
      <w:r>
        <w:rPr>
          <w:rFonts w:hint="eastAsia"/>
          <w:b/>
          <w:bCs/>
          <w:lang w:eastAsia="zh-CN" w:bidi="ar"/>
        </w:rPr>
        <w:t>）</w:t>
      </w:r>
      <w:r>
        <w:rPr>
          <w:rFonts w:hint="eastAsia"/>
          <w:b/>
          <w:bCs/>
          <w:lang w:bidi="ar"/>
        </w:rPr>
        <w:t>服务目标：</w:t>
      </w:r>
    </w:p>
    <w:p>
      <w:pPr>
        <w:keepNext w:val="0"/>
        <w:keepLines w:val="0"/>
        <w:pageBreakBefore w:val="0"/>
        <w:widowControl w:val="0"/>
        <w:kinsoku/>
        <w:wordWrap/>
        <w:overflowPunct/>
        <w:topLinePunct w:val="0"/>
        <w:autoSpaceDE/>
        <w:autoSpaceDN/>
        <w:bidi w:val="0"/>
        <w:adjustRightInd w:val="0"/>
        <w:snapToGrid w:val="0"/>
        <w:ind w:left="0" w:firstLine="560" w:firstLineChars="200"/>
        <w:textAlignment w:val="auto"/>
      </w:pPr>
      <w:r>
        <w:rPr>
          <w:rFonts w:hint="eastAsia"/>
          <w:lang w:bidi="ar"/>
        </w:rPr>
        <w:t>向用户方提供及时、可靠、专业的技术支持和售后服务。</w:t>
      </w:r>
    </w:p>
    <w:p>
      <w:pPr>
        <w:keepNext w:val="0"/>
        <w:keepLines w:val="0"/>
        <w:pageBreakBefore w:val="0"/>
        <w:widowControl w:val="0"/>
        <w:numPr>
          <w:ilvl w:val="0"/>
          <w:numId w:val="0"/>
        </w:numPr>
        <w:kinsoku/>
        <w:wordWrap/>
        <w:overflowPunct/>
        <w:topLinePunct w:val="0"/>
        <w:autoSpaceDE/>
        <w:autoSpaceDN/>
        <w:bidi w:val="0"/>
        <w:adjustRightInd w:val="0"/>
        <w:snapToGrid w:val="0"/>
        <w:ind w:left="0" w:firstLine="562" w:firstLineChars="200"/>
        <w:textAlignment w:val="auto"/>
      </w:pPr>
      <w:r>
        <w:rPr>
          <w:rFonts w:hint="eastAsia"/>
          <w:b/>
          <w:bCs/>
          <w:lang w:eastAsia="zh-CN" w:bidi="ar"/>
        </w:rPr>
        <w:t>（</w:t>
      </w:r>
      <w:r>
        <w:rPr>
          <w:rFonts w:hint="eastAsia"/>
          <w:b/>
          <w:bCs/>
          <w:lang w:val="en-US" w:eastAsia="zh-CN" w:bidi="ar"/>
        </w:rPr>
        <w:t>三</w:t>
      </w:r>
      <w:r>
        <w:rPr>
          <w:rFonts w:hint="eastAsia"/>
          <w:b/>
          <w:bCs/>
          <w:lang w:eastAsia="zh-CN" w:bidi="ar"/>
        </w:rPr>
        <w:t>）</w:t>
      </w:r>
      <w:r>
        <w:rPr>
          <w:rFonts w:hint="eastAsia"/>
          <w:b/>
          <w:bCs/>
          <w:lang w:bidi="ar"/>
        </w:rPr>
        <w:t>金牌服务</w:t>
      </w:r>
      <w:r>
        <w:rPr>
          <w:rFonts w:hint="eastAsia"/>
          <w:lang w:bidi="ar"/>
        </w:rPr>
        <w:t>：</w:t>
      </w:r>
    </w:p>
    <w:p>
      <w:pPr>
        <w:keepNext w:val="0"/>
        <w:keepLines w:val="0"/>
        <w:pageBreakBefore w:val="0"/>
        <w:widowControl w:val="0"/>
        <w:kinsoku/>
        <w:wordWrap/>
        <w:overflowPunct/>
        <w:topLinePunct w:val="0"/>
        <w:autoSpaceDE/>
        <w:autoSpaceDN/>
        <w:bidi w:val="0"/>
        <w:adjustRightInd w:val="0"/>
        <w:snapToGrid w:val="0"/>
        <w:ind w:left="0" w:firstLine="560" w:firstLineChars="200"/>
        <w:textAlignment w:val="auto"/>
        <w:rPr>
          <w:rFonts w:hint="eastAsia" w:eastAsia="宋体"/>
          <w:lang w:eastAsia="zh-CN"/>
        </w:rPr>
      </w:pPr>
      <w:r>
        <w:rPr>
          <w:rFonts w:hint="eastAsia"/>
          <w:lang w:bidi="ar"/>
        </w:rPr>
        <w:t>我们提供“金牌服务”表现主要包括以下几个方面：</w:t>
      </w:r>
    </w:p>
    <w:p>
      <w:pPr>
        <w:keepNext w:val="0"/>
        <w:keepLines w:val="0"/>
        <w:pageBreakBefore w:val="0"/>
        <w:widowControl w:val="0"/>
        <w:numPr>
          <w:ilvl w:val="0"/>
          <w:numId w:val="0"/>
        </w:numPr>
        <w:kinsoku/>
        <w:wordWrap/>
        <w:overflowPunct/>
        <w:topLinePunct w:val="0"/>
        <w:autoSpaceDE/>
        <w:autoSpaceDN/>
        <w:bidi w:val="0"/>
        <w:adjustRightInd w:val="0"/>
        <w:snapToGrid w:val="0"/>
        <w:ind w:left="0" w:firstLine="560" w:firstLineChars="200"/>
        <w:textAlignment w:val="auto"/>
        <w:rPr>
          <w:rFonts w:hint="eastAsia" w:eastAsia="宋体"/>
          <w:lang w:eastAsia="zh-CN"/>
        </w:rPr>
      </w:pPr>
      <w:r>
        <w:rPr>
          <w:rFonts w:hint="eastAsia"/>
          <w:lang w:val="en-US" w:eastAsia="zh-CN" w:bidi="ar"/>
        </w:rPr>
        <w:t>1、</w:t>
      </w:r>
      <w:r>
        <w:rPr>
          <w:rFonts w:hint="eastAsia"/>
          <w:lang w:bidi="ar"/>
        </w:rPr>
        <w:t>对客户表示热情、尊重和关注</w:t>
      </w:r>
    </w:p>
    <w:p>
      <w:pPr>
        <w:keepNext w:val="0"/>
        <w:keepLines w:val="0"/>
        <w:pageBreakBefore w:val="0"/>
        <w:widowControl w:val="0"/>
        <w:numPr>
          <w:ilvl w:val="0"/>
          <w:numId w:val="0"/>
        </w:numPr>
        <w:kinsoku/>
        <w:wordWrap/>
        <w:overflowPunct/>
        <w:topLinePunct w:val="0"/>
        <w:autoSpaceDE/>
        <w:autoSpaceDN/>
        <w:bidi w:val="0"/>
        <w:adjustRightInd w:val="0"/>
        <w:snapToGrid w:val="0"/>
        <w:ind w:left="0" w:firstLine="560" w:firstLineChars="200"/>
        <w:textAlignment w:val="auto"/>
        <w:rPr>
          <w:rFonts w:hint="eastAsia" w:eastAsia="宋体"/>
          <w:lang w:eastAsia="zh-CN"/>
        </w:rPr>
      </w:pPr>
      <w:r>
        <w:rPr>
          <w:rFonts w:hint="eastAsia"/>
          <w:lang w:val="en-US" w:eastAsia="zh-CN" w:bidi="ar"/>
        </w:rPr>
        <w:t>2、</w:t>
      </w:r>
      <w:r>
        <w:rPr>
          <w:rFonts w:hint="eastAsia"/>
          <w:lang w:bidi="ar"/>
        </w:rPr>
        <w:t>帮助客户解决问题</w:t>
      </w:r>
    </w:p>
    <w:p>
      <w:pPr>
        <w:keepNext w:val="0"/>
        <w:keepLines w:val="0"/>
        <w:pageBreakBefore w:val="0"/>
        <w:widowControl w:val="0"/>
        <w:numPr>
          <w:ilvl w:val="0"/>
          <w:numId w:val="0"/>
        </w:numPr>
        <w:kinsoku/>
        <w:wordWrap/>
        <w:overflowPunct/>
        <w:topLinePunct w:val="0"/>
        <w:autoSpaceDE/>
        <w:autoSpaceDN/>
        <w:bidi w:val="0"/>
        <w:adjustRightInd w:val="0"/>
        <w:snapToGrid w:val="0"/>
        <w:ind w:left="0" w:firstLine="560" w:firstLineChars="200"/>
        <w:textAlignment w:val="auto"/>
        <w:rPr>
          <w:rFonts w:hint="eastAsia" w:eastAsia="宋体"/>
          <w:lang w:eastAsia="zh-CN"/>
        </w:rPr>
      </w:pPr>
      <w:r>
        <w:rPr>
          <w:rFonts w:hint="eastAsia"/>
          <w:lang w:val="en-US" w:eastAsia="zh-CN" w:bidi="ar"/>
        </w:rPr>
        <w:t>3、</w:t>
      </w:r>
      <w:r>
        <w:rPr>
          <w:rFonts w:hint="eastAsia"/>
          <w:lang w:bidi="ar"/>
        </w:rPr>
        <w:t>迅速响应客户的需求</w:t>
      </w:r>
    </w:p>
    <w:p>
      <w:pPr>
        <w:keepNext w:val="0"/>
        <w:keepLines w:val="0"/>
        <w:pageBreakBefore w:val="0"/>
        <w:widowControl w:val="0"/>
        <w:numPr>
          <w:ilvl w:val="0"/>
          <w:numId w:val="0"/>
        </w:numPr>
        <w:kinsoku/>
        <w:wordWrap/>
        <w:overflowPunct/>
        <w:topLinePunct w:val="0"/>
        <w:autoSpaceDE/>
        <w:autoSpaceDN/>
        <w:bidi w:val="0"/>
        <w:adjustRightInd w:val="0"/>
        <w:snapToGrid w:val="0"/>
        <w:ind w:left="0" w:firstLine="560" w:firstLineChars="200"/>
        <w:textAlignment w:val="auto"/>
        <w:rPr>
          <w:rFonts w:hint="eastAsia" w:eastAsia="宋体"/>
          <w:lang w:eastAsia="zh-CN"/>
        </w:rPr>
      </w:pPr>
      <w:r>
        <w:rPr>
          <w:rFonts w:hint="eastAsia"/>
          <w:lang w:val="en-US" w:eastAsia="zh-CN" w:bidi="ar"/>
        </w:rPr>
        <w:t>4、</w:t>
      </w:r>
      <w:r>
        <w:rPr>
          <w:rFonts w:hint="eastAsia"/>
          <w:lang w:bidi="ar"/>
        </w:rPr>
        <w:t>始终以客户为中心</w:t>
      </w:r>
    </w:p>
    <w:p>
      <w:pPr>
        <w:keepNext w:val="0"/>
        <w:keepLines w:val="0"/>
        <w:pageBreakBefore w:val="0"/>
        <w:widowControl w:val="0"/>
        <w:numPr>
          <w:ilvl w:val="0"/>
          <w:numId w:val="0"/>
        </w:numPr>
        <w:kinsoku/>
        <w:wordWrap/>
        <w:overflowPunct/>
        <w:topLinePunct w:val="0"/>
        <w:autoSpaceDE/>
        <w:autoSpaceDN/>
        <w:bidi w:val="0"/>
        <w:adjustRightInd w:val="0"/>
        <w:snapToGrid w:val="0"/>
        <w:ind w:left="0" w:firstLine="560" w:firstLineChars="200"/>
        <w:textAlignment w:val="auto"/>
        <w:rPr>
          <w:rFonts w:hint="eastAsia" w:eastAsia="宋体"/>
          <w:lang w:eastAsia="zh-CN"/>
        </w:rPr>
      </w:pPr>
      <w:r>
        <w:rPr>
          <w:rFonts w:hint="eastAsia"/>
          <w:lang w:val="en-US" w:eastAsia="zh-CN" w:bidi="ar"/>
        </w:rPr>
        <w:t>5、</w:t>
      </w:r>
      <w:r>
        <w:rPr>
          <w:rFonts w:hint="eastAsia"/>
          <w:lang w:bidi="ar"/>
        </w:rPr>
        <w:t>持续提供优质服务</w:t>
      </w:r>
    </w:p>
    <w:p>
      <w:pPr>
        <w:keepNext w:val="0"/>
        <w:keepLines w:val="0"/>
        <w:pageBreakBefore w:val="0"/>
        <w:widowControl w:val="0"/>
        <w:numPr>
          <w:ilvl w:val="0"/>
          <w:numId w:val="0"/>
        </w:numPr>
        <w:kinsoku/>
        <w:wordWrap/>
        <w:overflowPunct/>
        <w:topLinePunct w:val="0"/>
        <w:autoSpaceDE/>
        <w:autoSpaceDN/>
        <w:bidi w:val="0"/>
        <w:adjustRightInd w:val="0"/>
        <w:snapToGrid w:val="0"/>
        <w:ind w:left="0" w:firstLine="560" w:firstLineChars="200"/>
        <w:textAlignment w:val="auto"/>
        <w:rPr>
          <w:rFonts w:hint="eastAsia" w:eastAsia="宋体"/>
          <w:lang w:eastAsia="zh-CN"/>
        </w:rPr>
      </w:pPr>
      <w:r>
        <w:rPr>
          <w:rFonts w:hint="eastAsia"/>
          <w:lang w:val="en-US" w:eastAsia="zh-CN" w:bidi="ar"/>
        </w:rPr>
        <w:t>6、</w:t>
      </w:r>
      <w:r>
        <w:rPr>
          <w:rFonts w:hint="eastAsia"/>
          <w:lang w:bidi="ar"/>
        </w:rPr>
        <w:t>设身处地的为客户着想</w:t>
      </w:r>
    </w:p>
    <w:p>
      <w:pPr>
        <w:keepNext w:val="0"/>
        <w:keepLines w:val="0"/>
        <w:pageBreakBefore w:val="0"/>
        <w:widowControl w:val="0"/>
        <w:numPr>
          <w:ilvl w:val="0"/>
          <w:numId w:val="0"/>
        </w:numPr>
        <w:kinsoku/>
        <w:wordWrap/>
        <w:overflowPunct/>
        <w:topLinePunct w:val="0"/>
        <w:autoSpaceDE/>
        <w:autoSpaceDN/>
        <w:bidi w:val="0"/>
        <w:adjustRightInd w:val="0"/>
        <w:snapToGrid w:val="0"/>
        <w:ind w:left="0" w:firstLine="560" w:firstLineChars="200"/>
        <w:textAlignment w:val="auto"/>
      </w:pPr>
      <w:r>
        <w:rPr>
          <w:rFonts w:hint="eastAsia"/>
          <w:lang w:val="en-US" w:eastAsia="zh-CN" w:bidi="ar"/>
        </w:rPr>
        <w:t>7、</w:t>
      </w:r>
      <w:r>
        <w:rPr>
          <w:rFonts w:hint="eastAsia"/>
          <w:lang w:bidi="ar"/>
        </w:rPr>
        <w:t>提供个性化的服务</w:t>
      </w:r>
    </w:p>
    <w:p>
      <w:pPr>
        <w:widowControl/>
        <w:spacing w:before="0" w:after="0" w:line="240" w:lineRule="auto"/>
        <w:ind w:firstLine="0" w:firstLineChars="0"/>
        <w:jc w:val="left"/>
      </w:pPr>
      <w:r>
        <w:br w:type="page"/>
      </w:r>
    </w:p>
    <w:p>
      <w:pPr>
        <w:pStyle w:val="5"/>
        <w:bidi w:val="0"/>
      </w:pPr>
      <w:bookmarkStart w:id="766" w:name="_Toc105600360"/>
      <w:bookmarkStart w:id="767" w:name="_Ref118206845"/>
      <w:bookmarkStart w:id="768" w:name="_Toc118233232"/>
      <w:bookmarkStart w:id="769" w:name="_Toc109300779"/>
      <w:bookmarkStart w:id="770" w:name="_Ref118206854"/>
      <w:bookmarkStart w:id="771" w:name="_Toc118293330"/>
      <w:bookmarkStart w:id="772" w:name="_Ref118206848"/>
      <w:bookmarkStart w:id="773" w:name="_Toc116121574"/>
      <w:bookmarkStart w:id="774" w:name="_Toc109319074"/>
      <w:bookmarkStart w:id="775" w:name="_Toc16168"/>
      <w:r>
        <w:rPr>
          <w:rFonts w:hint="eastAsia"/>
          <w:lang w:val="en-US" w:eastAsia="zh-CN"/>
        </w:rPr>
        <w:t>二</w:t>
      </w:r>
      <w:r>
        <w:rPr>
          <w:rFonts w:hint="default"/>
          <w:lang w:val="en-US" w:eastAsia="zh-CN"/>
        </w:rPr>
        <w:t>、</w:t>
      </w:r>
      <w:r>
        <w:rPr>
          <w:rFonts w:hint="eastAsia"/>
        </w:rPr>
        <w:t>售后服务体系</w:t>
      </w:r>
      <w:bookmarkEnd w:id="766"/>
      <w:bookmarkEnd w:id="767"/>
      <w:bookmarkEnd w:id="768"/>
      <w:bookmarkEnd w:id="769"/>
      <w:bookmarkEnd w:id="770"/>
      <w:bookmarkEnd w:id="771"/>
      <w:bookmarkEnd w:id="772"/>
      <w:bookmarkEnd w:id="773"/>
      <w:bookmarkEnd w:id="774"/>
      <w:bookmarkEnd w:id="775"/>
    </w:p>
    <w:p>
      <w:pPr>
        <w:pStyle w:val="6"/>
        <w:bidi w:val="0"/>
      </w:pPr>
      <w:bookmarkStart w:id="776" w:name="_Toc10180"/>
      <w:r>
        <w:rPr>
          <w:rFonts w:hint="eastAsia"/>
          <w:lang w:eastAsia="zh-CN"/>
        </w:rPr>
        <w:t>（</w:t>
      </w:r>
      <w:r>
        <w:rPr>
          <w:rFonts w:hint="eastAsia"/>
          <w:lang w:val="en-US" w:eastAsia="zh-CN"/>
        </w:rPr>
        <w:t>一</w:t>
      </w:r>
      <w:r>
        <w:rPr>
          <w:rFonts w:hint="eastAsia"/>
          <w:lang w:eastAsia="zh-CN"/>
        </w:rPr>
        <w:t>）</w:t>
      </w:r>
      <w:r>
        <w:rPr>
          <w:rFonts w:hint="eastAsia"/>
        </w:rPr>
        <w:t>健全的售后管控制度</w:t>
      </w:r>
      <w:bookmarkEnd w:id="776"/>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为加强客户服务的管理，提高客户服务水平，特制定本制度。</w:t>
      </w:r>
    </w:p>
    <w:p>
      <w:pPr>
        <w:keepNext w:val="0"/>
        <w:keepLines w:val="0"/>
        <w:pageBreakBefore w:val="0"/>
        <w:widowControl w:val="0"/>
        <w:kinsoku/>
        <w:wordWrap/>
        <w:overflowPunct/>
        <w:topLinePunct w:val="0"/>
        <w:autoSpaceDE/>
        <w:autoSpaceDN/>
        <w:bidi w:val="0"/>
        <w:adjustRightInd w:val="0"/>
        <w:snapToGrid w:val="0"/>
        <w:ind w:left="0" w:leftChars="0" w:firstLine="562" w:firstLineChars="200"/>
        <w:textAlignment w:val="auto"/>
        <w:rPr>
          <w:b/>
          <w:bCs/>
        </w:rPr>
      </w:pPr>
      <w:r>
        <w:rPr>
          <w:rFonts w:hint="eastAsia"/>
          <w:b/>
          <w:bCs/>
        </w:rPr>
        <w:t>（</w:t>
      </w:r>
      <w:r>
        <w:rPr>
          <w:rFonts w:hint="eastAsia"/>
          <w:b/>
          <w:bCs/>
          <w:lang w:val="en-US" w:eastAsia="zh-CN"/>
        </w:rPr>
        <w:t>一</w:t>
      </w:r>
      <w:r>
        <w:rPr>
          <w:rFonts w:hint="eastAsia"/>
          <w:b/>
          <w:bCs/>
        </w:rPr>
        <w:t>）售后服务部门职能</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val="en-US" w:eastAsia="zh-CN"/>
        </w:rPr>
        <w:t>1、</w:t>
      </w:r>
      <w:r>
        <w:rPr>
          <w:rFonts w:hint="eastAsia"/>
        </w:rPr>
        <w:t>搜集、接收和受理客户对公司产品的咨询与意见；</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val="en-US" w:eastAsia="zh-CN"/>
        </w:rPr>
        <w:t>2、</w:t>
      </w:r>
      <w:r>
        <w:rPr>
          <w:rFonts w:hint="eastAsia"/>
        </w:rPr>
        <w:t>处理各类客户投诉及市场投诉，第一时间反馈；</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val="en-US" w:eastAsia="zh-CN"/>
        </w:rPr>
        <w:t>3、</w:t>
      </w:r>
      <w:r>
        <w:rPr>
          <w:rFonts w:hint="eastAsia"/>
        </w:rPr>
        <w:t>负责客户回访与开展重点客户关怀计划，了解客户需求；</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val="en-US" w:eastAsia="zh-CN"/>
        </w:rPr>
        <w:t>4、</w:t>
      </w:r>
      <w:r>
        <w:rPr>
          <w:rFonts w:hint="eastAsia"/>
        </w:rPr>
        <w:t>保存客户基本资料，并进行整理、分类与更新；</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val="en-US" w:eastAsia="zh-CN"/>
        </w:rPr>
        <w:t>5、</w:t>
      </w:r>
      <w:r>
        <w:rPr>
          <w:rFonts w:hint="eastAsia"/>
        </w:rPr>
        <w:t>向相关部门反馈客户意见及建议；</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val="en-US" w:eastAsia="zh-CN"/>
        </w:rPr>
        <w:t>6、</w:t>
      </w:r>
      <w:r>
        <w:rPr>
          <w:rFonts w:hint="eastAsia"/>
        </w:rPr>
        <w:t>受理办事处的产品退货、换货。</w:t>
      </w:r>
    </w:p>
    <w:p>
      <w:pPr>
        <w:keepNext w:val="0"/>
        <w:keepLines w:val="0"/>
        <w:pageBreakBefore w:val="0"/>
        <w:widowControl w:val="0"/>
        <w:kinsoku/>
        <w:wordWrap/>
        <w:overflowPunct/>
        <w:topLinePunct w:val="0"/>
        <w:autoSpaceDE/>
        <w:autoSpaceDN/>
        <w:bidi w:val="0"/>
        <w:adjustRightInd w:val="0"/>
        <w:snapToGrid w:val="0"/>
        <w:ind w:left="0" w:leftChars="0" w:firstLine="562" w:firstLineChars="200"/>
        <w:textAlignment w:val="auto"/>
        <w:rPr>
          <w:b/>
          <w:bCs/>
        </w:rPr>
      </w:pPr>
      <w:r>
        <w:rPr>
          <w:rFonts w:hint="eastAsia"/>
          <w:b/>
          <w:bCs/>
        </w:rPr>
        <w:t>（</w:t>
      </w:r>
      <w:r>
        <w:rPr>
          <w:rFonts w:hint="eastAsia"/>
          <w:b/>
          <w:bCs/>
          <w:lang w:val="en-US" w:eastAsia="zh-CN"/>
        </w:rPr>
        <w:t>二</w:t>
      </w:r>
      <w:r>
        <w:rPr>
          <w:rFonts w:hint="eastAsia"/>
          <w:b/>
          <w:bCs/>
        </w:rPr>
        <w:t>）售后服务部门的主要工作说明</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val="en-US" w:eastAsia="zh-CN"/>
        </w:rPr>
        <w:t>1、</w:t>
      </w:r>
      <w:r>
        <w:rPr>
          <w:rFonts w:hint="eastAsia"/>
        </w:rPr>
        <w:t>搜集客户意见、建议</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通过各种渠道搜集对公司发展有益的意见及建议，比如热线、网站、邮箱等，好的建议及意见及时反馈给各相关部门。各办事处也积极搜集客户信息反馈，并及时发回公司，便于公司做出适于市场的调整。</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val="en-US" w:eastAsia="zh-CN"/>
        </w:rPr>
        <w:t>2、</w:t>
      </w:r>
      <w:r>
        <w:rPr>
          <w:rFonts w:hint="eastAsia"/>
        </w:rPr>
        <w:t>开展客户关怀、维系计划</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企业重点客户群是企业赖以生存及进一步发展的重要组成部分，通过对重点客户的回访与沟通，逐步完善客户需求，提升客户满意度。了解各地区客户对我们产品及服务工作的反馈，以便适时的发现各区域市场中的问题并及时解决，提高服务的主动性。</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val="en-US" w:eastAsia="zh-CN"/>
        </w:rPr>
        <w:t>3、</w:t>
      </w:r>
      <w:r>
        <w:rPr>
          <w:rFonts w:hint="eastAsia"/>
        </w:rPr>
        <w:t>建立售后服务标准，规范售后服务</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售后服务是对企业信誉和品牌形象的持久维护，公司要向自主品牌方向发展，售后服务更要朝向专业化、统一化和规范化的方向发展，真正满足各区域消费者的服务需求。</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公司办事处是公司服务与形象的延伸，公司建立完善的售后服务制度后，与各办事处统一执行，并对其服务进行有效的监督。</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val="en-US" w:eastAsia="zh-CN"/>
        </w:rPr>
        <w:t>4、</w:t>
      </w:r>
      <w:r>
        <w:rPr>
          <w:rFonts w:hint="eastAsia"/>
        </w:rPr>
        <w:t>及时快速的处理投诉</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所有投诉信息需及时反馈到公司的售后服务部，由售后服务部整理、过滤、检查、跟踪事件的进展，确保每个投诉案件都得到妥善解决，并认真分析总结造成客户投诉的原因，从根本上解决问题，预防同类投诉的再次发生。</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val="en-US" w:eastAsia="zh-CN"/>
        </w:rPr>
        <w:t>5、</w:t>
      </w:r>
      <w:r>
        <w:rPr>
          <w:rFonts w:hint="eastAsia"/>
        </w:rPr>
        <w:t>开展客户满意度、忠诚度调查</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eastAsia="zh-CN"/>
        </w:rPr>
        <w:t>（</w:t>
      </w:r>
      <w:r>
        <w:rPr>
          <w:rFonts w:hint="eastAsia"/>
          <w:lang w:val="en-US" w:eastAsia="zh-CN"/>
        </w:rPr>
        <w:t>1</w:t>
      </w:r>
      <w:r>
        <w:rPr>
          <w:rFonts w:hint="eastAsia"/>
          <w:lang w:eastAsia="zh-CN"/>
        </w:rPr>
        <w:t>）</w:t>
      </w:r>
      <w:r>
        <w:rPr>
          <w:rFonts w:hint="eastAsia"/>
        </w:rPr>
        <w:t>顾客满意度调查可以提升产品和服务的质量，同时从顾客的意见和建议当中寻找解决顾客不满的针对性的方案。</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eastAsia="zh-CN"/>
        </w:rPr>
        <w:t>（</w:t>
      </w:r>
      <w:r>
        <w:rPr>
          <w:rFonts w:hint="eastAsia"/>
          <w:lang w:val="en-US" w:eastAsia="zh-CN"/>
        </w:rPr>
        <w:t>2</w:t>
      </w:r>
      <w:r>
        <w:rPr>
          <w:rFonts w:hint="eastAsia"/>
          <w:lang w:eastAsia="zh-CN"/>
        </w:rPr>
        <w:t>）</w:t>
      </w:r>
      <w:r>
        <w:rPr>
          <w:rFonts w:hint="eastAsia"/>
        </w:rPr>
        <w:t>顾客满意度市场调查可以让广大消费者认识到公司对客户的重视性，对提升公司形象和品牌知名度有很大帮助。</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实践证明，客户的满意度和忠诚度是成正比的，而且客户好的评价还会带来对企业极为有利的市场效应。客户满意度调查结果将非常有利于公司产品经营策略的调整，也有利于更深层次的客户维护和客户挖掘。通过网络，电话等各种方法，及时、高效地发现及满足客户需求，从而最大程度上提高客户满意度及忠诚度，稳定现有客户，不断吸引新客户，挽回流失客户。</w:t>
      </w:r>
    </w:p>
    <w:p>
      <w:pPr>
        <w:keepNext w:val="0"/>
        <w:keepLines w:val="0"/>
        <w:pageBreakBefore w:val="0"/>
        <w:widowControl w:val="0"/>
        <w:kinsoku/>
        <w:wordWrap/>
        <w:overflowPunct/>
        <w:topLinePunct w:val="0"/>
        <w:autoSpaceDE/>
        <w:autoSpaceDN/>
        <w:bidi w:val="0"/>
        <w:adjustRightInd w:val="0"/>
        <w:snapToGrid w:val="0"/>
        <w:ind w:left="0" w:leftChars="0" w:firstLine="562" w:firstLineChars="200"/>
        <w:textAlignment w:val="auto"/>
        <w:rPr>
          <w:b/>
          <w:bCs/>
        </w:rPr>
      </w:pPr>
      <w:r>
        <w:rPr>
          <w:rFonts w:hint="eastAsia"/>
          <w:b/>
          <w:bCs/>
        </w:rPr>
        <w:t>（</w:t>
      </w:r>
      <w:r>
        <w:rPr>
          <w:rFonts w:hint="eastAsia"/>
          <w:b/>
          <w:bCs/>
          <w:lang w:val="en-US" w:eastAsia="zh-CN"/>
        </w:rPr>
        <w:t>三</w:t>
      </w:r>
      <w:r>
        <w:rPr>
          <w:rFonts w:hint="eastAsia"/>
          <w:b/>
          <w:bCs/>
        </w:rPr>
        <w:t>）售后服务</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val="en-US" w:eastAsia="zh-CN"/>
        </w:rPr>
        <w:t>1、</w:t>
      </w:r>
      <w:r>
        <w:rPr>
          <w:rFonts w:hint="eastAsia"/>
        </w:rPr>
        <w:t>本厂严格执行国家有关法律法规规定，承担产品质量责任。</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val="en-US" w:eastAsia="zh-CN"/>
        </w:rPr>
        <w:t>2、</w:t>
      </w:r>
      <w:r>
        <w:rPr>
          <w:rFonts w:hint="eastAsia"/>
        </w:rPr>
        <w:t>售后服务的内容</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eastAsia="zh-CN"/>
        </w:rPr>
        <w:t>（</w:t>
      </w:r>
      <w:r>
        <w:rPr>
          <w:rFonts w:hint="eastAsia"/>
          <w:lang w:val="en-US" w:eastAsia="zh-CN"/>
        </w:rPr>
        <w:t>1</w:t>
      </w:r>
      <w:r>
        <w:rPr>
          <w:rFonts w:hint="eastAsia"/>
          <w:lang w:eastAsia="zh-CN"/>
        </w:rPr>
        <w:t>）</w:t>
      </w:r>
      <w:r>
        <w:rPr>
          <w:rFonts w:hint="eastAsia"/>
        </w:rPr>
        <w:t>现场指导用户使用。</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eastAsia="zh-CN"/>
        </w:rPr>
        <w:t>（</w:t>
      </w:r>
      <w:r>
        <w:rPr>
          <w:rFonts w:hint="eastAsia"/>
          <w:lang w:val="en-US" w:eastAsia="zh-CN"/>
        </w:rPr>
        <w:t>2</w:t>
      </w:r>
      <w:r>
        <w:rPr>
          <w:rFonts w:hint="eastAsia"/>
          <w:lang w:eastAsia="zh-CN"/>
        </w:rPr>
        <w:t>）</w:t>
      </w:r>
      <w:r>
        <w:rPr>
          <w:rFonts w:hint="eastAsia"/>
        </w:rPr>
        <w:t>走访用户，征求意见，并及时处理用户投诉。</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eastAsia="zh-CN"/>
        </w:rPr>
        <w:t>（</w:t>
      </w:r>
      <w:r>
        <w:rPr>
          <w:rFonts w:hint="eastAsia"/>
          <w:lang w:val="en-US" w:eastAsia="zh-CN"/>
        </w:rPr>
        <w:t>3</w:t>
      </w:r>
      <w:r>
        <w:rPr>
          <w:rFonts w:hint="eastAsia"/>
          <w:lang w:eastAsia="zh-CN"/>
        </w:rPr>
        <w:t>）</w:t>
      </w:r>
      <w:r>
        <w:rPr>
          <w:rFonts w:hint="eastAsia"/>
        </w:rPr>
        <w:t>做好质量信息的收集、整理、分析和利用。</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val="en-US" w:eastAsia="zh-CN"/>
        </w:rPr>
        <w:t>3、</w:t>
      </w:r>
      <w:r>
        <w:rPr>
          <w:rFonts w:hint="eastAsia"/>
        </w:rPr>
        <w:t>建立产品售后服务队伍，配备业务能力强，服务态度好的服务人员，健全产品售后服务网络。</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val="en-US" w:eastAsia="zh-CN"/>
        </w:rPr>
        <w:t>4、</w:t>
      </w:r>
      <w:r>
        <w:rPr>
          <w:rFonts w:hint="eastAsia"/>
        </w:rPr>
        <w:t>产品售后服务人员的职责</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eastAsia="zh-CN"/>
        </w:rPr>
        <w:t>（</w:t>
      </w:r>
      <w:r>
        <w:rPr>
          <w:rFonts w:hint="eastAsia"/>
          <w:lang w:val="en-US" w:eastAsia="zh-CN"/>
        </w:rPr>
        <w:t>1</w:t>
      </w:r>
      <w:r>
        <w:rPr>
          <w:rFonts w:hint="eastAsia"/>
          <w:lang w:eastAsia="zh-CN"/>
        </w:rPr>
        <w:t>）</w:t>
      </w:r>
      <w:r>
        <w:rPr>
          <w:rFonts w:hint="eastAsia"/>
        </w:rPr>
        <w:t>指导用户使用，向用户介绍本厂产品使用和维护知识；</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eastAsia="zh-CN"/>
        </w:rPr>
        <w:t>（</w:t>
      </w:r>
      <w:r>
        <w:rPr>
          <w:rFonts w:hint="eastAsia"/>
          <w:lang w:val="en-US" w:eastAsia="zh-CN"/>
        </w:rPr>
        <w:t>2</w:t>
      </w:r>
      <w:r>
        <w:rPr>
          <w:rFonts w:hint="eastAsia"/>
          <w:lang w:eastAsia="zh-CN"/>
        </w:rPr>
        <w:t>）</w:t>
      </w:r>
      <w:r>
        <w:rPr>
          <w:rFonts w:hint="eastAsia"/>
        </w:rPr>
        <w:t>收集用户反馈信息，及时答复用户咨询，处理用户投诉；</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eastAsia="zh-CN"/>
        </w:rPr>
        <w:t>（</w:t>
      </w:r>
      <w:r>
        <w:rPr>
          <w:rFonts w:hint="eastAsia"/>
          <w:lang w:val="en-US" w:eastAsia="zh-CN"/>
        </w:rPr>
        <w:t>3</w:t>
      </w:r>
      <w:r>
        <w:rPr>
          <w:rFonts w:hint="eastAsia"/>
          <w:lang w:eastAsia="zh-CN"/>
        </w:rPr>
        <w:t>）</w:t>
      </w:r>
      <w:r>
        <w:rPr>
          <w:rFonts w:hint="eastAsia"/>
        </w:rPr>
        <w:t>履行质量职责。执行国家有关法律法规规定，确保用户满意。</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val="en-US" w:eastAsia="zh-CN"/>
        </w:rPr>
        <w:t>5、</w:t>
      </w:r>
      <w:r>
        <w:rPr>
          <w:rFonts w:hint="eastAsia"/>
        </w:rPr>
        <w:t>服务实施</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eastAsia="zh-CN"/>
        </w:rPr>
        <w:t>（</w:t>
      </w:r>
      <w:r>
        <w:rPr>
          <w:rFonts w:hint="eastAsia"/>
          <w:lang w:val="en-US" w:eastAsia="zh-CN"/>
        </w:rPr>
        <w:t>1</w:t>
      </w:r>
      <w:r>
        <w:rPr>
          <w:rFonts w:hint="eastAsia"/>
          <w:lang w:eastAsia="zh-CN"/>
        </w:rPr>
        <w:t>）</w:t>
      </w:r>
      <w:r>
        <w:rPr>
          <w:rFonts w:hint="eastAsia"/>
        </w:rPr>
        <w:t>售后服务部门应积极开展产品售后服务工作。对重点用户走访每年致少一次，认真听取用户意见，并将收集到的用户信息加以整理分析写出报告。</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eastAsia="zh-CN"/>
        </w:rPr>
        <w:t>（</w:t>
      </w:r>
      <w:r>
        <w:rPr>
          <w:rFonts w:hint="eastAsia"/>
          <w:lang w:val="en-US" w:eastAsia="zh-CN"/>
        </w:rPr>
        <w:t>2</w:t>
      </w:r>
      <w:r>
        <w:rPr>
          <w:rFonts w:hint="eastAsia"/>
          <w:lang w:eastAsia="zh-CN"/>
        </w:rPr>
        <w:t>）</w:t>
      </w:r>
      <w:r>
        <w:rPr>
          <w:rFonts w:hint="eastAsia"/>
        </w:rPr>
        <w:t>对于用户来人、来函、来电和用户走访反映的产品质量、服务质量、包装质量等问题，售后服务部门也要逐一记录并及时向有关部门反馈。如需到现场服务时应立即通知服务人员赴现场处理。</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eastAsia="zh-CN"/>
        </w:rPr>
        <w:t>（</w:t>
      </w:r>
      <w:r>
        <w:rPr>
          <w:rFonts w:hint="eastAsia"/>
          <w:lang w:val="en-US" w:eastAsia="zh-CN"/>
        </w:rPr>
        <w:t>3</w:t>
      </w:r>
      <w:r>
        <w:rPr>
          <w:rFonts w:hint="eastAsia"/>
          <w:lang w:eastAsia="zh-CN"/>
        </w:rPr>
        <w:t>）</w:t>
      </w:r>
      <w:r>
        <w:rPr>
          <w:rFonts w:hint="eastAsia"/>
        </w:rPr>
        <w:t>技术服务人员、销售人员及其他人员在和用户接触中收集到的信息，要及时向有关部门反馈。</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eastAsia="zh-CN"/>
        </w:rPr>
        <w:t>（</w:t>
      </w:r>
      <w:r>
        <w:rPr>
          <w:rFonts w:hint="eastAsia"/>
          <w:lang w:val="en-US" w:eastAsia="zh-CN"/>
        </w:rPr>
        <w:t>4</w:t>
      </w:r>
      <w:r>
        <w:rPr>
          <w:rFonts w:hint="eastAsia"/>
          <w:lang w:eastAsia="zh-CN"/>
        </w:rPr>
        <w:t>）</w:t>
      </w:r>
      <w:r>
        <w:rPr>
          <w:rFonts w:hint="eastAsia"/>
        </w:rPr>
        <w:t>服务人员去用户单位现场服务时应当认真履行职责，认真帮助用户解决质量问题，确保用户满意，并填写《售后服务记录》经用户签署意见后带回，返回后5日内交售后服务部门存档备查。</w:t>
      </w:r>
    </w:p>
    <w:p>
      <w:pPr>
        <w:pStyle w:val="6"/>
        <w:bidi w:val="0"/>
      </w:pPr>
      <w:bookmarkStart w:id="777" w:name="_Toc23176"/>
      <w:r>
        <w:rPr>
          <w:rFonts w:hint="eastAsia"/>
          <w:lang w:eastAsia="zh-CN"/>
        </w:rPr>
        <w:t>（</w:t>
      </w:r>
      <w:r>
        <w:rPr>
          <w:rFonts w:hint="eastAsia"/>
          <w:lang w:val="en-US" w:eastAsia="zh-CN"/>
        </w:rPr>
        <w:t>二</w:t>
      </w:r>
      <w:r>
        <w:rPr>
          <w:rFonts w:hint="eastAsia"/>
          <w:lang w:eastAsia="zh-CN"/>
        </w:rPr>
        <w:t>）</w:t>
      </w:r>
      <w:r>
        <w:rPr>
          <w:rFonts w:hint="eastAsia"/>
        </w:rPr>
        <w:t>完善的退换货流程</w:t>
      </w:r>
      <w:bookmarkEnd w:id="777"/>
    </w:p>
    <w:p>
      <w:pPr>
        <w:ind w:firstLine="480"/>
      </w:pPr>
      <w:r>
        <w:rPr>
          <w:rFonts w:hint="eastAsia"/>
        </w:rPr>
        <w:t>为加强公司退换货管理,规范退换货流程,避免公司在退换货过程中产生不必要的损失,特制定本规定。正常销售产生的退换：如发生质量问题，我公司应在接到通知后2小时内能立即做出响应,业务人员可以进行换货,但退换商品必须保证包装完好，且换货金额必须大于要退换的商品金额。商品因包装损坏等质量问题,由该区所辖业务员确认后到公司进行退换货申请,一般只限同类商品换货,如客户要求更换其他商品,需有部门经理审批同意方可更换。</w:t>
      </w:r>
    </w:p>
    <w:p>
      <w:pPr>
        <w:pStyle w:val="52"/>
      </w:pPr>
      <w:r>
        <w:drawing>
          <wp:inline distT="0" distB="0" distL="0" distR="0">
            <wp:extent cx="5277485" cy="3971290"/>
            <wp:effectExtent l="0" t="0" r="18415" b="10160"/>
            <wp:docPr id="75" name="图片 75"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图示, 示意图&#10;&#10;描述已自动生成"/>
                    <pic:cNvPicPr>
                      <a:picLocks noChangeAspect="1"/>
                    </pic:cNvPicPr>
                  </pic:nvPicPr>
                  <pic:blipFill>
                    <a:blip r:embed="rId63"/>
                    <a:srcRect/>
                    <a:stretch>
                      <a:fillRect/>
                    </a:stretch>
                  </pic:blipFill>
                  <pic:spPr>
                    <a:xfrm>
                      <a:off x="0" y="0"/>
                      <a:ext cx="5282257" cy="3974665"/>
                    </a:xfrm>
                    <a:prstGeom prst="rect">
                      <a:avLst/>
                    </a:prstGeom>
                    <a:ln>
                      <a:noFill/>
                    </a:ln>
                  </pic:spPr>
                </pic:pic>
              </a:graphicData>
            </a:graphic>
          </wp:inline>
        </w:drawing>
      </w:r>
    </w:p>
    <w:p>
      <w:pPr>
        <w:pStyle w:val="5"/>
        <w:bidi w:val="0"/>
      </w:pPr>
      <w:bookmarkStart w:id="778" w:name="_Toc118293331"/>
      <w:bookmarkStart w:id="779" w:name="_Toc105600362"/>
      <w:bookmarkStart w:id="780" w:name="_Toc23711"/>
      <w:bookmarkStart w:id="781" w:name="_Toc116121576"/>
      <w:bookmarkStart w:id="782" w:name="_Ref118206899"/>
      <w:bookmarkStart w:id="783" w:name="_Ref118206887"/>
      <w:bookmarkStart w:id="784" w:name="_Toc118233234"/>
      <w:bookmarkStart w:id="785" w:name="_Ref118206890"/>
      <w:r>
        <w:rPr>
          <w:rFonts w:hint="eastAsia"/>
          <w:lang w:val="en-US" w:eastAsia="zh-CN"/>
        </w:rPr>
        <w:t>三</w:t>
      </w:r>
      <w:r>
        <w:rPr>
          <w:rFonts w:hint="default"/>
          <w:lang w:val="en-US" w:eastAsia="zh-CN"/>
        </w:rPr>
        <w:t>、</w:t>
      </w:r>
      <w:r>
        <w:rPr>
          <w:rFonts w:hint="eastAsia"/>
        </w:rPr>
        <w:t>售后服务流程</w:t>
      </w:r>
      <w:bookmarkEnd w:id="778"/>
      <w:bookmarkEnd w:id="779"/>
      <w:bookmarkEnd w:id="780"/>
      <w:bookmarkEnd w:id="781"/>
      <w:bookmarkEnd w:id="782"/>
      <w:bookmarkEnd w:id="783"/>
      <w:bookmarkEnd w:id="784"/>
      <w:bookmarkEnd w:id="785"/>
    </w:p>
    <w:p>
      <w:pPr>
        <w:pStyle w:val="52"/>
      </w:pPr>
      <w:r>
        <w:drawing>
          <wp:inline distT="0" distB="0" distL="0" distR="0">
            <wp:extent cx="5277485" cy="6496050"/>
            <wp:effectExtent l="0" t="0" r="18415" b="0"/>
            <wp:docPr id="121" name="图片 121" descr="图片包含 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图片包含 日程表&#10;&#10;描述已自动生成"/>
                    <pic:cNvPicPr>
                      <a:picLocks noChangeAspect="1"/>
                    </pic:cNvPicPr>
                  </pic:nvPicPr>
                  <pic:blipFill>
                    <a:blip r:embed="rId64"/>
                    <a:stretch>
                      <a:fillRect/>
                    </a:stretch>
                  </pic:blipFill>
                  <pic:spPr>
                    <a:xfrm>
                      <a:off x="0" y="0"/>
                      <a:ext cx="5285182" cy="6505107"/>
                    </a:xfrm>
                    <a:prstGeom prst="rect">
                      <a:avLst/>
                    </a:prstGeom>
                  </pic:spPr>
                </pic:pic>
              </a:graphicData>
            </a:graphic>
          </wp:inline>
        </w:drawing>
      </w:r>
    </w:p>
    <w:p>
      <w:pPr>
        <w:widowControl/>
        <w:spacing w:before="0" w:after="0" w:line="240" w:lineRule="auto"/>
        <w:ind w:firstLine="0" w:firstLineChars="0"/>
        <w:jc w:val="left"/>
      </w:pPr>
      <w:r>
        <w:br w:type="page"/>
      </w:r>
    </w:p>
    <w:p>
      <w:pPr>
        <w:pStyle w:val="5"/>
        <w:bidi w:val="0"/>
      </w:pPr>
      <w:bookmarkStart w:id="786" w:name="_Toc109300782"/>
      <w:bookmarkStart w:id="787" w:name="_Toc118233244"/>
      <w:bookmarkStart w:id="788" w:name="_Ref118207085"/>
      <w:bookmarkStart w:id="789" w:name="_Toc116121586"/>
      <w:bookmarkStart w:id="790" w:name="_Ref118207077"/>
      <w:bookmarkStart w:id="791" w:name="_Toc118293332"/>
      <w:bookmarkStart w:id="792" w:name="_Ref118207079"/>
      <w:bookmarkStart w:id="793" w:name="_Toc109319077"/>
      <w:bookmarkStart w:id="794" w:name="_Toc9896"/>
      <w:bookmarkStart w:id="795" w:name="_Toc105600372"/>
      <w:bookmarkStart w:id="796" w:name="_Ref118206916"/>
      <w:bookmarkStart w:id="797" w:name="_Ref118206904"/>
      <w:bookmarkStart w:id="798" w:name="_Toc118233235"/>
      <w:bookmarkStart w:id="799" w:name="_Toc105600363"/>
      <w:bookmarkStart w:id="800" w:name="_Ref118206906"/>
      <w:bookmarkStart w:id="801" w:name="_Toc116121577"/>
      <w:r>
        <w:rPr>
          <w:rFonts w:hint="eastAsia"/>
          <w:lang w:val="en-US" w:eastAsia="zh-CN"/>
        </w:rPr>
        <w:t>四</w:t>
      </w:r>
      <w:r>
        <w:rPr>
          <w:rFonts w:hint="default"/>
          <w:lang w:val="en-US" w:eastAsia="zh-CN"/>
        </w:rPr>
        <w:t>、</w:t>
      </w:r>
      <w:r>
        <w:rPr>
          <w:rFonts w:hint="eastAsia"/>
        </w:rPr>
        <w:t>服务机构及售后服务方式</w:t>
      </w:r>
      <w:bookmarkEnd w:id="786"/>
      <w:bookmarkEnd w:id="787"/>
      <w:bookmarkEnd w:id="788"/>
      <w:bookmarkEnd w:id="789"/>
      <w:bookmarkEnd w:id="790"/>
      <w:bookmarkEnd w:id="791"/>
      <w:bookmarkEnd w:id="792"/>
      <w:bookmarkEnd w:id="793"/>
      <w:bookmarkEnd w:id="794"/>
      <w:bookmarkEnd w:id="795"/>
    </w:p>
    <w:p>
      <w:pPr>
        <w:ind w:firstLine="480"/>
      </w:pPr>
      <w:r>
        <w:rPr>
          <w:rFonts w:hint="eastAsia"/>
        </w:rPr>
        <w:t>我公司目前已经基本实施了</w:t>
      </w:r>
      <w:r>
        <w:rPr>
          <w:rFonts w:hint="eastAsia"/>
          <w:lang w:val="en-US" w:eastAsia="zh-CN"/>
        </w:rPr>
        <w:t>XX</w:t>
      </w:r>
      <w:r>
        <w:rPr>
          <w:rFonts w:hint="eastAsia"/>
        </w:rPr>
        <w:t>省售后服务站点全覆盖，在</w:t>
      </w:r>
      <w:r>
        <w:rPr>
          <w:rFonts w:hint="eastAsia"/>
          <w:lang w:val="en-US" w:eastAsia="zh-CN"/>
        </w:rPr>
        <w:t>XX</w:t>
      </w:r>
      <w:r>
        <w:rPr>
          <w:rFonts w:hint="eastAsia"/>
        </w:rPr>
        <w:t>省内各地均设有售后服务站点。在本次采购项目地点已经分别设立1个售后服务站点，如果我公司中标，将按下列标准在供货所在地设立1个售后服务站点。售后服务站点配置如下：</w:t>
      </w:r>
    </w:p>
    <w:p>
      <w:pPr>
        <w:ind w:firstLine="480"/>
        <w:rPr>
          <w:rFonts w:hint="eastAsia" w:eastAsia="宋体"/>
          <w:lang w:eastAsia="zh-CN"/>
        </w:rPr>
      </w:pPr>
      <w:r>
        <w:rPr>
          <w:rFonts w:hint="eastAsia"/>
          <w:lang w:eastAsia="zh-CN"/>
        </w:rPr>
        <w:t>（</w:t>
      </w:r>
      <w:r>
        <w:rPr>
          <w:rFonts w:hint="eastAsia"/>
          <w:lang w:val="en-US" w:eastAsia="zh-CN"/>
        </w:rPr>
        <w:t>一</w:t>
      </w:r>
      <w:r>
        <w:rPr>
          <w:rFonts w:hint="eastAsia"/>
          <w:lang w:eastAsia="zh-CN"/>
        </w:rPr>
        <w:t>）</w:t>
      </w:r>
      <w:r>
        <w:rPr>
          <w:rFonts w:hint="eastAsia"/>
        </w:rPr>
        <w:t>基本售后服务站点设售后服务经理一名，文员一名、售后主管一名。各地分公司售后人员编制根据工作量而定。</w:t>
      </w:r>
    </w:p>
    <w:p>
      <w:pPr>
        <w:ind w:firstLine="480"/>
      </w:pPr>
      <w:r>
        <w:rPr>
          <w:rFonts w:hint="eastAsia"/>
          <w:lang w:eastAsia="zh-CN"/>
        </w:rPr>
        <w:t>（</w:t>
      </w:r>
      <w:r>
        <w:rPr>
          <w:rFonts w:hint="eastAsia"/>
          <w:lang w:val="en-US" w:eastAsia="zh-CN"/>
        </w:rPr>
        <w:t>二</w:t>
      </w:r>
      <w:r>
        <w:rPr>
          <w:rFonts w:hint="eastAsia"/>
          <w:lang w:eastAsia="zh-CN"/>
        </w:rPr>
        <w:t>）</w:t>
      </w:r>
      <w:r>
        <w:rPr>
          <w:rFonts w:hint="eastAsia"/>
        </w:rPr>
        <w:t>售后站点人员职位级别参照公司薪酬体系的相关规定执行。售后服务站点作为公司的服务机构,负责管理公司的各地服务网点对公司的销售产品进行有效的售后服务,协调经销商关系。争取资源</w:t>
      </w:r>
      <w:r>
        <w:rPr>
          <w:rFonts w:hint="eastAsia"/>
          <w:lang w:eastAsia="zh-CN"/>
        </w:rPr>
        <w:t>，</w:t>
      </w:r>
      <w:r>
        <w:rPr>
          <w:rFonts w:hint="eastAsia"/>
        </w:rPr>
        <w:t>为销售保驾护航。</w:t>
      </w:r>
    </w:p>
    <w:p>
      <w:pPr>
        <w:ind w:firstLine="480"/>
        <w:rPr>
          <w:rFonts w:hint="eastAsia" w:eastAsia="宋体"/>
          <w:lang w:eastAsia="zh-CN"/>
        </w:rPr>
      </w:pPr>
      <w:r>
        <w:rPr>
          <w:rFonts w:hint="eastAsia"/>
        </w:rPr>
        <w:t>1、加强服务工作的组织和管理,合理运作,提高自身服务水平；</w:t>
      </w:r>
    </w:p>
    <w:p>
      <w:pPr>
        <w:ind w:firstLine="480"/>
        <w:rPr>
          <w:rFonts w:hint="eastAsia" w:eastAsia="宋体"/>
          <w:lang w:eastAsia="zh-CN"/>
        </w:rPr>
      </w:pPr>
      <w:r>
        <w:rPr>
          <w:rFonts w:hint="eastAsia"/>
        </w:rPr>
        <w:t>2、执行国家有关法令,贯彻和落实公司有关售后服务管理的各项规章制度,并制定具体实施方案,组织实施；</w:t>
      </w:r>
    </w:p>
    <w:p>
      <w:pPr>
        <w:ind w:firstLine="480"/>
        <w:rPr>
          <w:rFonts w:hint="eastAsia" w:eastAsia="宋体"/>
          <w:lang w:eastAsia="zh-CN"/>
        </w:rPr>
      </w:pPr>
      <w:r>
        <w:rPr>
          <w:rFonts w:hint="eastAsia"/>
        </w:rPr>
        <w:t>3、坚持“服务好每一位客户”的服务宗旨,为用户提供优质服务</w:t>
      </w:r>
    </w:p>
    <w:p>
      <w:pPr>
        <w:ind w:firstLine="480"/>
        <w:rPr>
          <w:rFonts w:hint="eastAsia" w:eastAsia="宋体"/>
          <w:lang w:eastAsia="zh-CN"/>
        </w:rPr>
      </w:pPr>
      <w:r>
        <w:rPr>
          <w:rFonts w:hint="eastAsia"/>
        </w:rPr>
        <w:t>4、制订相应岗位责任制度的考核办法和考评方案；</w:t>
      </w:r>
    </w:p>
    <w:p>
      <w:pPr>
        <w:ind w:firstLine="480"/>
      </w:pPr>
      <w:r>
        <w:rPr>
          <w:rFonts w:hint="eastAsia"/>
        </w:rPr>
        <w:t>5、遵守公司的规章制度,按时汇总和上报有关客服工作的报表；</w:t>
      </w:r>
    </w:p>
    <w:p>
      <w:pPr>
        <w:ind w:firstLine="480"/>
      </w:pPr>
      <w:r>
        <w:rPr>
          <w:rFonts w:hint="eastAsia"/>
        </w:rPr>
        <w:t>6、负责客户的接待和服务,受理接受客户的意见和投诉,定期拜访和电话回访；</w:t>
      </w:r>
    </w:p>
    <w:p>
      <w:pPr>
        <w:ind w:firstLine="480"/>
        <w:rPr>
          <w:rFonts w:hint="eastAsia" w:eastAsia="宋体"/>
          <w:lang w:eastAsia="zh-CN"/>
        </w:rPr>
      </w:pPr>
      <w:r>
        <w:rPr>
          <w:rFonts w:hint="eastAsia"/>
        </w:rPr>
        <w:t>7、建立完整的各种原始资料,对用户资料要保守秘密、妥善管理,并及时作好用户资料的增、删、改工作,确保与用户实际情况相符；</w:t>
      </w:r>
    </w:p>
    <w:p>
      <w:pPr>
        <w:ind w:firstLine="480"/>
        <w:rPr>
          <w:rFonts w:hint="eastAsia" w:eastAsia="宋体"/>
          <w:lang w:eastAsia="zh-CN"/>
        </w:rPr>
      </w:pPr>
      <w:r>
        <w:rPr>
          <w:rFonts w:hint="eastAsia"/>
        </w:rPr>
        <w:t>8、适时向用户宣传机器的新功能、新技术和企业文化业务的发展</w:t>
      </w:r>
    </w:p>
    <w:p>
      <w:pPr>
        <w:ind w:firstLine="480"/>
        <w:rPr>
          <w:rFonts w:hint="eastAsia" w:eastAsia="宋体"/>
          <w:lang w:eastAsia="zh-CN"/>
        </w:rPr>
      </w:pPr>
      <w:r>
        <w:rPr>
          <w:rFonts w:hint="eastAsia"/>
        </w:rPr>
        <w:t>9、接受用户的咨询和投诉,解答用户提出的各种各样的知识</w:t>
      </w:r>
      <w:r>
        <w:rPr>
          <w:rFonts w:hint="eastAsia"/>
          <w:lang w:eastAsia="zh-CN"/>
        </w:rPr>
        <w:t>（</w:t>
      </w:r>
      <w:r>
        <w:rPr>
          <w:rFonts w:hint="eastAsia"/>
        </w:rPr>
        <w:t>使用、保养、维护</w:t>
      </w:r>
      <w:r>
        <w:rPr>
          <w:rFonts w:hint="eastAsia"/>
          <w:lang w:eastAsia="zh-CN"/>
        </w:rPr>
        <w:t>）</w:t>
      </w:r>
      <w:r>
        <w:rPr>
          <w:rFonts w:hint="eastAsia"/>
        </w:rPr>
        <w:t>,并作好用户投诉和处理结果记录,对不能及时解决的问题,应及时向相关部门反馈,并在规定时限内答复用户；</w:t>
      </w:r>
    </w:p>
    <w:p>
      <w:pPr>
        <w:ind w:firstLine="480"/>
        <w:rPr>
          <w:rFonts w:hint="eastAsia" w:eastAsia="宋体"/>
          <w:lang w:eastAsia="zh-CN"/>
        </w:rPr>
      </w:pPr>
      <w:r>
        <w:rPr>
          <w:rFonts w:hint="eastAsia"/>
        </w:rPr>
        <w:t>10、执行各项规章制度和服务标准,分清职责,责任到人；</w:t>
      </w:r>
    </w:p>
    <w:p>
      <w:pPr>
        <w:ind w:firstLine="480"/>
        <w:rPr>
          <w:rFonts w:hint="eastAsia" w:eastAsia="宋体"/>
          <w:lang w:eastAsia="zh-CN"/>
        </w:rPr>
      </w:pPr>
      <w:r>
        <w:rPr>
          <w:rFonts w:hint="eastAsia"/>
        </w:rPr>
        <w:t>12、认真组织服务人员,作好各项计划,及时完成售后服务任务；</w:t>
      </w:r>
    </w:p>
    <w:p>
      <w:pPr>
        <w:ind w:firstLine="480"/>
        <w:rPr>
          <w:rFonts w:hint="eastAsia" w:eastAsia="宋体"/>
          <w:lang w:eastAsia="zh-CN"/>
        </w:rPr>
      </w:pPr>
      <w:r>
        <w:rPr>
          <w:rFonts w:hint="eastAsia"/>
        </w:rPr>
        <w:t>13、执行安全规章制度,制定安全措施,严格服务流程,确保安全生产无事故。</w:t>
      </w:r>
    </w:p>
    <w:p>
      <w:pPr>
        <w:rPr>
          <w:rFonts w:hint="eastAsia"/>
          <w:lang w:val="en-US" w:eastAsia="zh-CN"/>
        </w:rPr>
      </w:pPr>
      <w:bookmarkStart w:id="802" w:name="_Toc118293333"/>
      <w:r>
        <w:rPr>
          <w:rFonts w:hint="eastAsia"/>
          <w:lang w:val="en-US" w:eastAsia="zh-CN"/>
        </w:rPr>
        <w:br w:type="page"/>
      </w:r>
    </w:p>
    <w:p>
      <w:pPr>
        <w:pStyle w:val="5"/>
        <w:bidi w:val="0"/>
      </w:pPr>
      <w:bookmarkStart w:id="803" w:name="_Toc14678"/>
      <w:r>
        <w:rPr>
          <w:rFonts w:hint="eastAsia"/>
          <w:lang w:val="en-US" w:eastAsia="zh-CN"/>
        </w:rPr>
        <w:t>五</w:t>
      </w:r>
      <w:r>
        <w:rPr>
          <w:rFonts w:hint="default"/>
          <w:lang w:val="en-US" w:eastAsia="zh-CN"/>
        </w:rPr>
        <w:t>、</w:t>
      </w:r>
      <w:r>
        <w:rPr>
          <w:rFonts w:hint="eastAsia"/>
        </w:rPr>
        <w:t>售后服务及保障措施</w:t>
      </w:r>
      <w:bookmarkEnd w:id="796"/>
      <w:bookmarkEnd w:id="797"/>
      <w:bookmarkEnd w:id="798"/>
      <w:bookmarkEnd w:id="799"/>
      <w:bookmarkEnd w:id="800"/>
      <w:bookmarkEnd w:id="801"/>
      <w:bookmarkEnd w:id="802"/>
      <w:bookmarkEnd w:id="803"/>
    </w:p>
    <w:p>
      <w:pPr>
        <w:ind w:firstLine="480"/>
      </w:pPr>
      <w:r>
        <w:rPr>
          <w:rFonts w:hint="eastAsia"/>
        </w:rPr>
        <w:t>本公司结合长期从事肥料生产及供应服务的经验，</w:t>
      </w:r>
      <w:r>
        <w:t>为使采购单位感到真正满意，提供及时、迅速、优质的售后服务，特制定以下服务措施：</w:t>
      </w:r>
    </w:p>
    <w:p>
      <w:pPr>
        <w:pStyle w:val="6"/>
        <w:bidi w:val="0"/>
      </w:pPr>
      <w:bookmarkStart w:id="804" w:name="_Toc18910"/>
      <w:r>
        <w:rPr>
          <w:rFonts w:hint="eastAsia"/>
          <w:lang w:eastAsia="zh-CN"/>
        </w:rPr>
        <w:t>（</w:t>
      </w:r>
      <w:r>
        <w:rPr>
          <w:rFonts w:hint="eastAsia"/>
          <w:lang w:val="en-US" w:eastAsia="zh-CN"/>
        </w:rPr>
        <w:t>一</w:t>
      </w:r>
      <w:r>
        <w:rPr>
          <w:rFonts w:hint="eastAsia"/>
          <w:lang w:eastAsia="zh-CN"/>
        </w:rPr>
        <w:t>）</w:t>
      </w:r>
      <w:r>
        <w:rPr>
          <w:rFonts w:hint="eastAsia"/>
        </w:rPr>
        <w:t>产品质量保证</w:t>
      </w:r>
      <w:bookmarkEnd w:id="804"/>
    </w:p>
    <w:p>
      <w:pPr>
        <w:ind w:firstLine="480"/>
      </w:pPr>
      <w:r>
        <w:rPr>
          <w:rFonts w:hint="eastAsia"/>
          <w:lang w:eastAsia="zh-CN"/>
        </w:rPr>
        <w:t>（</w:t>
      </w:r>
      <w:r>
        <w:rPr>
          <w:rFonts w:hint="eastAsia"/>
          <w:lang w:val="en-US" w:eastAsia="zh-CN"/>
        </w:rPr>
        <w:t>一</w:t>
      </w:r>
      <w:r>
        <w:rPr>
          <w:rFonts w:hint="eastAsia"/>
          <w:lang w:eastAsia="zh-CN"/>
        </w:rPr>
        <w:t>）</w:t>
      </w:r>
      <w:r>
        <w:t>我公司保证按采购单位提供的产品技术要求供货，所提供的肥料均出自正规厂家，经国家认证且符合国家规定标准。在交货时，质量报告、产品检验报告等重要资料都随货送交。对现场的检验、质量跟踪工作我公司将积极配合。</w:t>
      </w:r>
    </w:p>
    <w:p>
      <w:pPr>
        <w:ind w:firstLine="480"/>
      </w:pPr>
      <w:r>
        <w:rPr>
          <w:rFonts w:hint="eastAsia"/>
          <w:lang w:eastAsia="zh-CN"/>
        </w:rPr>
        <w:t>（</w:t>
      </w:r>
      <w:r>
        <w:rPr>
          <w:rFonts w:hint="eastAsia"/>
          <w:lang w:val="en-US" w:eastAsia="zh-CN"/>
        </w:rPr>
        <w:t>二</w:t>
      </w:r>
      <w:r>
        <w:rPr>
          <w:rFonts w:hint="eastAsia"/>
          <w:lang w:eastAsia="zh-CN"/>
        </w:rPr>
        <w:t>）</w:t>
      </w:r>
      <w:r>
        <w:t>我公司保证所有产品完全符合国家质量要求，凡由我公司提供的产品，自交付使用之日起在正常使用条件下发生产品质量问题时，在接到用户通知后保证在相应时间内到达现场，确认属我公司责任的，我公司无条件免费更换新产品并承担相应费用。</w:t>
      </w:r>
    </w:p>
    <w:p>
      <w:pPr>
        <w:ind w:firstLine="480"/>
      </w:pPr>
      <w:r>
        <w:rPr>
          <w:rFonts w:hint="eastAsia"/>
          <w:lang w:eastAsia="zh-CN"/>
        </w:rPr>
        <w:t>（</w:t>
      </w:r>
      <w:r>
        <w:rPr>
          <w:rFonts w:hint="eastAsia"/>
          <w:lang w:val="en-US" w:eastAsia="zh-CN"/>
        </w:rPr>
        <w:t>三</w:t>
      </w:r>
      <w:r>
        <w:rPr>
          <w:rFonts w:hint="eastAsia"/>
          <w:lang w:eastAsia="zh-CN"/>
        </w:rPr>
        <w:t>）</w:t>
      </w:r>
      <w:r>
        <w:t>我们承诺：产品质量保证，如有过期产品，我公司将承担所发生的一切责任，免费调换产品。我单位能够提供7*24小时电话技术支持和咨询服务，售后服务人员能在24小时内作出详细的解答。</w:t>
      </w:r>
    </w:p>
    <w:p>
      <w:pPr>
        <w:pStyle w:val="6"/>
        <w:bidi w:val="0"/>
      </w:pPr>
      <w:bookmarkStart w:id="805" w:name="_Toc11712"/>
      <w:r>
        <w:rPr>
          <w:rFonts w:hint="eastAsia"/>
          <w:lang w:eastAsia="zh-CN"/>
        </w:rPr>
        <w:t>（</w:t>
      </w:r>
      <w:r>
        <w:rPr>
          <w:rFonts w:hint="eastAsia"/>
          <w:lang w:val="en-US" w:eastAsia="zh-CN"/>
        </w:rPr>
        <w:t>二</w:t>
      </w:r>
      <w:r>
        <w:rPr>
          <w:rFonts w:hint="eastAsia"/>
          <w:lang w:eastAsia="zh-CN"/>
        </w:rPr>
        <w:t>）</w:t>
      </w:r>
      <w:r>
        <w:rPr>
          <w:rFonts w:hint="eastAsia"/>
        </w:rPr>
        <w:t>产品运输</w:t>
      </w:r>
      <w:bookmarkEnd w:id="805"/>
    </w:p>
    <w:p>
      <w:pPr>
        <w:ind w:firstLine="480"/>
      </w:pPr>
      <w:r>
        <w:rPr>
          <w:rFonts w:hint="eastAsia"/>
          <w:lang w:eastAsia="zh-CN"/>
        </w:rPr>
        <w:t>（</w:t>
      </w:r>
      <w:r>
        <w:rPr>
          <w:rFonts w:hint="eastAsia"/>
          <w:lang w:val="en-US" w:eastAsia="zh-CN"/>
        </w:rPr>
        <w:t>一</w:t>
      </w:r>
      <w:r>
        <w:rPr>
          <w:rFonts w:hint="eastAsia"/>
          <w:lang w:eastAsia="zh-CN"/>
        </w:rPr>
        <w:t>）</w:t>
      </w:r>
      <w:r>
        <w:t>我公司具有完善合理的配送体系及管理制度，拥有专业的配送队伍，包括</w:t>
      </w:r>
      <w:r>
        <w:rPr>
          <w:color w:val="000000" w:themeColor="text1"/>
          <w14:textFill>
            <w14:solidFill>
              <w14:schemeClr w14:val="tx1"/>
            </w14:solidFill>
          </w14:textFill>
        </w:rPr>
        <w:t>配送车辆9辆，司机10名，跟单人员2名，技术人员2名，</w:t>
      </w:r>
      <w:r>
        <w:t>确保为贵公司提供满意的配送服务。</w:t>
      </w:r>
    </w:p>
    <w:p>
      <w:pPr>
        <w:ind w:firstLine="480"/>
      </w:pPr>
      <w:r>
        <w:rPr>
          <w:rFonts w:hint="eastAsia"/>
          <w:lang w:eastAsia="zh-CN"/>
        </w:rPr>
        <w:t>（</w:t>
      </w:r>
      <w:r>
        <w:rPr>
          <w:rFonts w:hint="eastAsia"/>
          <w:lang w:val="en-US" w:eastAsia="zh-CN"/>
        </w:rPr>
        <w:t>二</w:t>
      </w:r>
      <w:r>
        <w:rPr>
          <w:rFonts w:hint="eastAsia"/>
          <w:lang w:eastAsia="zh-CN"/>
        </w:rPr>
        <w:t>）</w:t>
      </w:r>
      <w:r>
        <w:t>我公司承诺按要求的时间、数量、送到指定地点交货，并提前通知收货单位做好接货准备。如果贵公司调整交货时间，我公司可根据要求提前或延期交货。</w:t>
      </w:r>
    </w:p>
    <w:p>
      <w:pPr>
        <w:ind w:firstLine="480"/>
      </w:pPr>
      <w:r>
        <w:rPr>
          <w:rFonts w:hint="eastAsia"/>
          <w:lang w:eastAsia="zh-CN"/>
        </w:rPr>
        <w:t>（</w:t>
      </w:r>
      <w:r>
        <w:rPr>
          <w:rFonts w:hint="eastAsia"/>
          <w:lang w:val="en-US" w:eastAsia="zh-CN"/>
        </w:rPr>
        <w:t>三</w:t>
      </w:r>
      <w:r>
        <w:rPr>
          <w:rFonts w:hint="eastAsia"/>
          <w:lang w:eastAsia="zh-CN"/>
        </w:rPr>
        <w:t>）</w:t>
      </w:r>
      <w:r>
        <w:t>我公司将本着配送路径合理的原则，以配送速度最快、配送费用最省、劳动消耗最低为目标，提前确定好最简便、最省时省力的方案，以最效率的方式送货到指定地点。</w:t>
      </w:r>
    </w:p>
    <w:p>
      <w:pPr>
        <w:ind w:firstLine="480"/>
      </w:pPr>
      <w:r>
        <w:rPr>
          <w:rFonts w:hint="eastAsia"/>
          <w:lang w:eastAsia="zh-CN"/>
        </w:rPr>
        <w:t>（</w:t>
      </w:r>
      <w:r>
        <w:rPr>
          <w:rFonts w:hint="eastAsia"/>
          <w:lang w:val="en-US" w:eastAsia="zh-CN"/>
        </w:rPr>
        <w:t>四</w:t>
      </w:r>
      <w:r>
        <w:rPr>
          <w:rFonts w:hint="eastAsia"/>
          <w:lang w:eastAsia="zh-CN"/>
        </w:rPr>
        <w:t>）</w:t>
      </w:r>
      <w:r>
        <w:t>我公司为确保货物的顺利送达，将派专门人员跟车配送货物，每车人员携带送货单，上面表明送货时间、数量、送货人及接货人等信息，接货人需当场点清货物数量，检查产品的生产日期、规格，是否有损坏等相关情况，签字确认后送货员方可离开，一免给贵公司造成不必要的损失。</w:t>
      </w:r>
    </w:p>
    <w:p>
      <w:pPr>
        <w:pStyle w:val="6"/>
        <w:bidi w:val="0"/>
      </w:pPr>
      <w:bookmarkStart w:id="806" w:name="_Toc13340"/>
      <w:r>
        <w:rPr>
          <w:rFonts w:hint="eastAsia"/>
          <w:lang w:eastAsia="zh-CN"/>
        </w:rPr>
        <w:t>（</w:t>
      </w:r>
      <w:r>
        <w:rPr>
          <w:rFonts w:hint="eastAsia"/>
          <w:lang w:val="en-US" w:eastAsia="zh-CN"/>
        </w:rPr>
        <w:t>三</w:t>
      </w:r>
      <w:r>
        <w:rPr>
          <w:rFonts w:hint="eastAsia"/>
          <w:lang w:eastAsia="zh-CN"/>
        </w:rPr>
        <w:t>）</w:t>
      </w:r>
      <w:r>
        <w:rPr>
          <w:rFonts w:hint="eastAsia"/>
        </w:rPr>
        <w:t>技术支持</w:t>
      </w:r>
      <w:bookmarkEnd w:id="806"/>
    </w:p>
    <w:p>
      <w:pPr>
        <w:ind w:firstLine="480"/>
      </w:pPr>
      <w:r>
        <w:rPr>
          <w:rFonts w:hint="eastAsia"/>
        </w:rPr>
        <w:t>我公司将长期为用户提供免费的、详细的技术支持，</w:t>
      </w:r>
      <w:r>
        <w:t>为了方便用户的管理，我们将向用户提供整套管理方案，以确保用户及时获得所需的增值服务。派出人员是熟悉产品，技术全面、具有充足农业方面知识的技术人员，能彻底免除采购单位的后顾之忧，令产品发挥其最大的使用价值。</w:t>
      </w:r>
    </w:p>
    <w:p>
      <w:pPr>
        <w:ind w:firstLine="480"/>
      </w:pPr>
      <w:r>
        <w:rPr>
          <w:rFonts w:hint="eastAsia"/>
        </w:rPr>
        <w:t>我公司还设有</w:t>
      </w:r>
      <w:r>
        <w:t>24小时咨询热线，我们将耐心、细致的为用户解答所有遇到的问题。如果我公司的技术人员能够在第一时间内找到解决的方法，会立刻给用户以详细的回答；若不能，我公司的技术人员会尽快制定措施，并通过电话或E-MAIL，给用户以最周到的服务。</w:t>
      </w:r>
    </w:p>
    <w:p>
      <w:pPr>
        <w:pStyle w:val="6"/>
        <w:bidi w:val="0"/>
      </w:pPr>
      <w:bookmarkStart w:id="807" w:name="_Toc29615"/>
      <w:r>
        <w:rPr>
          <w:rFonts w:hint="eastAsia"/>
          <w:lang w:eastAsia="zh-CN"/>
        </w:rPr>
        <w:t>（</w:t>
      </w:r>
      <w:r>
        <w:rPr>
          <w:rFonts w:hint="eastAsia"/>
          <w:lang w:val="en-US" w:eastAsia="zh-CN"/>
        </w:rPr>
        <w:t>四</w:t>
      </w:r>
      <w:r>
        <w:rPr>
          <w:rFonts w:hint="eastAsia"/>
          <w:lang w:eastAsia="zh-CN"/>
        </w:rPr>
        <w:t>）</w:t>
      </w:r>
      <w:r>
        <w:rPr>
          <w:rFonts w:hint="eastAsia"/>
        </w:rPr>
        <w:t>服务保障</w:t>
      </w:r>
      <w:bookmarkEnd w:id="807"/>
    </w:p>
    <w:p>
      <w:pPr>
        <w:ind w:firstLine="480"/>
      </w:pPr>
      <w:r>
        <w:rPr>
          <w:rFonts w:hint="eastAsia"/>
        </w:rPr>
        <w:t>我公司的售后服务宗旨为“用户至上、保障及时、服务热情、工作有效”。</w:t>
      </w:r>
    </w:p>
    <w:p>
      <w:pPr>
        <w:ind w:firstLine="480"/>
      </w:pPr>
      <w:r>
        <w:rPr>
          <w:rFonts w:hint="eastAsia"/>
        </w:rPr>
        <w:t>我公司的售后服务包含三个方面：服务响应；维护服务、技术培训等。</w:t>
      </w:r>
    </w:p>
    <w:p>
      <w:pPr>
        <w:ind w:firstLine="480"/>
      </w:pPr>
      <w:r>
        <w:rPr>
          <w:rFonts w:hint="eastAsia"/>
          <w:lang w:eastAsia="zh-CN"/>
        </w:rPr>
        <w:t>（</w:t>
      </w:r>
      <w:r>
        <w:rPr>
          <w:rFonts w:hint="eastAsia"/>
          <w:lang w:val="en-US" w:eastAsia="zh-CN"/>
        </w:rPr>
        <w:t>一</w:t>
      </w:r>
      <w:r>
        <w:rPr>
          <w:rFonts w:hint="eastAsia"/>
          <w:lang w:eastAsia="zh-CN"/>
        </w:rPr>
        <w:t>）</w:t>
      </w:r>
      <w:r>
        <w:rPr>
          <w:rFonts w:hint="eastAsia"/>
        </w:rPr>
        <w:t>司指定数名业务、技术知识过硬的员工担任售后服务人员，售后服务人员定期回访，收集、整理客户意见，建立完善售后服务信息系统，发现问题隐患及时排除，出现问题及时解决。</w:t>
      </w:r>
    </w:p>
    <w:p>
      <w:pPr>
        <w:ind w:firstLine="480"/>
        <w:rPr>
          <w:rFonts w:hint="eastAsia" w:eastAsia="宋体"/>
          <w:lang w:eastAsia="zh-CN"/>
        </w:rPr>
      </w:pPr>
      <w:r>
        <w:rPr>
          <w:rFonts w:hint="eastAsia"/>
          <w:lang w:eastAsia="zh-CN"/>
        </w:rPr>
        <w:t>（</w:t>
      </w:r>
      <w:r>
        <w:rPr>
          <w:rFonts w:hint="eastAsia"/>
          <w:lang w:val="en-US" w:eastAsia="zh-CN"/>
        </w:rPr>
        <w:t>二</w:t>
      </w:r>
      <w:r>
        <w:rPr>
          <w:rFonts w:hint="eastAsia"/>
          <w:lang w:eastAsia="zh-CN"/>
        </w:rPr>
        <w:t>）</w:t>
      </w:r>
      <w:r>
        <w:t>公司售后服务部每周进行一次例行电话回访，了解肥料使用情况等。</w:t>
      </w:r>
    </w:p>
    <w:p>
      <w:pPr>
        <w:ind w:firstLine="480"/>
      </w:pPr>
      <w:r>
        <w:rPr>
          <w:rFonts w:hint="eastAsia"/>
          <w:lang w:eastAsia="zh-CN"/>
        </w:rPr>
        <w:t>（</w:t>
      </w:r>
      <w:r>
        <w:rPr>
          <w:rFonts w:hint="eastAsia"/>
          <w:lang w:val="en-US" w:eastAsia="zh-CN"/>
        </w:rPr>
        <w:t>三</w:t>
      </w:r>
      <w:r>
        <w:rPr>
          <w:rFonts w:hint="eastAsia"/>
          <w:lang w:eastAsia="zh-CN"/>
        </w:rPr>
        <w:t>）</w:t>
      </w:r>
      <w:r>
        <w:t>公司将安排不定期的工程例行巡检、维护以确保产品的使用方法正确、肥效显著。</w:t>
      </w:r>
    </w:p>
    <w:p>
      <w:pPr>
        <w:ind w:firstLine="480"/>
      </w:pPr>
      <w:r>
        <w:rPr>
          <w:rFonts w:hint="eastAsia"/>
        </w:rPr>
        <w:t>公司售后服务部将派遣技术支持工程师定期或不定期到用户现场走访，帮助用户进行产品状况检测，了解产品的效果情况，听取意见和建议。帮助用户进行预防性的维护。解答用户与产品有关的问题，了解用户的服务的满意程度和新的需求。</w:t>
      </w:r>
    </w:p>
    <w:p>
      <w:pPr>
        <w:widowControl/>
        <w:spacing w:before="0" w:after="0" w:line="240" w:lineRule="auto"/>
        <w:ind w:firstLine="0" w:firstLineChars="0"/>
        <w:jc w:val="left"/>
      </w:pPr>
      <w:r>
        <w:br w:type="page"/>
      </w:r>
    </w:p>
    <w:p>
      <w:pPr>
        <w:pStyle w:val="5"/>
        <w:bidi w:val="0"/>
      </w:pPr>
      <w:bookmarkStart w:id="808" w:name="_Toc118293334"/>
      <w:bookmarkStart w:id="809" w:name="_Ref118206928"/>
      <w:bookmarkStart w:id="810" w:name="_Toc116121578"/>
      <w:bookmarkStart w:id="811" w:name="_Toc105600364"/>
      <w:bookmarkStart w:id="812" w:name="_Toc17133"/>
      <w:bookmarkStart w:id="813" w:name="_Toc118233236"/>
      <w:bookmarkStart w:id="814" w:name="_Ref118206938"/>
      <w:bookmarkStart w:id="815" w:name="_Ref118206931"/>
      <w:r>
        <w:rPr>
          <w:rFonts w:hint="eastAsia"/>
          <w:lang w:val="en-US" w:eastAsia="zh-CN"/>
        </w:rPr>
        <w:t>六</w:t>
      </w:r>
      <w:r>
        <w:rPr>
          <w:rFonts w:hint="default"/>
          <w:lang w:val="en-US" w:eastAsia="zh-CN"/>
        </w:rPr>
        <w:t>、</w:t>
      </w:r>
      <w:r>
        <w:rPr>
          <w:rFonts w:hint="eastAsia"/>
        </w:rPr>
        <w:t>售后服务标准及要求</w:t>
      </w:r>
      <w:bookmarkEnd w:id="808"/>
      <w:bookmarkEnd w:id="809"/>
      <w:bookmarkEnd w:id="810"/>
      <w:bookmarkEnd w:id="811"/>
      <w:bookmarkEnd w:id="812"/>
      <w:bookmarkEnd w:id="813"/>
      <w:bookmarkEnd w:id="814"/>
      <w:bookmarkEnd w:id="815"/>
    </w:p>
    <w:p>
      <w:pPr>
        <w:ind w:firstLine="480"/>
        <w:rPr>
          <w:rFonts w:hint="eastAsia" w:eastAsia="宋体"/>
          <w:lang w:eastAsia="zh-CN"/>
        </w:rPr>
      </w:pPr>
      <w:r>
        <w:rPr>
          <w:rFonts w:hint="eastAsia"/>
        </w:rPr>
        <w:t>（</w:t>
      </w:r>
      <w:r>
        <w:rPr>
          <w:rFonts w:hint="eastAsia"/>
          <w:lang w:val="en-US" w:eastAsia="zh-CN"/>
        </w:rPr>
        <w:t>一</w:t>
      </w:r>
      <w:r>
        <w:rPr>
          <w:rFonts w:hint="eastAsia"/>
        </w:rPr>
        <w:t>）售后服务人员必须树立用户满意是检验服务工作标准的理念，要竭尽全力为用户服务，觉不允许顶撞用户和与用户发生口角；</w:t>
      </w:r>
    </w:p>
    <w:p>
      <w:pPr>
        <w:ind w:firstLine="480"/>
        <w:rPr>
          <w:rFonts w:hint="eastAsia" w:eastAsia="宋体"/>
          <w:lang w:eastAsia="zh-CN"/>
        </w:rPr>
      </w:pPr>
      <w:r>
        <w:rPr>
          <w:rFonts w:hint="eastAsia"/>
        </w:rPr>
        <w:t>（</w:t>
      </w:r>
      <w:r>
        <w:rPr>
          <w:rFonts w:hint="eastAsia"/>
          <w:lang w:val="en-US" w:eastAsia="zh-CN"/>
        </w:rPr>
        <w:t>二</w:t>
      </w:r>
      <w:r>
        <w:rPr>
          <w:rFonts w:hint="eastAsia"/>
        </w:rPr>
        <w:t>）在服务中积极，热情，耐心的解答用户提出的各种问题，传授产品使用常识，用户问题无法解答时，应耐心解释，并及时请产品生产商协助解决；</w:t>
      </w:r>
    </w:p>
    <w:p>
      <w:pPr>
        <w:ind w:firstLine="480"/>
        <w:rPr>
          <w:rFonts w:hint="eastAsia" w:eastAsia="宋体"/>
          <w:lang w:eastAsia="zh-CN"/>
        </w:rPr>
      </w:pPr>
      <w:r>
        <w:rPr>
          <w:rFonts w:hint="eastAsia"/>
        </w:rPr>
        <w:t>（</w:t>
      </w:r>
      <w:r>
        <w:rPr>
          <w:rFonts w:hint="eastAsia"/>
          <w:lang w:val="en-US" w:eastAsia="zh-CN"/>
        </w:rPr>
        <w:t>三</w:t>
      </w:r>
      <w:r>
        <w:rPr>
          <w:rFonts w:hint="eastAsia"/>
        </w:rPr>
        <w:t>）服务人员应举止文明，礼貌待人，主动服务，和用户建立良好的关系；</w:t>
      </w:r>
    </w:p>
    <w:p>
      <w:pPr>
        <w:ind w:firstLine="480"/>
        <w:rPr>
          <w:rFonts w:hint="eastAsia" w:eastAsia="宋体"/>
          <w:lang w:eastAsia="zh-CN"/>
        </w:rPr>
      </w:pPr>
      <w:r>
        <w:rPr>
          <w:rFonts w:hint="eastAsia"/>
        </w:rPr>
        <w:t>（</w:t>
      </w:r>
      <w:r>
        <w:rPr>
          <w:rFonts w:hint="eastAsia"/>
          <w:lang w:val="en-US" w:eastAsia="zh-CN"/>
        </w:rPr>
        <w:t>四</w:t>
      </w:r>
      <w:r>
        <w:rPr>
          <w:rFonts w:hint="eastAsia"/>
        </w:rPr>
        <w:t>）接到服务信息，立即响应，需要现场服务的，在客户规定的时间内到达现场，切实实现对客户的承诺；</w:t>
      </w:r>
    </w:p>
    <w:p>
      <w:pPr>
        <w:ind w:firstLine="480"/>
        <w:rPr>
          <w:rFonts w:hint="eastAsia" w:eastAsia="宋体"/>
          <w:lang w:eastAsia="zh-CN"/>
        </w:rPr>
      </w:pPr>
      <w:r>
        <w:rPr>
          <w:rFonts w:hint="eastAsia"/>
        </w:rPr>
        <w:t>（</w:t>
      </w:r>
      <w:r>
        <w:rPr>
          <w:rFonts w:hint="eastAsia"/>
          <w:lang w:val="en-US" w:eastAsia="zh-CN"/>
        </w:rPr>
        <w:t>五</w:t>
      </w:r>
      <w:r>
        <w:rPr>
          <w:rFonts w:hint="eastAsia"/>
        </w:rPr>
        <w:t>）决不允许服务人员向用户索要财务或变相提出无理要求；</w:t>
      </w:r>
    </w:p>
    <w:p>
      <w:pPr>
        <w:ind w:firstLine="480"/>
        <w:rPr>
          <w:rFonts w:hint="eastAsia" w:eastAsia="宋体"/>
          <w:lang w:eastAsia="zh-CN"/>
        </w:rPr>
      </w:pPr>
      <w:r>
        <w:rPr>
          <w:rFonts w:hint="eastAsia"/>
        </w:rPr>
        <w:t>（</w:t>
      </w:r>
      <w:r>
        <w:rPr>
          <w:rFonts w:hint="eastAsia"/>
          <w:lang w:val="en-US" w:eastAsia="zh-CN"/>
        </w:rPr>
        <w:t>六</w:t>
      </w:r>
      <w:r>
        <w:rPr>
          <w:rFonts w:hint="eastAsia"/>
        </w:rPr>
        <w:t>）服务人员对产品发生的问题，要判断准确，及时修复，不允许同一问题重复出现的情况；</w:t>
      </w:r>
    </w:p>
    <w:p>
      <w:pPr>
        <w:ind w:firstLine="480"/>
        <w:rPr>
          <w:rFonts w:hint="eastAsia" w:eastAsia="宋体"/>
          <w:lang w:eastAsia="zh-CN"/>
        </w:rPr>
      </w:pPr>
      <w:r>
        <w:rPr>
          <w:rFonts w:hint="eastAsia"/>
        </w:rPr>
        <w:t>（</w:t>
      </w:r>
      <w:r>
        <w:rPr>
          <w:rFonts w:hint="eastAsia"/>
          <w:lang w:val="en-US" w:eastAsia="zh-CN"/>
        </w:rPr>
        <w:t>七</w:t>
      </w:r>
      <w:r>
        <w:rPr>
          <w:rFonts w:hint="eastAsia"/>
        </w:rPr>
        <w:t>）服务人员完成工作任务后，要认真仔细填写“售后服务报告单”，必须让用户填写售后服务满意度调查表；</w:t>
      </w:r>
    </w:p>
    <w:p>
      <w:pPr>
        <w:ind w:firstLine="480"/>
        <w:rPr>
          <w:rFonts w:hint="eastAsia" w:eastAsia="宋体"/>
          <w:lang w:eastAsia="zh-CN"/>
        </w:rPr>
      </w:pPr>
      <w:r>
        <w:rPr>
          <w:rFonts w:hint="eastAsia"/>
        </w:rPr>
        <w:t>（</w:t>
      </w:r>
      <w:r>
        <w:rPr>
          <w:rFonts w:hint="eastAsia"/>
          <w:lang w:val="en-US" w:eastAsia="zh-CN"/>
        </w:rPr>
        <w:t>八</w:t>
      </w:r>
      <w:r>
        <w:rPr>
          <w:rFonts w:hint="eastAsia"/>
        </w:rPr>
        <w:t>）重大质量问题，反馈公司有关部门予以解决</w:t>
      </w:r>
    </w:p>
    <w:p>
      <w:pPr>
        <w:ind w:firstLine="480"/>
      </w:pPr>
      <w:r>
        <w:rPr>
          <w:rFonts w:hint="eastAsia"/>
        </w:rPr>
        <w:t>（</w:t>
      </w:r>
      <w:r>
        <w:rPr>
          <w:rFonts w:hint="eastAsia"/>
          <w:lang w:val="en-US" w:eastAsia="zh-CN"/>
        </w:rPr>
        <w:t>九</w:t>
      </w:r>
      <w:r>
        <w:rPr>
          <w:rFonts w:hint="eastAsia"/>
        </w:rPr>
        <w:t>）建立售后服务来电来函的登记，做好售后服务派遣记录，以及费用等各项报表。</w:t>
      </w:r>
    </w:p>
    <w:p>
      <w:pPr>
        <w:widowControl/>
        <w:spacing w:before="0" w:after="0" w:line="240" w:lineRule="auto"/>
        <w:ind w:firstLine="0" w:firstLineChars="0"/>
        <w:jc w:val="left"/>
      </w:pPr>
      <w:r>
        <w:br w:type="page"/>
      </w:r>
    </w:p>
    <w:p>
      <w:pPr>
        <w:pStyle w:val="5"/>
        <w:bidi w:val="0"/>
      </w:pPr>
      <w:bookmarkStart w:id="816" w:name="_Toc118233237"/>
      <w:bookmarkStart w:id="817" w:name="_Ref118206951"/>
      <w:bookmarkStart w:id="818" w:name="_Toc22913"/>
      <w:bookmarkStart w:id="819" w:name="_Toc116121579"/>
      <w:bookmarkStart w:id="820" w:name="_Toc118293335"/>
      <w:bookmarkStart w:id="821" w:name="_Ref118206945"/>
      <w:bookmarkStart w:id="822" w:name="_Toc105600365"/>
      <w:bookmarkStart w:id="823" w:name="_Ref118206944"/>
      <w:r>
        <w:rPr>
          <w:rFonts w:hint="eastAsia"/>
          <w:lang w:val="en-US" w:eastAsia="zh-CN"/>
        </w:rPr>
        <w:t>七</w:t>
      </w:r>
      <w:r>
        <w:rPr>
          <w:rFonts w:hint="default"/>
          <w:lang w:val="en-US" w:eastAsia="zh-CN"/>
        </w:rPr>
        <w:t>、</w:t>
      </w:r>
      <w:r>
        <w:rPr>
          <w:rFonts w:hint="eastAsia"/>
        </w:rPr>
        <w:t>售后服务内容</w:t>
      </w:r>
      <w:bookmarkEnd w:id="816"/>
      <w:bookmarkEnd w:id="817"/>
      <w:bookmarkEnd w:id="818"/>
      <w:bookmarkEnd w:id="819"/>
      <w:bookmarkEnd w:id="820"/>
      <w:bookmarkEnd w:id="821"/>
      <w:bookmarkEnd w:id="822"/>
      <w:bookmarkEnd w:id="823"/>
    </w:p>
    <w:p>
      <w:pPr>
        <w:pStyle w:val="6"/>
        <w:bidi w:val="0"/>
        <w:rPr>
          <w:lang w:val="zh-CN"/>
        </w:rPr>
      </w:pPr>
      <w:bookmarkStart w:id="824" w:name="_Toc15945"/>
      <w:r>
        <w:rPr>
          <w:rFonts w:hint="eastAsia"/>
          <w:lang w:val="zh-CN"/>
        </w:rPr>
        <w:t>（</w:t>
      </w:r>
      <w:r>
        <w:rPr>
          <w:rFonts w:hint="eastAsia"/>
          <w:lang w:val="en-US" w:eastAsia="zh-CN"/>
        </w:rPr>
        <w:t>一</w:t>
      </w:r>
      <w:r>
        <w:rPr>
          <w:rFonts w:hint="eastAsia"/>
          <w:lang w:val="zh-CN"/>
        </w:rPr>
        <w:t>）供货服务</w:t>
      </w:r>
      <w:bookmarkEnd w:id="824"/>
    </w:p>
    <w:p>
      <w:pPr>
        <w:ind w:firstLine="480"/>
        <w:rPr>
          <w:rFonts w:cs="宋体"/>
          <w:lang w:val="zh-CN"/>
        </w:rPr>
      </w:pPr>
      <w:r>
        <w:rPr>
          <w:rFonts w:hint="eastAsia" w:cs="宋体"/>
          <w:lang w:val="zh-CN"/>
        </w:rPr>
        <w:t>（</w:t>
      </w:r>
      <w:r>
        <w:rPr>
          <w:rFonts w:hint="eastAsia" w:cs="宋体"/>
          <w:lang w:val="en-US" w:eastAsia="zh-CN"/>
        </w:rPr>
        <w:t>一</w:t>
      </w:r>
      <w:r>
        <w:rPr>
          <w:rFonts w:hint="eastAsia" w:cs="宋体"/>
          <w:lang w:val="zh-CN"/>
        </w:rPr>
        <w:t>）公司接到采购方供货流向，马上安排车辆进行发货。</w:t>
      </w:r>
    </w:p>
    <w:p>
      <w:pPr>
        <w:ind w:firstLine="480"/>
        <w:rPr>
          <w:rFonts w:cs="宋体"/>
          <w:lang w:val="zh-CN"/>
        </w:rPr>
      </w:pPr>
      <w:r>
        <w:rPr>
          <w:rFonts w:hint="eastAsia" w:cs="宋体"/>
          <w:lang w:val="zh-CN"/>
        </w:rPr>
        <w:t>（</w:t>
      </w:r>
      <w:r>
        <w:rPr>
          <w:rFonts w:hint="eastAsia" w:cs="宋体"/>
          <w:lang w:val="en-US" w:eastAsia="zh-CN"/>
        </w:rPr>
        <w:t>二</w:t>
      </w:r>
      <w:r>
        <w:rPr>
          <w:rFonts w:hint="eastAsia" w:cs="宋体"/>
          <w:lang w:val="zh-CN"/>
        </w:rPr>
        <w:t>）发货同时，公司安排本项目工作人员随车到采购方指定地址，协助采购方人员一起协调卸货事宜。</w:t>
      </w:r>
    </w:p>
    <w:p>
      <w:pPr>
        <w:ind w:firstLine="480"/>
        <w:rPr>
          <w:rFonts w:cs="宋体"/>
          <w:lang w:val="zh-CN"/>
        </w:rPr>
      </w:pPr>
      <w:r>
        <w:rPr>
          <w:rFonts w:hint="eastAsia" w:cs="宋体"/>
          <w:lang w:val="zh-CN"/>
        </w:rPr>
        <w:t>（</w:t>
      </w:r>
      <w:r>
        <w:rPr>
          <w:rFonts w:hint="eastAsia" w:cs="宋体"/>
          <w:lang w:val="en-US" w:eastAsia="zh-CN"/>
        </w:rPr>
        <w:t>三</w:t>
      </w:r>
      <w:r>
        <w:rPr>
          <w:rFonts w:hint="eastAsia" w:cs="宋体"/>
          <w:lang w:val="zh-CN"/>
        </w:rPr>
        <w:t>）做好发货台账登记（村、姓名、数量等），发货收条必须有收货人签字或采购方负责人签字，送货完毕把台账及汇总发货收条一起交给采购方核对。</w:t>
      </w:r>
    </w:p>
    <w:p>
      <w:pPr>
        <w:ind w:firstLine="480"/>
        <w:rPr>
          <w:rFonts w:cs="宋体"/>
          <w:lang w:val="zh-CN"/>
        </w:rPr>
      </w:pPr>
      <w:r>
        <w:rPr>
          <w:rFonts w:hint="eastAsia" w:cs="宋体"/>
          <w:lang w:val="zh-CN"/>
        </w:rPr>
        <w:t>（</w:t>
      </w:r>
      <w:r>
        <w:rPr>
          <w:rFonts w:hint="eastAsia" w:cs="宋体"/>
          <w:lang w:val="en-US" w:eastAsia="zh-CN"/>
        </w:rPr>
        <w:t>四</w:t>
      </w:r>
      <w:r>
        <w:rPr>
          <w:rFonts w:hint="eastAsia" w:cs="宋体"/>
          <w:lang w:val="zh-CN"/>
        </w:rPr>
        <w:t>）做好供货服务中的信息收集工作，对收集到的信息认真处理，对用户的反馈意见要认真答复和回复，让用户满意。</w:t>
      </w:r>
    </w:p>
    <w:p>
      <w:pPr>
        <w:pStyle w:val="6"/>
        <w:bidi w:val="0"/>
        <w:rPr>
          <w:lang w:val="zh-CN"/>
        </w:rPr>
      </w:pPr>
      <w:bookmarkStart w:id="825" w:name="_Toc13845"/>
      <w:r>
        <w:rPr>
          <w:rFonts w:hint="eastAsia"/>
          <w:lang w:val="zh-CN"/>
        </w:rPr>
        <w:t>（</w:t>
      </w:r>
      <w:r>
        <w:rPr>
          <w:rFonts w:hint="eastAsia"/>
          <w:lang w:val="en-US" w:eastAsia="zh-CN"/>
        </w:rPr>
        <w:t>二</w:t>
      </w:r>
      <w:r>
        <w:rPr>
          <w:rFonts w:hint="eastAsia"/>
          <w:lang w:val="zh-CN"/>
        </w:rPr>
        <w:t>）技术服务</w:t>
      </w:r>
      <w:bookmarkEnd w:id="825"/>
    </w:p>
    <w:p>
      <w:pPr>
        <w:ind w:firstLine="480"/>
        <w:rPr>
          <w:rFonts w:cs="宋体"/>
          <w:lang w:val="zh-CN"/>
        </w:rPr>
      </w:pPr>
      <w:r>
        <w:rPr>
          <w:rFonts w:hint="eastAsia" w:cs="宋体"/>
          <w:lang w:val="zh-CN"/>
        </w:rPr>
        <w:t>（</w:t>
      </w:r>
      <w:r>
        <w:rPr>
          <w:rFonts w:hint="eastAsia" w:cs="宋体"/>
          <w:lang w:val="en-US" w:eastAsia="zh-CN"/>
        </w:rPr>
        <w:t>一</w:t>
      </w:r>
      <w:r>
        <w:rPr>
          <w:rFonts w:hint="eastAsia" w:cs="宋体"/>
          <w:lang w:val="zh-CN"/>
        </w:rPr>
        <w:t>）供货后，公司随后派技术人员及相关服务车辆分批进行施肥、土壤、病虫害等技术培训和指导，指导农民科学施肥。</w:t>
      </w:r>
    </w:p>
    <w:p>
      <w:pPr>
        <w:ind w:firstLine="480"/>
        <w:rPr>
          <w:rFonts w:cs="宋体"/>
          <w:lang w:val="zh-CN"/>
        </w:rPr>
      </w:pPr>
      <w:r>
        <w:rPr>
          <w:rFonts w:hint="eastAsia" w:cs="宋体"/>
          <w:lang w:val="zh-CN"/>
        </w:rPr>
        <w:t>（</w:t>
      </w:r>
      <w:r>
        <w:rPr>
          <w:rFonts w:hint="eastAsia" w:cs="宋体"/>
          <w:lang w:val="en-US" w:eastAsia="zh-CN"/>
        </w:rPr>
        <w:t>二</w:t>
      </w:r>
      <w:r>
        <w:rPr>
          <w:rFonts w:hint="eastAsia" w:cs="宋体"/>
          <w:lang w:val="zh-CN"/>
        </w:rPr>
        <w:t>）根据采购方要求，分批组织用户进行相关施肥知识培训，让用户了解本产品的使用方法。</w:t>
      </w:r>
    </w:p>
    <w:p>
      <w:pPr>
        <w:ind w:firstLine="480"/>
        <w:rPr>
          <w:rFonts w:cs="宋体"/>
          <w:lang w:val="zh-CN"/>
        </w:rPr>
      </w:pPr>
      <w:r>
        <w:rPr>
          <w:rFonts w:hint="eastAsia" w:cs="宋体"/>
          <w:lang w:val="zh-CN"/>
        </w:rPr>
        <w:t>（</w:t>
      </w:r>
      <w:r>
        <w:rPr>
          <w:rFonts w:hint="eastAsia" w:cs="宋体"/>
          <w:lang w:val="en-US" w:eastAsia="zh-CN"/>
        </w:rPr>
        <w:t>三</w:t>
      </w:r>
      <w:r>
        <w:rPr>
          <w:rFonts w:hint="eastAsia" w:cs="宋体"/>
          <w:lang w:val="zh-CN"/>
        </w:rPr>
        <w:t>）公司技术人员利用板报及彩页等形式对产品的含量、性质、特点及不同作物的需肥情况等，让用户及时了解掌握，及时通报培训信息和施肥信息，让用户了解掌握。</w:t>
      </w:r>
    </w:p>
    <w:p>
      <w:pPr>
        <w:ind w:firstLine="480"/>
        <w:rPr>
          <w:rFonts w:cs="宋体"/>
          <w:lang w:val="zh-CN"/>
        </w:rPr>
      </w:pPr>
      <w:r>
        <w:rPr>
          <w:rFonts w:hint="eastAsia" w:cs="宋体"/>
          <w:lang w:val="zh-CN"/>
        </w:rPr>
        <w:t>（</w:t>
      </w:r>
      <w:r>
        <w:rPr>
          <w:rFonts w:hint="eastAsia" w:cs="宋体"/>
          <w:lang w:val="en-US" w:eastAsia="zh-CN"/>
        </w:rPr>
        <w:t>四</w:t>
      </w:r>
      <w:r>
        <w:rPr>
          <w:rFonts w:hint="eastAsia" w:cs="宋体"/>
          <w:lang w:val="zh-CN"/>
        </w:rPr>
        <w:t>）质保期内所有产品的质量问题均由卖方负责，及时搜集用户信息，对搜集到的信息认真做好记录，对用户提出的问题或意见马上解答处理，对接到的电话信息，两个小时内必须答复，需要现场解决的，</w:t>
      </w:r>
      <w:r>
        <w:rPr>
          <w:rFonts w:cs="宋体"/>
          <w:lang w:val="zh-CN"/>
        </w:rPr>
        <w:t>24</w:t>
      </w:r>
      <w:r>
        <w:rPr>
          <w:rFonts w:hint="eastAsia" w:cs="宋体"/>
          <w:lang w:val="zh-CN"/>
        </w:rPr>
        <w:t>小时到达现场，两天内解决处理好所有问题</w:t>
      </w:r>
      <w:r>
        <w:rPr>
          <w:rFonts w:cs="宋体"/>
          <w:lang w:val="zh-CN"/>
        </w:rPr>
        <w:t>,</w:t>
      </w:r>
      <w:r>
        <w:rPr>
          <w:rFonts w:hint="eastAsia" w:cs="宋体"/>
          <w:lang w:val="zh-CN"/>
        </w:rPr>
        <w:t>让用户满意。质保期后如果出现问题公司全部负责处理，与公司肥料有关的质量问题费用由公司负责，让用户满意。</w:t>
      </w:r>
    </w:p>
    <w:p>
      <w:pPr>
        <w:pStyle w:val="6"/>
        <w:bidi w:val="0"/>
        <w:rPr>
          <w:lang w:val="zh-CN"/>
        </w:rPr>
      </w:pPr>
      <w:bookmarkStart w:id="826" w:name="_Toc15671"/>
      <w:r>
        <w:rPr>
          <w:rFonts w:hint="eastAsia"/>
          <w:lang w:val="zh-CN"/>
        </w:rPr>
        <w:t>（</w:t>
      </w:r>
      <w:r>
        <w:rPr>
          <w:rFonts w:hint="eastAsia"/>
          <w:lang w:val="en-US" w:eastAsia="zh-CN"/>
        </w:rPr>
        <w:t>三</w:t>
      </w:r>
      <w:r>
        <w:rPr>
          <w:rFonts w:hint="eastAsia"/>
          <w:lang w:val="zh-CN"/>
        </w:rPr>
        <w:t>）农化服务</w:t>
      </w:r>
      <w:bookmarkEnd w:id="826"/>
    </w:p>
    <w:p>
      <w:pPr>
        <w:ind w:firstLine="480"/>
        <w:rPr>
          <w:rFonts w:cs="宋体"/>
          <w:lang w:val="zh-CN"/>
        </w:rPr>
      </w:pPr>
      <w:r>
        <w:rPr>
          <w:rFonts w:hint="eastAsia" w:cs="宋体"/>
          <w:lang w:val="zh-CN"/>
        </w:rPr>
        <w:t>（</w:t>
      </w:r>
      <w:r>
        <w:rPr>
          <w:rFonts w:hint="eastAsia" w:cs="宋体"/>
          <w:lang w:val="en-US" w:eastAsia="zh-CN"/>
        </w:rPr>
        <w:t>一</w:t>
      </w:r>
      <w:r>
        <w:rPr>
          <w:rFonts w:hint="eastAsia" w:cs="宋体"/>
          <w:lang w:val="zh-CN"/>
        </w:rPr>
        <w:t>）货到采购方后，公司随后派技术服务人员，分配到各自然村分批进行施肥技术培训和指导。</w:t>
      </w:r>
    </w:p>
    <w:p>
      <w:pPr>
        <w:ind w:firstLine="480"/>
        <w:rPr>
          <w:rFonts w:cs="宋体"/>
          <w:lang w:val="zh-CN"/>
        </w:rPr>
      </w:pPr>
      <w:r>
        <w:rPr>
          <w:rFonts w:hint="eastAsia" w:cs="宋体"/>
          <w:lang w:val="zh-CN"/>
        </w:rPr>
        <w:t>（</w:t>
      </w:r>
      <w:r>
        <w:rPr>
          <w:rFonts w:hint="eastAsia" w:cs="宋体"/>
          <w:lang w:val="en-US" w:eastAsia="zh-CN"/>
        </w:rPr>
        <w:t>二</w:t>
      </w:r>
      <w:r>
        <w:rPr>
          <w:rFonts w:hint="eastAsia" w:cs="宋体"/>
          <w:lang w:val="zh-CN"/>
        </w:rPr>
        <w:t>）根据采购方需要，分批组织用户进行肥料、农药、作物的病虫害等相关知识培训。特殊用户需要针对特定区域和特定作物施肥培训。</w:t>
      </w:r>
    </w:p>
    <w:p>
      <w:pPr>
        <w:ind w:firstLine="480"/>
        <w:rPr>
          <w:rFonts w:cs="宋体"/>
          <w:lang w:val="zh-CN"/>
        </w:rPr>
      </w:pPr>
      <w:r>
        <w:rPr>
          <w:rFonts w:hint="eastAsia" w:cs="宋体"/>
          <w:lang w:val="zh-CN"/>
        </w:rPr>
        <w:t>（</w:t>
      </w:r>
      <w:r>
        <w:rPr>
          <w:rFonts w:hint="eastAsia" w:cs="宋体"/>
          <w:lang w:val="en-US" w:eastAsia="zh-CN"/>
        </w:rPr>
        <w:t>三</w:t>
      </w:r>
      <w:r>
        <w:rPr>
          <w:rFonts w:hint="eastAsia" w:cs="宋体"/>
          <w:lang w:val="zh-CN"/>
        </w:rPr>
        <w:t>）公司技术人员利用板报及彩页等形式及时通报培训信息和施肥信息，让用户了解掌握。让用户掌握肥料、土壤、作物相结合的科学施肥原则。</w:t>
      </w:r>
    </w:p>
    <w:p>
      <w:pPr>
        <w:ind w:firstLine="480"/>
        <w:rPr>
          <w:rFonts w:cs="宋体"/>
          <w:lang w:val="zh-CN"/>
        </w:rPr>
      </w:pPr>
      <w:r>
        <w:rPr>
          <w:rFonts w:hint="eastAsia" w:cs="宋体"/>
          <w:lang w:val="zh-CN"/>
        </w:rPr>
        <w:t>（</w:t>
      </w:r>
      <w:r>
        <w:rPr>
          <w:rFonts w:hint="eastAsia" w:cs="宋体"/>
          <w:lang w:val="en-US" w:eastAsia="zh-CN"/>
        </w:rPr>
        <w:t>四</w:t>
      </w:r>
      <w:r>
        <w:rPr>
          <w:rFonts w:hint="eastAsia" w:cs="宋体"/>
          <w:lang w:val="zh-CN"/>
        </w:rPr>
        <w:t>）对用户实行跟踪服务，及时了解用户的用肥效果和施肥方法，对用户提出的问题认真答复耐心指导，一直跟踪服务到下次施肥：确保用户满意。</w:t>
      </w:r>
    </w:p>
    <w:p>
      <w:pPr>
        <w:ind w:firstLine="480"/>
        <w:rPr>
          <w:rFonts w:cs="宋体"/>
          <w:lang w:val="zh-CN"/>
        </w:rPr>
      </w:pPr>
      <w:r>
        <w:rPr>
          <w:rFonts w:hint="eastAsia" w:cs="宋体"/>
          <w:lang w:val="zh-CN"/>
        </w:rPr>
        <w:t>（</w:t>
      </w:r>
      <w:r>
        <w:rPr>
          <w:rFonts w:hint="eastAsia" w:cs="宋体"/>
          <w:lang w:val="en-US" w:eastAsia="zh-CN"/>
        </w:rPr>
        <w:t>五</w:t>
      </w:r>
      <w:r>
        <w:rPr>
          <w:rFonts w:cs="宋体"/>
          <w:lang w:val="zh-CN"/>
        </w:rPr>
        <w:t>）我公司和</w:t>
      </w:r>
      <w:r>
        <w:rPr>
          <w:rFonts w:hint="eastAsia" w:cs="宋体"/>
          <w:lang w:val="en-US" w:eastAsia="zh-CN"/>
        </w:rPr>
        <w:t>XXX</w:t>
      </w:r>
      <w:r>
        <w:rPr>
          <w:rFonts w:cs="宋体"/>
          <w:lang w:val="zh-CN"/>
        </w:rPr>
        <w:t>大学（能源与环境科学学院）属于协议研究单位，中标后我公司承诺在合</w:t>
      </w:r>
      <w:r>
        <w:rPr>
          <w:rFonts w:hint="eastAsia" w:cs="宋体"/>
          <w:lang w:val="en-US" w:eastAsia="zh-CN"/>
        </w:rPr>
        <w:t>同</w:t>
      </w:r>
      <w:r>
        <w:rPr>
          <w:rFonts w:cs="宋体"/>
          <w:lang w:val="zh-CN"/>
        </w:rPr>
        <w:t>履行区将邀请</w:t>
      </w:r>
      <w:r>
        <w:rPr>
          <w:rFonts w:hint="eastAsia" w:cs="宋体"/>
          <w:lang w:val="en-US" w:eastAsia="zh-CN"/>
        </w:rPr>
        <w:t>XXX大学</w:t>
      </w:r>
      <w:r>
        <w:rPr>
          <w:rFonts w:cs="宋体"/>
          <w:lang w:val="zh-CN"/>
        </w:rPr>
        <w:t>博士生团队对采购方进行至少一期的针对土壤、肥料种植技术等进行专业培训。</w:t>
      </w:r>
    </w:p>
    <w:p>
      <w:pPr>
        <w:widowControl/>
        <w:spacing w:before="0" w:after="0" w:line="240" w:lineRule="auto"/>
        <w:ind w:firstLine="0" w:firstLineChars="0"/>
        <w:jc w:val="left"/>
        <w:rPr>
          <w:rFonts w:cs="宋体"/>
          <w:lang w:val="zh-CN"/>
        </w:rPr>
      </w:pPr>
      <w:r>
        <w:rPr>
          <w:rFonts w:cs="宋体"/>
          <w:lang w:val="zh-CN"/>
        </w:rPr>
        <w:br w:type="page"/>
      </w:r>
    </w:p>
    <w:p>
      <w:pPr>
        <w:pStyle w:val="5"/>
        <w:bidi w:val="0"/>
      </w:pPr>
      <w:bookmarkStart w:id="827" w:name="_Toc105600366"/>
      <w:bookmarkStart w:id="828" w:name="_Ref118206969"/>
      <w:bookmarkStart w:id="829" w:name="_Ref118206962"/>
      <w:bookmarkStart w:id="830" w:name="_Toc118293336"/>
      <w:bookmarkStart w:id="831" w:name="_Toc118233238"/>
      <w:bookmarkStart w:id="832" w:name="_Ref118206960"/>
      <w:bookmarkStart w:id="833" w:name="_Toc31089"/>
      <w:bookmarkStart w:id="834" w:name="_Toc116121580"/>
      <w:r>
        <w:rPr>
          <w:rFonts w:hint="eastAsia"/>
          <w:lang w:val="en-US" w:eastAsia="zh-CN"/>
        </w:rPr>
        <w:t>八</w:t>
      </w:r>
      <w:r>
        <w:rPr>
          <w:rFonts w:hint="default"/>
          <w:lang w:val="en-US" w:eastAsia="zh-CN"/>
        </w:rPr>
        <w:t>、</w:t>
      </w:r>
      <w:r>
        <w:rPr>
          <w:rFonts w:hint="eastAsia"/>
        </w:rPr>
        <w:t>服务措施</w:t>
      </w:r>
      <w:bookmarkEnd w:id="827"/>
      <w:bookmarkEnd w:id="828"/>
      <w:bookmarkEnd w:id="829"/>
      <w:bookmarkEnd w:id="830"/>
      <w:bookmarkEnd w:id="831"/>
      <w:bookmarkEnd w:id="832"/>
      <w:bookmarkEnd w:id="833"/>
      <w:bookmarkEnd w:id="834"/>
    </w:p>
    <w:p>
      <w:pPr>
        <w:ind w:firstLine="480"/>
      </w:pPr>
      <w:r>
        <w:rPr>
          <w:rFonts w:hint="eastAsia"/>
        </w:rPr>
        <w:t>公司在采购方所在地设立农化服务工作站，配备农化服务农艺师</w:t>
      </w:r>
      <w:r>
        <w:t>2</w:t>
      </w:r>
      <w:r>
        <w:rPr>
          <w:rFonts w:hint="eastAsia"/>
        </w:rPr>
        <w:t>名，宣传员1名。主要针对该项目对各村镇用户进行农化和技术服务。</w:t>
      </w:r>
    </w:p>
    <w:p>
      <w:pPr>
        <w:pStyle w:val="6"/>
        <w:bidi w:val="0"/>
      </w:pPr>
      <w:bookmarkStart w:id="835" w:name="_Toc14421"/>
      <w:r>
        <w:rPr>
          <w:rFonts w:hint="eastAsia"/>
          <w:lang w:eastAsia="zh-CN"/>
        </w:rPr>
        <w:t>（</w:t>
      </w:r>
      <w:r>
        <w:rPr>
          <w:rFonts w:hint="eastAsia"/>
          <w:lang w:val="en-US" w:eastAsia="zh-CN"/>
        </w:rPr>
        <w:t>一</w:t>
      </w:r>
      <w:r>
        <w:rPr>
          <w:rFonts w:hint="eastAsia"/>
          <w:lang w:eastAsia="zh-CN"/>
        </w:rPr>
        <w:t>）</w:t>
      </w:r>
      <w:r>
        <w:rPr>
          <w:rFonts w:hint="eastAsia"/>
        </w:rPr>
        <w:t>跟踪服务</w:t>
      </w:r>
      <w:bookmarkEnd w:id="835"/>
    </w:p>
    <w:p>
      <w:pPr>
        <w:ind w:firstLine="480"/>
      </w:pPr>
      <w:r>
        <w:rPr>
          <w:rFonts w:hint="eastAsia"/>
        </w:rPr>
        <w:t>根据采购方要求公司随时安排农艺师到采购方进行技术指导和实地培训，货到采购方指定地点后，公司先派2名农艺师和一名宣传员随货到村进行组织培训施肥知识，协助采购人培训社区作物自律管理站人员及用户使用技术等：让用户了解产品的性能、使用方法及注意事项。公司根据采购方需要随时加派农艺师和技术人员。</w:t>
      </w:r>
    </w:p>
    <w:p>
      <w:pPr>
        <w:pStyle w:val="6"/>
        <w:bidi w:val="0"/>
        <w:rPr>
          <w:rFonts w:hint="eastAsia"/>
          <w:lang w:eastAsia="zh-CN"/>
        </w:rPr>
      </w:pPr>
      <w:bookmarkStart w:id="836" w:name="_Toc10147"/>
      <w:r>
        <w:rPr>
          <w:rFonts w:hint="eastAsia"/>
          <w:lang w:eastAsia="zh-CN"/>
        </w:rPr>
        <w:t>（</w:t>
      </w:r>
      <w:r>
        <w:rPr>
          <w:rFonts w:hint="eastAsia"/>
          <w:lang w:val="en-US" w:eastAsia="zh-CN"/>
        </w:rPr>
        <w:t>二</w:t>
      </w:r>
      <w:r>
        <w:rPr>
          <w:rFonts w:hint="eastAsia"/>
          <w:lang w:eastAsia="zh-CN"/>
        </w:rPr>
        <w:t>）</w:t>
      </w:r>
      <w:r>
        <w:rPr>
          <w:rFonts w:hint="eastAsia"/>
        </w:rPr>
        <w:t>组织培训</w:t>
      </w:r>
      <w:bookmarkEnd w:id="836"/>
    </w:p>
    <w:p>
      <w:pPr>
        <w:ind w:firstLine="480"/>
      </w:pPr>
      <w:r>
        <w:rPr>
          <w:rFonts w:hint="eastAsia"/>
        </w:rPr>
        <w:t>（</w:t>
      </w:r>
      <w:r>
        <w:rPr>
          <w:rFonts w:hint="eastAsia"/>
          <w:lang w:val="en-US" w:eastAsia="zh-CN"/>
        </w:rPr>
        <w:t>一</w:t>
      </w:r>
      <w:r>
        <w:rPr>
          <w:rFonts w:hint="eastAsia"/>
        </w:rPr>
        <w:t>）供货前期分期分批进行培训指导，以村为单位组织用户进行肥料基本知识培训，前期也可根据采购方要求制定培训计划。</w:t>
      </w:r>
    </w:p>
    <w:p>
      <w:pPr>
        <w:ind w:firstLine="480"/>
      </w:pPr>
      <w:r>
        <w:rPr>
          <w:rFonts w:hint="eastAsia"/>
        </w:rPr>
        <w:t>（</w:t>
      </w:r>
      <w:r>
        <w:rPr>
          <w:rFonts w:hint="eastAsia"/>
          <w:lang w:val="en-US" w:eastAsia="zh-CN"/>
        </w:rPr>
        <w:t>二</w:t>
      </w:r>
      <w:r>
        <w:rPr>
          <w:rFonts w:hint="eastAsia"/>
        </w:rPr>
        <w:t>）除采购方要求培训外，我公司也会定期安排技术人员配合村委领导对村民进行培训。</w:t>
      </w:r>
    </w:p>
    <w:p>
      <w:pPr>
        <w:widowControl/>
        <w:spacing w:before="0" w:after="0" w:line="240" w:lineRule="auto"/>
        <w:ind w:firstLine="0" w:firstLineChars="0"/>
        <w:jc w:val="left"/>
      </w:pPr>
      <w:r>
        <w:br w:type="page"/>
      </w:r>
    </w:p>
    <w:p>
      <w:pPr>
        <w:pStyle w:val="5"/>
        <w:bidi w:val="0"/>
      </w:pPr>
      <w:bookmarkStart w:id="837" w:name="_Toc105600367"/>
      <w:bookmarkStart w:id="838" w:name="_Ref118206984"/>
      <w:bookmarkStart w:id="839" w:name="_Toc118233239"/>
      <w:bookmarkStart w:id="840" w:name="_Ref118206975"/>
      <w:bookmarkStart w:id="841" w:name="_Toc118293337"/>
      <w:bookmarkStart w:id="842" w:name="_Ref118206978"/>
      <w:bookmarkStart w:id="843" w:name="_Toc441"/>
      <w:bookmarkStart w:id="844" w:name="_Toc116121581"/>
      <w:r>
        <w:rPr>
          <w:rFonts w:hint="eastAsia"/>
          <w:lang w:val="en-US" w:eastAsia="zh-CN"/>
        </w:rPr>
        <w:t>九</w:t>
      </w:r>
      <w:r>
        <w:rPr>
          <w:rFonts w:hint="default"/>
          <w:lang w:val="en-US" w:eastAsia="zh-CN"/>
        </w:rPr>
        <w:t>、</w:t>
      </w:r>
      <w:r>
        <w:rPr>
          <w:rFonts w:hint="eastAsia"/>
        </w:rPr>
        <w:t>售后服务响应</w:t>
      </w:r>
      <w:bookmarkEnd w:id="837"/>
      <w:bookmarkEnd w:id="838"/>
      <w:bookmarkEnd w:id="839"/>
      <w:bookmarkEnd w:id="840"/>
      <w:bookmarkEnd w:id="841"/>
      <w:bookmarkEnd w:id="842"/>
      <w:bookmarkEnd w:id="843"/>
      <w:bookmarkEnd w:id="844"/>
    </w:p>
    <w:p>
      <w:pPr>
        <w:ind w:firstLine="480"/>
      </w:pPr>
      <w:r>
        <w:rPr>
          <w:rFonts w:hint="eastAsia"/>
        </w:rPr>
        <w:t>我公司通过公示的电话、信箱或其他方式，接受客户的服务咨询、使用意见反馈、投诉等事务（售后咨询电话为：</w:t>
      </w:r>
      <w:r>
        <w:rPr>
          <w:rFonts w:hint="eastAsia"/>
          <w:lang w:val="en-US" w:eastAsia="zh-CN"/>
        </w:rPr>
        <w:t>XXX</w:t>
      </w:r>
      <w:r>
        <w:rPr>
          <w:rFonts w:hint="eastAsia"/>
        </w:rPr>
        <w:t>）。我公司提供7*24小时电话技术支持和咨询服务，售后服务人员均能在24小时内解答。售后响应时间为：自接到业主单位关于产品售后服务的咨询及现场指导，我公司将在2小时内积极响应，到场进行现场指导和察看供货物品的质量情况，如果出现货物质量问题，我公司将在2小时内进行更换。</w:t>
      </w:r>
    </w:p>
    <w:p>
      <w:pPr>
        <w:ind w:firstLine="480"/>
      </w:pPr>
      <w:r>
        <w:rPr>
          <w:rFonts w:hint="eastAsia"/>
        </w:rPr>
        <w:t>用户对售后服务不满意，或对我公司售后服务有好的建议或意见，可以通过以下通信方式联系售后服务监督部门：</w:t>
      </w:r>
    </w:p>
    <w:p>
      <w:pPr>
        <w:ind w:firstLine="480"/>
        <w:rPr>
          <w:rFonts w:hint="default" w:eastAsia="宋体"/>
          <w:lang w:val="en-US" w:eastAsia="zh-CN"/>
        </w:rPr>
      </w:pPr>
      <w:r>
        <w:rPr>
          <w:rFonts w:hint="eastAsia"/>
        </w:rPr>
        <w:t>电话：</w:t>
      </w:r>
      <w:r>
        <w:rPr>
          <w:rFonts w:hint="eastAsia"/>
          <w:lang w:val="en-US" w:eastAsia="zh-CN"/>
        </w:rPr>
        <w:t>XXX、XXX</w:t>
      </w:r>
    </w:p>
    <w:p>
      <w:pPr>
        <w:ind w:firstLine="480"/>
      </w:pPr>
      <w:r>
        <w:rPr>
          <w:rFonts w:hint="eastAsia"/>
        </w:rPr>
        <w:t>用户方也可直接拔打消费者协会投诉电话12315进行投诉，用户拥有消费投诉权，用户任何在法律许可范围内的投诉我公司都是认可的。我们郑重承诺，不会因用户的投诉而终止售后服务或降低售后服务标准。</w:t>
      </w:r>
    </w:p>
    <w:p>
      <w:pPr>
        <w:widowControl/>
        <w:spacing w:before="0" w:after="0" w:line="240" w:lineRule="auto"/>
        <w:ind w:firstLine="0" w:firstLineChars="0"/>
        <w:jc w:val="left"/>
      </w:pPr>
      <w:r>
        <w:br w:type="page"/>
      </w:r>
    </w:p>
    <w:p>
      <w:pPr>
        <w:pStyle w:val="5"/>
        <w:bidi w:val="0"/>
      </w:pPr>
      <w:bookmarkStart w:id="845" w:name="_Toc116121582"/>
      <w:bookmarkStart w:id="846" w:name="_Ref118207009"/>
      <w:bookmarkStart w:id="847" w:name="_Ref118207019"/>
      <w:bookmarkStart w:id="848" w:name="_Ref118207002"/>
      <w:bookmarkStart w:id="849" w:name="_Toc118233240"/>
      <w:bookmarkStart w:id="850" w:name="_Toc118293338"/>
      <w:bookmarkStart w:id="851" w:name="_Toc14244"/>
      <w:bookmarkStart w:id="852" w:name="_Ref118207005"/>
      <w:bookmarkStart w:id="853" w:name="_Toc105600368"/>
      <w:r>
        <w:rPr>
          <w:rFonts w:hint="eastAsia"/>
          <w:lang w:val="en-US" w:eastAsia="zh-CN"/>
        </w:rPr>
        <w:t>十</w:t>
      </w:r>
      <w:r>
        <w:rPr>
          <w:rFonts w:hint="default"/>
          <w:lang w:val="en-US" w:eastAsia="zh-CN"/>
        </w:rPr>
        <w:t>、</w:t>
      </w:r>
      <w:r>
        <w:rPr>
          <w:rFonts w:hint="eastAsia"/>
        </w:rPr>
        <w:t>售后服务人员培训计划</w:t>
      </w:r>
      <w:bookmarkEnd w:id="845"/>
      <w:bookmarkEnd w:id="846"/>
      <w:bookmarkEnd w:id="847"/>
      <w:bookmarkEnd w:id="848"/>
      <w:bookmarkEnd w:id="849"/>
      <w:bookmarkEnd w:id="850"/>
      <w:bookmarkEnd w:id="851"/>
      <w:bookmarkEnd w:id="852"/>
      <w:bookmarkEnd w:id="853"/>
    </w:p>
    <w:p>
      <w:pPr>
        <w:ind w:firstLine="480"/>
      </w:pPr>
      <w:r>
        <w:rPr>
          <w:rFonts w:hint="eastAsia"/>
        </w:rPr>
        <w:t>我公司将组织定期的有机肥使用培训，以便于使用方能准确的熟悉有机肥的使用方法及用量。我公司在使用培训要求上将提供完整的培训计划，为采购人培训1名人员，直至能独立使用有机肥料的方法及用量为止。</w:t>
      </w:r>
    </w:p>
    <w:p>
      <w:pPr>
        <w:ind w:firstLine="480"/>
      </w:pPr>
      <w:r>
        <w:rPr>
          <w:rFonts w:hint="eastAsia"/>
        </w:rPr>
        <w:t>所有我单位销售之产品都将派遣专业技术人员上门对使用者进行产品使用培训,确保产品的正常使用,避免因使用不当对采购人造成的经济损失。</w:t>
      </w:r>
    </w:p>
    <w:p>
      <w:pPr>
        <w:ind w:firstLine="480"/>
      </w:pPr>
      <w:r>
        <w:rPr>
          <w:rFonts w:hint="eastAsia"/>
        </w:rPr>
        <w:t>培训内容包括：有机肥使用方法及注意事项</w:t>
      </w:r>
    </w:p>
    <w:p>
      <w:pPr>
        <w:ind w:firstLine="480"/>
      </w:pPr>
      <w:r>
        <w:rPr>
          <w:rFonts w:hint="eastAsia"/>
        </w:rPr>
        <w:t>（</w:t>
      </w:r>
      <w:r>
        <w:rPr>
          <w:rFonts w:hint="eastAsia"/>
          <w:lang w:val="en-US" w:eastAsia="zh-CN"/>
        </w:rPr>
        <w:t>一</w:t>
      </w:r>
      <w:r>
        <w:rPr>
          <w:rFonts w:hint="eastAsia"/>
        </w:rPr>
        <w:t>）本产品肥料适宜作基肥施用，适宜于：一切作物。</w:t>
      </w:r>
    </w:p>
    <w:p>
      <w:pPr>
        <w:ind w:firstLine="480"/>
      </w:pPr>
      <w:r>
        <w:rPr>
          <w:rFonts w:hint="eastAsia"/>
        </w:rPr>
        <w:t>本产品宜做底肥使用，可沟施、穴施或散施，与土壤充分混合，施肥时需离开植物根系。推荐亩用量200-400公斤左右，具体地块可根据土壤肥力适当增减用量。</w:t>
      </w:r>
    </w:p>
    <w:p>
      <w:pPr>
        <w:ind w:firstLine="480"/>
      </w:pPr>
      <w:r>
        <w:rPr>
          <w:rFonts w:hint="eastAsia"/>
        </w:rPr>
        <w:t>（</w:t>
      </w:r>
      <w:r>
        <w:rPr>
          <w:rFonts w:hint="eastAsia"/>
          <w:lang w:val="en-US" w:eastAsia="zh-CN"/>
        </w:rPr>
        <w:t>二</w:t>
      </w:r>
      <w:r>
        <w:rPr>
          <w:rFonts w:hint="eastAsia"/>
        </w:rPr>
        <w:t>）施用方法</w:t>
      </w:r>
    </w:p>
    <w:p>
      <w:pPr>
        <w:ind w:firstLine="480"/>
      </w:pPr>
      <w:r>
        <w:rPr>
          <w:rFonts w:hint="eastAsia"/>
        </w:rPr>
        <w:t>基本原则：适时、适地，少量多次、勤施、薄施。</w:t>
      </w:r>
    </w:p>
    <w:p>
      <w:pPr>
        <w:ind w:firstLine="480"/>
      </w:pPr>
      <w:r>
        <w:rPr>
          <w:rFonts w:hint="eastAsia"/>
        </w:rPr>
        <w:t>尤其是粉状化学肥料，加水稀释的倍数要适中，避免肥伤；肥料的施放位置应尽可能埋置盆缘或离根部较远的地方，避免与植株根部直接接触，不伤及根部；室外植物对养分需求量大，光合作用强，需肥量多，而阴暗处植物需肥量小；植株生长快速，生长势强的需肥量多，生长势弱者需肥少；按照规定浓度，精确配制。</w:t>
      </w:r>
    </w:p>
    <w:p>
      <w:pPr>
        <w:ind w:firstLine="480"/>
      </w:pPr>
      <w:r>
        <w:rPr>
          <w:rFonts w:hint="eastAsia"/>
          <w:lang w:val="en-US" w:eastAsia="zh-CN"/>
        </w:rPr>
        <w:t>1、</w:t>
      </w:r>
      <w:r>
        <w:rPr>
          <w:rFonts w:hint="eastAsia"/>
        </w:rPr>
        <w:t>根部施肥，可分为撒施、穴施、条施和环施。撒施：将肥料均匀地撒布于种植区域的土面上，施用方便，但肥料容易流失，利用率低。条施：在条植作物园中，于作物行间挖沟，将肥料施下后与土壤充分混合。穴施：在植株近旁挖穴，将肥料施入后覆土，此法适用于需肥较多或较集中的植物。环施：适用于多年生果树，沿果树滴水线挖掘约30cm深的沟，施用后覆土。</w:t>
      </w:r>
    </w:p>
    <w:p>
      <w:pPr>
        <w:ind w:firstLine="480"/>
      </w:pPr>
      <w:r>
        <w:rPr>
          <w:rFonts w:hint="eastAsia"/>
          <w:lang w:val="en-US" w:eastAsia="zh-CN"/>
        </w:rPr>
        <w:t>2、</w:t>
      </w:r>
      <w:r>
        <w:rPr>
          <w:rFonts w:hint="eastAsia"/>
        </w:rPr>
        <w:t>每种植物都有最佳施肥方案，植物不同，所选用的肥料种类不同、配方不同。</w:t>
      </w:r>
    </w:p>
    <w:p>
      <w:pPr>
        <w:ind w:firstLine="480"/>
      </w:pPr>
      <w:r>
        <w:rPr>
          <w:rFonts w:hint="eastAsia"/>
        </w:rPr>
        <w:t>我公司把设立在巴塘县的售后服务网点人员和售前成立的服务队伍，组成本项目的售后服务技术队伍，立即开展产品使用前的技术指导工作，为当地农户发放产品使用说明书。</w:t>
      </w:r>
    </w:p>
    <w:p>
      <w:pPr>
        <w:ind w:firstLine="482"/>
        <w:rPr>
          <w:b/>
          <w:bCs/>
        </w:rPr>
      </w:pPr>
      <w:r>
        <w:rPr>
          <w:rFonts w:hint="eastAsia"/>
          <w:b/>
          <w:bCs/>
        </w:rPr>
        <w:t>有机肥使用技术指导：</w:t>
      </w:r>
    </w:p>
    <w:p>
      <w:pPr>
        <w:ind w:firstLine="480"/>
      </w:pPr>
      <w:r>
        <w:rPr>
          <w:rFonts w:hint="eastAsia"/>
        </w:rPr>
        <w:t>有机肥料含有有机物质，不仅可提供作物生长所要的各类营养物质，而且能改善土壤的结构、增强土壤保水保肥能力。有机质分解后产生腐殖酸、维生素、抗生素和各种酶，改善了作物根系的营养环境，促进了作物根系及地上部分的生长发育，提高了作物对养分的吸收能力。有机质分解所产生的有机酸还可提高土壤中微量元素的有效性。施肥的最大目标就是通过施肥改善土壤理化性状，协调作物生长环境条件。充分发挥肥料的增产作用，不仅要协调和满足当季作物增产对养分的要求，还应保持土壤肥力不降低，维持农业可持续发展。土壤、植物和肥料三者之间，既是互相关联，又是相互影响、相互制约的。科学施肥要充分考虑三者之间相互关系，针对土壤、作物合理施肥。</w:t>
      </w:r>
    </w:p>
    <w:p>
      <w:pPr>
        <w:ind w:firstLine="480"/>
      </w:pPr>
      <w:r>
        <w:rPr>
          <w:rFonts w:hint="eastAsia"/>
        </w:rPr>
        <w:t>（</w:t>
      </w:r>
      <w:r>
        <w:rPr>
          <w:rFonts w:hint="eastAsia"/>
          <w:lang w:val="en-US" w:eastAsia="zh-CN"/>
        </w:rPr>
        <w:t>三</w:t>
      </w:r>
      <w:r>
        <w:rPr>
          <w:rFonts w:hint="eastAsia"/>
        </w:rPr>
        <w:t>）因土施肥</w:t>
      </w:r>
    </w:p>
    <w:p>
      <w:pPr>
        <w:ind w:firstLine="480"/>
      </w:pPr>
      <w:r>
        <w:rPr>
          <w:rFonts w:hint="eastAsia"/>
          <w:lang w:val="en-US" w:eastAsia="zh-CN"/>
        </w:rPr>
        <w:t>1、</w:t>
      </w:r>
      <w:r>
        <w:rPr>
          <w:rFonts w:hint="eastAsia"/>
        </w:rPr>
        <w:t>根据土壤肥力施肥土壤有别于母质的特性就是其具有肥力，土壤肥力是土壤供给作物不同数量、不同比例养分，适应作物生长的能力。它包括土壤有效养分供应量、土壤通气状况、土壤保水保肥能力、土壤微生物数量等。土壤肥力状况高低直接决定着作物产量的高低，首先应根据土壤肥力确定合适的目标产量。一般以该地块前三年作物的平均产量增加10%作为目标产量。根据土壤肥力和目标产量的髙低确定施肥量。对于高肥力地块，土壤供肥能力强，适当减少底肥所占全生育期肥料用量的比例，增加后期追肥的比例；对于低肥力土壤，土壤供应养分量少，应增加底肥的用量，后期合理追肥。尤其要增加低肥力地块底肥中有机肥料的用量，有机肥料不仅要提供当季作物生长所需的养分，还可培肥土壤。</w:t>
      </w:r>
    </w:p>
    <w:p>
      <w:pPr>
        <w:ind w:firstLine="480"/>
      </w:pPr>
      <w:r>
        <w:rPr>
          <w:rFonts w:hint="eastAsia"/>
          <w:lang w:val="en-US" w:eastAsia="zh-CN"/>
        </w:rPr>
        <w:t>2、</w:t>
      </w:r>
      <w:r>
        <w:rPr>
          <w:rFonts w:hint="eastAsia"/>
        </w:rPr>
        <w:t>根据土壤质地施肥根据不同质地土壤中有机肥料养分释放转化性能和土壤保肥性能不同，应采用不同的施肥方案。沙土土壤肥力较低，有机质和各种养分的含量均较低，土壤保肥保水能力差，养分易流失。但沙土有良好的通透性能，有机质分解快，养分供应快。沙土应增施有机肥料，提髙土壤有机质含量，改善土壤的理化性状，增强保肥、保水性能。但对于养分含量髙的优质有机肥料，一次使用量不能太多，使用过量也容易烧苗，转化的速效养分也容易流失，养分含量高的优质有机肥料可分底肥和追肥使用。也可深施大量堆腐秸秆和养分含量低、养分释放慢的粗杂有机肥料。土地施用的有机肥料必须充分腐熟；黏土养分供应慢，有机肥料应可早施，可接近作物根部。旱地土壤水分供应不足，阻碍养分在土壤溶液中向根表面迁移，影响作物对养分的吸收利用。应大量增施有机肥料，增加土壤团粒结构，改善土壤的通透性，增强土壤蓄水、保水能力。</w:t>
      </w:r>
    </w:p>
    <w:p>
      <w:pPr>
        <w:ind w:firstLine="480"/>
      </w:pPr>
      <w:r>
        <w:rPr>
          <w:rFonts w:hint="eastAsia"/>
        </w:rPr>
        <w:t>（</w:t>
      </w:r>
      <w:r>
        <w:rPr>
          <w:rFonts w:hint="eastAsia"/>
          <w:lang w:val="en-US" w:eastAsia="zh-CN"/>
        </w:rPr>
        <w:t>四</w:t>
      </w:r>
      <w:r>
        <w:rPr>
          <w:rFonts w:hint="eastAsia"/>
        </w:rPr>
        <w:t>）根据肥料特性施肥</w:t>
      </w:r>
    </w:p>
    <w:p>
      <w:pPr>
        <w:ind w:firstLine="480"/>
      </w:pPr>
      <w:r>
        <w:rPr>
          <w:rFonts w:hint="eastAsia"/>
        </w:rPr>
        <w:t>有机肥料原料广泛，不同原料加工的有机肥料养分差别很大，不同种肥料在不同土壤中的反应也不同。因此，施肥时应根据肥料特性，·采取相应的措施，提高作物对肥料的利用率。各类有机肥料中以氨基酸肥的性能最好，不仅含有丰富的有机质，还含有丰富的养分，对改善作物品质作用明显，是西瓜、花卉等作物的理想用肥。由于其养分量较高，既可做底肥，也可做追肥，尽量采用穴施、沟施，每次用量要少。秸杆类有机肥料的有机物含量高，这类有机肥料对增加土壤有机质含量，培肥地力作用明显。秸秆在土壤中分解较慢，秸秆类有机肥料适宜做底肥，肥料用量可加大。但氮、磷、钾养分含量相对较低，微生物分解秸秆还需消耗氮素，要注意秸秆有机肥料与氮磷钾化肥的配合。畜禽粪便类有机肥料的有机质含量中等，氮、磷、钾等养分含量丰富，由于其来源广泛，使用量比较大。但由于其加工条件的不一样，其成品肥的有机质和氮、磷、钾养分差别，选购使用该类有机肥料时应注意其质量的判别。以纯畜禽粪便工厂化快速腐熟加工的有机肥料，其养分含量高，应少施，集中使用，一般做底肥使用，也可做追肥。含有大量杂质，采取自然堆腐加工的有机肥料，有机质和养分含量均较低，应做底肥使用，量可以加大。另外，畜禽粪便类有机肥料一定要经过灭菌处理，否则容易给人、畜传染疾病。绿肥是经人工种植的一种肥地作物，有机质和养分含量均较丰富。但种植、翻压绿肥一定要注意茬口的安排，不要影响主要作物的生长。绿肥一般有固氮能力，应注意补充磷钾肥。垃圾类有机肥料的有机质和养分含量受原料的影响，很不稳定，每一批肥料的有机质和养分含量都不一样，一般含量不高，适宜做底肥使用。由于垃圾成分复杂，有时含有大量对人和作物极其有害的物质，如重金属、放射性物质等，使用垃圾肥时对加工肥料的垃圾来源要弄清楚，含有有害物质的垃圾肥严禁施用到蔬菜和粮食作物上，可用于人工绿地和绿化树木。</w:t>
      </w:r>
    </w:p>
    <w:p>
      <w:pPr>
        <w:pStyle w:val="5"/>
        <w:bidi w:val="0"/>
      </w:pPr>
      <w:bookmarkStart w:id="854" w:name="_Ref118207033"/>
      <w:bookmarkStart w:id="855" w:name="_Toc21709"/>
      <w:bookmarkStart w:id="856" w:name="_Toc105600369"/>
      <w:bookmarkStart w:id="857" w:name="_Ref118207023"/>
      <w:bookmarkStart w:id="858" w:name="_Ref118207025"/>
      <w:bookmarkStart w:id="859" w:name="_Toc116121583"/>
      <w:bookmarkStart w:id="860" w:name="_Toc118293339"/>
      <w:bookmarkStart w:id="861" w:name="_Toc118233241"/>
      <w:r>
        <w:rPr>
          <w:rFonts w:hint="eastAsia"/>
          <w:lang w:val="en-US" w:eastAsia="zh-CN"/>
        </w:rPr>
        <w:t>十一</w:t>
      </w:r>
      <w:r>
        <w:rPr>
          <w:rFonts w:hint="default"/>
          <w:lang w:val="en-US" w:eastAsia="zh-CN"/>
        </w:rPr>
        <w:t>、</w:t>
      </w:r>
      <w:r>
        <w:rPr>
          <w:rFonts w:hint="eastAsia"/>
        </w:rPr>
        <w:t>售后回访计划</w:t>
      </w:r>
      <w:bookmarkEnd w:id="854"/>
      <w:bookmarkEnd w:id="855"/>
      <w:bookmarkEnd w:id="856"/>
      <w:bookmarkEnd w:id="857"/>
      <w:bookmarkEnd w:id="858"/>
      <w:bookmarkEnd w:id="859"/>
      <w:bookmarkEnd w:id="860"/>
      <w:bookmarkEnd w:id="861"/>
    </w:p>
    <w:p>
      <w:pPr>
        <w:ind w:firstLine="480"/>
      </w:pPr>
      <w:r>
        <w:rPr>
          <w:rFonts w:hint="eastAsia"/>
        </w:rPr>
        <w:t>我单位技术人员及售后服务人员对采购人进行定期每月回访,对产品的使用效果进行后期的详细观察和标记,并会请采购人相关负责人填写巡查反馈信息单以便我单位更好的进行售后服务。</w:t>
      </w:r>
    </w:p>
    <w:p>
      <w:pPr>
        <w:widowControl/>
        <w:spacing w:before="0" w:after="0" w:line="240" w:lineRule="auto"/>
        <w:ind w:firstLine="0" w:firstLineChars="0"/>
        <w:jc w:val="left"/>
      </w:pPr>
      <w:r>
        <w:br w:type="page"/>
      </w:r>
    </w:p>
    <w:p>
      <w:pPr>
        <w:pStyle w:val="5"/>
        <w:bidi w:val="0"/>
      </w:pPr>
      <w:bookmarkStart w:id="862" w:name="_Toc118233243"/>
      <w:bookmarkStart w:id="863" w:name="_Toc24127"/>
      <w:bookmarkStart w:id="864" w:name="_Ref118207072"/>
      <w:bookmarkStart w:id="865" w:name="_Toc105600371"/>
      <w:bookmarkStart w:id="866" w:name="_Ref118207064"/>
      <w:bookmarkStart w:id="867" w:name="_Toc118293340"/>
      <w:bookmarkStart w:id="868" w:name="_Toc116121585"/>
      <w:bookmarkStart w:id="869" w:name="_Toc109319076"/>
      <w:bookmarkStart w:id="870" w:name="_Ref118207062"/>
      <w:bookmarkStart w:id="871" w:name="_Toc109300781"/>
      <w:r>
        <w:rPr>
          <w:rFonts w:hint="eastAsia"/>
          <w:lang w:val="en-US" w:eastAsia="zh-CN"/>
        </w:rPr>
        <w:t>十二</w:t>
      </w:r>
      <w:r>
        <w:rPr>
          <w:rFonts w:hint="default"/>
          <w:lang w:val="en-US" w:eastAsia="zh-CN"/>
        </w:rPr>
        <w:t>、</w:t>
      </w:r>
      <w:r>
        <w:rPr>
          <w:rFonts w:hint="eastAsia"/>
        </w:rPr>
        <w:t>售后应急预案</w:t>
      </w:r>
      <w:bookmarkEnd w:id="862"/>
      <w:bookmarkEnd w:id="863"/>
      <w:bookmarkEnd w:id="864"/>
      <w:bookmarkEnd w:id="865"/>
      <w:bookmarkEnd w:id="866"/>
      <w:bookmarkEnd w:id="867"/>
      <w:bookmarkEnd w:id="868"/>
      <w:bookmarkEnd w:id="869"/>
      <w:bookmarkEnd w:id="870"/>
      <w:bookmarkEnd w:id="871"/>
    </w:p>
    <w:p>
      <w:pPr>
        <w:pStyle w:val="6"/>
        <w:bidi w:val="0"/>
      </w:pPr>
      <w:bookmarkStart w:id="872" w:name="_Toc1554"/>
      <w:r>
        <w:rPr>
          <w:rFonts w:hint="eastAsia"/>
        </w:rPr>
        <w:t>（</w:t>
      </w:r>
      <w:r>
        <w:rPr>
          <w:rFonts w:hint="eastAsia"/>
          <w:lang w:val="en-US" w:eastAsia="zh-CN"/>
        </w:rPr>
        <w:t>一</w:t>
      </w:r>
      <w:r>
        <w:rPr>
          <w:rFonts w:hint="eastAsia"/>
        </w:rPr>
        <w:t>）售后供货数量发生变化的应急预案</w:t>
      </w:r>
      <w:bookmarkEnd w:id="872"/>
    </w:p>
    <w:p>
      <w:pPr>
        <w:ind w:firstLine="480"/>
      </w:pPr>
      <w:r>
        <w:rPr>
          <w:rFonts w:hint="eastAsia"/>
          <w:lang w:eastAsia="zh-CN"/>
        </w:rPr>
        <w:t>（</w:t>
      </w:r>
      <w:r>
        <w:rPr>
          <w:rFonts w:hint="eastAsia"/>
          <w:lang w:val="en-US" w:eastAsia="zh-CN"/>
        </w:rPr>
        <w:t>一</w:t>
      </w:r>
      <w:r>
        <w:rPr>
          <w:rFonts w:hint="eastAsia"/>
          <w:lang w:eastAsia="zh-CN"/>
        </w:rPr>
        <w:t>）</w:t>
      </w:r>
      <w:r>
        <w:rPr>
          <w:rFonts w:hint="eastAsia"/>
        </w:rPr>
        <w:t>如因需要，供货量变化超出暂定供货量的10%时，甲方以书面通知我方，此项通知甲方应充分考虑我方的合理备料和加工周期，具体增减数量以甲方书面通知为准。</w:t>
      </w:r>
    </w:p>
    <w:p>
      <w:pPr>
        <w:ind w:firstLine="480"/>
      </w:pPr>
      <w:r>
        <w:rPr>
          <w:rFonts w:hint="eastAsia"/>
          <w:lang w:eastAsia="zh-CN"/>
        </w:rPr>
        <w:t>（</w:t>
      </w:r>
      <w:r>
        <w:rPr>
          <w:rFonts w:hint="eastAsia"/>
          <w:lang w:val="en-US" w:eastAsia="zh-CN"/>
        </w:rPr>
        <w:t>二</w:t>
      </w:r>
      <w:r>
        <w:rPr>
          <w:rFonts w:hint="eastAsia"/>
          <w:lang w:eastAsia="zh-CN"/>
        </w:rPr>
        <w:t>）</w:t>
      </w:r>
      <w:r>
        <w:rPr>
          <w:rFonts w:hint="eastAsia"/>
        </w:rPr>
        <w:t>因甲方要求的产品加工方式及原材料品种变更而引起变更产品（即合同中约定的产品）供货期由我方、甲、丙方另行协商确定，且供货不得影响相应进度。</w:t>
      </w:r>
    </w:p>
    <w:p>
      <w:pPr>
        <w:pStyle w:val="6"/>
        <w:bidi w:val="0"/>
      </w:pPr>
      <w:bookmarkStart w:id="873" w:name="_Toc19790"/>
      <w:r>
        <w:rPr>
          <w:rFonts w:hint="eastAsia"/>
        </w:rPr>
        <w:t>（</w:t>
      </w:r>
      <w:r>
        <w:rPr>
          <w:rFonts w:hint="eastAsia"/>
          <w:lang w:val="en-US" w:eastAsia="zh-CN"/>
        </w:rPr>
        <w:t>二</w:t>
      </w:r>
      <w:r>
        <w:rPr>
          <w:rFonts w:hint="eastAsia"/>
        </w:rPr>
        <w:t>）售后遇有紧急情况的应急预案</w:t>
      </w:r>
      <w:bookmarkEnd w:id="873"/>
    </w:p>
    <w:p>
      <w:pPr>
        <w:ind w:firstLine="480"/>
      </w:pPr>
      <w:r>
        <w:rPr>
          <w:rFonts w:hint="eastAsia"/>
        </w:rPr>
        <w:t>售后遇有紧急情况，我公司在接到通知或订单时，第一时间启动应急方案，立即报告公司领导，组织相关部门进行评审，及时组织相关原材料，下发紧急订单到相关部门组织生产，一般情况下2天内可将货物送到客户指定的地点。</w:t>
      </w:r>
    </w:p>
    <w:p>
      <w:pPr>
        <w:ind w:firstLine="480"/>
      </w:pPr>
      <w:r>
        <w:rPr>
          <w:rFonts w:hint="eastAsia"/>
          <w:lang w:eastAsia="zh-CN"/>
        </w:rPr>
        <w:t>（</w:t>
      </w:r>
      <w:r>
        <w:rPr>
          <w:rFonts w:hint="eastAsia"/>
          <w:lang w:val="en-US" w:eastAsia="zh-CN"/>
        </w:rPr>
        <w:t>一</w:t>
      </w:r>
      <w:r>
        <w:rPr>
          <w:rFonts w:hint="eastAsia"/>
          <w:lang w:eastAsia="zh-CN"/>
        </w:rPr>
        <w:t>）</w:t>
      </w:r>
      <w:r>
        <w:rPr>
          <w:rFonts w:hint="eastAsia"/>
        </w:rPr>
        <w:t>物资供应部自接到紧急订单时，及时了解材料库存情况，根据库存情况立即调配各种原辅材料。经常供应的客户，一般情况下我公司会根据各个客户生产情况备有一定库存量的原辅材料，如果库存量不够或没有的情况下，我公司物资供应部会根据实际情况及时下达紧急供货通知单到相应的生产厂家，及时保证客户紧急订单的需求。</w:t>
      </w:r>
    </w:p>
    <w:p>
      <w:pPr>
        <w:ind w:firstLine="480"/>
      </w:pPr>
      <w:r>
        <w:rPr>
          <w:rFonts w:hint="eastAsia"/>
          <w:lang w:eastAsia="zh-CN"/>
        </w:rPr>
        <w:t>（</w:t>
      </w:r>
      <w:r>
        <w:rPr>
          <w:rFonts w:hint="eastAsia"/>
          <w:lang w:val="en-US" w:eastAsia="zh-CN"/>
        </w:rPr>
        <w:t>二</w:t>
      </w:r>
      <w:r>
        <w:rPr>
          <w:rFonts w:hint="eastAsia"/>
          <w:lang w:eastAsia="zh-CN"/>
        </w:rPr>
        <w:t>）</w:t>
      </w:r>
      <w:r>
        <w:rPr>
          <w:rFonts w:hint="eastAsia"/>
        </w:rPr>
        <w:t>生产部自接到紧急订单任务时，立即下达紧急生产通知单到相应生产车间，车间负责人根据订单要求及时调整生产机台数量，组织相关人员进生生产，车间负责人会根据实际情况，实行3天24小时生产制来完成订单任务。经常供应的客户，一般情况下我公司会根据各个客户生产情况备有一定库存量的产品。</w:t>
      </w:r>
    </w:p>
    <w:p>
      <w:pPr>
        <w:ind w:firstLine="480"/>
      </w:pPr>
      <w:r>
        <w:rPr>
          <w:rFonts w:hint="eastAsia"/>
          <w:lang w:eastAsia="zh-CN"/>
        </w:rPr>
        <w:t>（</w:t>
      </w:r>
      <w:r>
        <w:rPr>
          <w:rFonts w:hint="eastAsia"/>
          <w:lang w:val="en-US" w:eastAsia="zh-CN"/>
        </w:rPr>
        <w:t>三</w:t>
      </w:r>
      <w:r>
        <w:rPr>
          <w:rFonts w:hint="eastAsia"/>
          <w:lang w:eastAsia="zh-CN"/>
        </w:rPr>
        <w:t>）</w:t>
      </w:r>
      <w:r>
        <w:rPr>
          <w:rFonts w:hint="eastAsia"/>
        </w:rPr>
        <w:t>紧急运输响应速度：</w:t>
      </w:r>
    </w:p>
    <w:p>
      <w:pPr>
        <w:ind w:firstLine="480"/>
      </w:pPr>
      <w:r>
        <w:rPr>
          <w:rFonts w:hint="eastAsia"/>
        </w:rPr>
        <w:t>我公司目前与多家物流公司均建立有良好的合作关系，可全天候调运车辆，可充分保证客户的需要。一般情况下24小时内可将货物送到客户指定的地点。</w:t>
      </w:r>
    </w:p>
    <w:p>
      <w:pPr>
        <w:ind w:firstLine="480"/>
      </w:pPr>
      <w:r>
        <w:rPr>
          <w:rFonts w:hint="eastAsia"/>
          <w:lang w:eastAsia="zh-CN"/>
        </w:rPr>
        <w:t>（</w:t>
      </w:r>
      <w:r>
        <w:rPr>
          <w:rFonts w:hint="eastAsia"/>
          <w:lang w:val="en-US" w:eastAsia="zh-CN"/>
        </w:rPr>
        <w:t>四</w:t>
      </w:r>
      <w:r>
        <w:rPr>
          <w:rFonts w:hint="eastAsia"/>
          <w:lang w:eastAsia="zh-CN"/>
        </w:rPr>
        <w:t>）</w:t>
      </w:r>
      <w:r>
        <w:rPr>
          <w:rFonts w:hint="eastAsia"/>
        </w:rPr>
        <w:t>紧急运输措施：</w:t>
      </w:r>
    </w:p>
    <w:p>
      <w:pPr>
        <w:ind w:firstLine="480"/>
      </w:pPr>
      <w:r>
        <w:rPr>
          <w:rFonts w:hint="eastAsia"/>
        </w:rPr>
        <w:t>陆地汽车运输：一般情况下24小时内可将货物送到客户指定的地点。</w:t>
      </w:r>
    </w:p>
    <w:p>
      <w:pPr>
        <w:pStyle w:val="5"/>
        <w:bidi w:val="0"/>
      </w:pPr>
      <w:bookmarkStart w:id="874" w:name="_Toc109319078"/>
      <w:bookmarkStart w:id="875" w:name="_Ref118207090"/>
      <w:bookmarkStart w:id="876" w:name="_Toc105600374"/>
      <w:bookmarkStart w:id="877" w:name="_Toc118233245"/>
      <w:bookmarkStart w:id="878" w:name="_Toc23021"/>
      <w:bookmarkStart w:id="879" w:name="_Toc116121587"/>
      <w:bookmarkStart w:id="880" w:name="_Ref118207100"/>
      <w:bookmarkStart w:id="881" w:name="_Toc109300783"/>
      <w:bookmarkStart w:id="882" w:name="_Ref118207094"/>
      <w:bookmarkStart w:id="883" w:name="_Toc118293341"/>
      <w:r>
        <w:rPr>
          <w:rFonts w:hint="eastAsia"/>
          <w:lang w:val="en-US" w:eastAsia="zh-CN"/>
        </w:rPr>
        <w:t>十三</w:t>
      </w:r>
      <w:r>
        <w:rPr>
          <w:rFonts w:hint="default"/>
          <w:lang w:val="en-US" w:eastAsia="zh-CN"/>
        </w:rPr>
        <w:t>、</w:t>
      </w:r>
      <w:r>
        <w:rPr>
          <w:rFonts w:hint="eastAsia"/>
        </w:rPr>
        <w:t>售后服务跟踪制度</w:t>
      </w:r>
      <w:bookmarkEnd w:id="874"/>
      <w:bookmarkEnd w:id="875"/>
      <w:bookmarkEnd w:id="876"/>
      <w:bookmarkEnd w:id="877"/>
      <w:bookmarkEnd w:id="878"/>
      <w:bookmarkEnd w:id="879"/>
      <w:bookmarkEnd w:id="880"/>
      <w:bookmarkEnd w:id="881"/>
      <w:bookmarkEnd w:id="882"/>
      <w:bookmarkEnd w:id="883"/>
    </w:p>
    <w:p>
      <w:pPr>
        <w:ind w:firstLine="480"/>
      </w:pPr>
      <w:r>
        <w:rPr>
          <w:rFonts w:hint="eastAsia"/>
        </w:rPr>
        <w:t>若我公司成为本项目供应商，保证严格按照下列要求提供售后服务：</w:t>
      </w:r>
    </w:p>
    <w:p>
      <w:pPr>
        <w:ind w:firstLine="480"/>
        <w:rPr>
          <w:rFonts w:hint="eastAsia" w:eastAsia="宋体"/>
          <w:lang w:eastAsia="zh-CN"/>
        </w:rPr>
      </w:pPr>
      <w:r>
        <w:rPr>
          <w:rFonts w:hint="eastAsia"/>
          <w:lang w:eastAsia="zh-CN"/>
        </w:rPr>
        <w:t>（</w:t>
      </w:r>
      <w:r>
        <w:rPr>
          <w:rFonts w:hint="eastAsia"/>
          <w:lang w:val="en-US" w:eastAsia="zh-CN"/>
        </w:rPr>
        <w:t>一</w:t>
      </w:r>
      <w:r>
        <w:rPr>
          <w:rFonts w:hint="eastAsia"/>
          <w:lang w:eastAsia="zh-CN"/>
        </w:rPr>
        <w:t>）</w:t>
      </w:r>
      <w:r>
        <w:rPr>
          <w:rFonts w:hint="eastAsia"/>
        </w:rPr>
        <w:t>我公司将组建相应的服务团队，做到7*24小时的快速周到服务，能够按照采购人要求及时并保质保量将相应产品送到采购人指定的地点，供货配送过程中所发生的所有物流费用和安全问题均由我公司承担</w:t>
      </w:r>
      <w:r>
        <w:rPr>
          <w:rFonts w:hint="eastAsia"/>
          <w:lang w:eastAsia="zh-CN"/>
        </w:rPr>
        <w:t>；</w:t>
      </w:r>
    </w:p>
    <w:p>
      <w:pPr>
        <w:ind w:firstLine="480"/>
      </w:pPr>
      <w:r>
        <w:rPr>
          <w:rFonts w:hint="eastAsia"/>
          <w:lang w:eastAsia="zh-CN"/>
        </w:rPr>
        <w:t>（</w:t>
      </w:r>
      <w:r>
        <w:rPr>
          <w:rFonts w:hint="eastAsia"/>
          <w:lang w:val="en-US" w:eastAsia="zh-CN"/>
        </w:rPr>
        <w:t>二</w:t>
      </w:r>
      <w:r>
        <w:rPr>
          <w:rFonts w:hint="eastAsia"/>
          <w:lang w:eastAsia="zh-CN"/>
        </w:rPr>
        <w:t>）</w:t>
      </w:r>
      <w:r>
        <w:rPr>
          <w:rFonts w:hint="eastAsia"/>
        </w:rPr>
        <w:t>我公司将无条件地配合采购人对采购项目的前期设计和技术服务，及时全面提供相关产品的技术参数和产品信息；</w:t>
      </w:r>
    </w:p>
    <w:p>
      <w:pPr>
        <w:ind w:firstLine="480"/>
      </w:pPr>
      <w:r>
        <w:rPr>
          <w:rFonts w:hint="eastAsia"/>
          <w:lang w:eastAsia="zh-CN"/>
        </w:rPr>
        <w:t>（</w:t>
      </w:r>
      <w:r>
        <w:rPr>
          <w:rFonts w:hint="eastAsia"/>
          <w:lang w:val="en-US" w:eastAsia="zh-CN"/>
        </w:rPr>
        <w:t>三</w:t>
      </w:r>
      <w:r>
        <w:rPr>
          <w:rFonts w:hint="eastAsia"/>
          <w:lang w:eastAsia="zh-CN"/>
        </w:rPr>
        <w:t>）</w:t>
      </w:r>
      <w:r>
        <w:rPr>
          <w:rFonts w:hint="eastAsia"/>
        </w:rPr>
        <w:t>在供货过程中，我公司无条件地配合，进行指导和技术服务；</w:t>
      </w:r>
    </w:p>
    <w:p>
      <w:pPr>
        <w:ind w:firstLine="480"/>
      </w:pPr>
      <w:r>
        <w:rPr>
          <w:rFonts w:hint="eastAsia"/>
          <w:lang w:eastAsia="zh-CN"/>
        </w:rPr>
        <w:t>（</w:t>
      </w:r>
      <w:r>
        <w:rPr>
          <w:rFonts w:hint="eastAsia"/>
          <w:lang w:val="en-US" w:eastAsia="zh-CN"/>
        </w:rPr>
        <w:t>四</w:t>
      </w:r>
      <w:r>
        <w:rPr>
          <w:rFonts w:hint="eastAsia"/>
          <w:lang w:eastAsia="zh-CN"/>
        </w:rPr>
        <w:t>）</w:t>
      </w:r>
      <w:r>
        <w:rPr>
          <w:rFonts w:hint="eastAsia"/>
        </w:rPr>
        <w:t>我公司将无条件地进行售后服务工作，接受采购人的技术咨询，上述所有服务均为免费；</w:t>
      </w:r>
    </w:p>
    <w:p>
      <w:pPr>
        <w:ind w:firstLine="480"/>
        <w:rPr>
          <w:rFonts w:hint="eastAsia" w:eastAsia="宋体"/>
          <w:lang w:eastAsia="zh-CN"/>
        </w:rPr>
      </w:pPr>
      <w:r>
        <w:rPr>
          <w:rFonts w:hint="eastAsia"/>
          <w:lang w:eastAsia="zh-CN"/>
        </w:rPr>
        <w:t>（</w:t>
      </w:r>
      <w:r>
        <w:rPr>
          <w:rFonts w:hint="eastAsia"/>
          <w:lang w:val="en-US" w:eastAsia="zh-CN"/>
        </w:rPr>
        <w:t>五</w:t>
      </w:r>
      <w:r>
        <w:rPr>
          <w:rFonts w:hint="eastAsia"/>
          <w:lang w:eastAsia="zh-CN"/>
        </w:rPr>
        <w:t>）</w:t>
      </w:r>
      <w:r>
        <w:rPr>
          <w:rFonts w:hint="eastAsia"/>
        </w:rPr>
        <w:t>定期跟踪：我公司会根据用户的档案，在相关产品的质保期内定期联系用户，询问该段时期内的使用状况、发生的问题，提供帮助用户的参考建议，解答有关问题</w:t>
      </w:r>
      <w:r>
        <w:rPr>
          <w:rFonts w:hint="eastAsia"/>
          <w:lang w:eastAsia="zh-CN"/>
        </w:rPr>
        <w:t>；</w:t>
      </w:r>
    </w:p>
    <w:p>
      <w:pPr>
        <w:ind w:firstLine="480"/>
        <w:rPr>
          <w:rFonts w:hint="eastAsia" w:eastAsia="宋体"/>
          <w:lang w:eastAsia="zh-CN"/>
        </w:rPr>
      </w:pPr>
      <w:r>
        <w:rPr>
          <w:rFonts w:hint="eastAsia"/>
          <w:lang w:eastAsia="zh-CN"/>
        </w:rPr>
        <w:t>（</w:t>
      </w:r>
      <w:r>
        <w:rPr>
          <w:rFonts w:hint="eastAsia"/>
          <w:lang w:val="en-US" w:eastAsia="zh-CN"/>
        </w:rPr>
        <w:t>六</w:t>
      </w:r>
      <w:r>
        <w:rPr>
          <w:rFonts w:hint="eastAsia"/>
          <w:lang w:eastAsia="zh-CN"/>
        </w:rPr>
        <w:t>）</w:t>
      </w:r>
      <w:r>
        <w:rPr>
          <w:rFonts w:hint="eastAsia"/>
        </w:rPr>
        <w:t>反馈记录：我公司对用户反馈回来的关于本公司提供的产品的问题和相关信息，详细记录在用户档案中的反馈记录项内，并及时做出反应</w:t>
      </w:r>
      <w:r>
        <w:rPr>
          <w:rFonts w:hint="eastAsia"/>
          <w:lang w:eastAsia="zh-CN"/>
        </w:rPr>
        <w:t>；</w:t>
      </w:r>
    </w:p>
    <w:p>
      <w:pPr>
        <w:ind w:firstLine="480"/>
      </w:pPr>
      <w:r>
        <w:rPr>
          <w:rFonts w:hint="eastAsia"/>
          <w:lang w:eastAsia="zh-CN"/>
        </w:rPr>
        <w:t>（</w:t>
      </w:r>
      <w:r>
        <w:rPr>
          <w:rFonts w:hint="eastAsia"/>
          <w:lang w:val="en-US" w:eastAsia="zh-CN"/>
        </w:rPr>
        <w:t>七</w:t>
      </w:r>
      <w:r>
        <w:rPr>
          <w:rFonts w:hint="eastAsia"/>
          <w:lang w:eastAsia="zh-CN"/>
        </w:rPr>
        <w:t>）</w:t>
      </w:r>
      <w:r>
        <w:rPr>
          <w:rFonts w:hint="eastAsia"/>
        </w:rPr>
        <w:t>主动联系：当我公司提供的产品有相关的事件（技术改进、优惠活动等）发生时，我们将主动与用户联系，了解用户意见，并提供相应服务。</w:t>
      </w:r>
    </w:p>
    <w:p>
      <w:pPr>
        <w:widowControl/>
        <w:spacing w:before="0" w:after="0" w:line="240" w:lineRule="auto"/>
        <w:ind w:firstLine="0" w:firstLineChars="0"/>
        <w:jc w:val="left"/>
      </w:pPr>
      <w:bookmarkStart w:id="884" w:name="_Toc105600352"/>
      <w:bookmarkStart w:id="885" w:name="_Toc116924323"/>
      <w:r>
        <w:rPr>
          <w:b/>
          <w:bCs/>
        </w:rPr>
        <w:br w:type="page"/>
      </w:r>
    </w:p>
    <w:p>
      <w:pPr>
        <w:pStyle w:val="4"/>
        <w:bidi w:val="0"/>
      </w:pPr>
      <w:bookmarkStart w:id="886" w:name="_Ref118207111"/>
      <w:bookmarkStart w:id="887" w:name="_Toc118233246"/>
      <w:bookmarkStart w:id="888" w:name="_Ref118207117"/>
      <w:bookmarkStart w:id="889" w:name="_Toc29133"/>
      <w:bookmarkStart w:id="890" w:name="_Toc118293342"/>
      <w:bookmarkStart w:id="891" w:name="_Ref118207109"/>
      <w:r>
        <w:rPr>
          <w:rFonts w:hint="eastAsia"/>
          <w:lang w:val="en-US" w:eastAsia="zh-CN"/>
        </w:rPr>
        <w:t xml:space="preserve">第三节  </w:t>
      </w:r>
      <w:r>
        <w:t>产品使用周期的质量负责的承诺</w:t>
      </w:r>
      <w:bookmarkEnd w:id="884"/>
      <w:bookmarkEnd w:id="885"/>
      <w:bookmarkEnd w:id="886"/>
      <w:bookmarkEnd w:id="887"/>
      <w:bookmarkEnd w:id="888"/>
      <w:bookmarkEnd w:id="889"/>
      <w:bookmarkEnd w:id="890"/>
      <w:bookmarkEnd w:id="891"/>
    </w:p>
    <w:p>
      <w:pPr>
        <w:pStyle w:val="5"/>
        <w:bidi w:val="0"/>
      </w:pPr>
      <w:bookmarkStart w:id="892" w:name="_Toc20368"/>
      <w:r>
        <w:rPr>
          <w:rFonts w:hint="eastAsia"/>
          <w:lang w:val="en-US" w:eastAsia="zh-CN"/>
        </w:rPr>
        <w:t>一、</w:t>
      </w:r>
      <w:r>
        <w:rPr>
          <w:rFonts w:hint="eastAsia"/>
        </w:rPr>
        <w:t>售前服务</w:t>
      </w:r>
      <w:bookmarkEnd w:id="892"/>
    </w:p>
    <w:p>
      <w:pPr>
        <w:ind w:firstLine="480"/>
        <w:rPr>
          <w:rFonts w:hint="eastAsia" w:eastAsia="宋体"/>
          <w:lang w:eastAsia="zh-CN"/>
        </w:rPr>
      </w:pPr>
      <w:r>
        <w:rPr>
          <w:rFonts w:hint="eastAsia"/>
          <w:lang w:eastAsia="zh-CN"/>
        </w:rPr>
        <w:t>（</w:t>
      </w:r>
      <w:r>
        <w:rPr>
          <w:rFonts w:hint="eastAsia"/>
          <w:lang w:val="en-US" w:eastAsia="zh-CN"/>
        </w:rPr>
        <w:t>一</w:t>
      </w:r>
      <w:r>
        <w:rPr>
          <w:rFonts w:hint="eastAsia"/>
          <w:lang w:eastAsia="zh-CN"/>
        </w:rPr>
        <w:t>）</w:t>
      </w:r>
      <w:r>
        <w:rPr>
          <w:rFonts w:hint="eastAsia"/>
        </w:rPr>
        <w:t>售前成立农化服务队伍</w:t>
      </w:r>
    </w:p>
    <w:p>
      <w:pPr>
        <w:ind w:firstLine="480"/>
      </w:pPr>
      <w:r>
        <w:rPr>
          <w:rFonts w:hint="eastAsia"/>
        </w:rPr>
        <w:t>针对本项目的实施，我公司配置农化服务专员</w:t>
      </w:r>
      <w:r>
        <w:t>3</w:t>
      </w:r>
      <w:r>
        <w:rPr>
          <w:rFonts w:hint="eastAsia"/>
        </w:rPr>
        <w:t>人，在此基础上，在当地安排农业技术专家和农民种田能手，形成由农化服务专职人员牵头组织的具备地域特色，适合区域农业种植，土壤养分、生态环境具有不同特点的，能吃苦，有奉献精神、有服务技能的农化服务网络队伍。根据本区域具体情况开展农化服务工作，主要负责：</w:t>
      </w:r>
    </w:p>
    <w:p>
      <w:pPr>
        <w:ind w:firstLine="480"/>
      </w:pPr>
      <w:r>
        <w:rPr>
          <w:rFonts w:hint="eastAsia"/>
        </w:rPr>
        <w:t>1、开展测土配方工作，根据测土数据和经营品种，为农民提供施肥配方，并指导农民施肥；</w:t>
      </w:r>
    </w:p>
    <w:p>
      <w:pPr>
        <w:ind w:firstLine="480"/>
      </w:pPr>
      <w:r>
        <w:rPr>
          <w:rFonts w:hint="eastAsia"/>
        </w:rPr>
        <w:t>2、积极宣传推广公司产品形象、新产品、新技术的推广及应用；</w:t>
      </w:r>
    </w:p>
    <w:p>
      <w:pPr>
        <w:ind w:firstLine="480"/>
      </w:pPr>
      <w:r>
        <w:rPr>
          <w:rFonts w:hint="eastAsia"/>
        </w:rPr>
        <w:t>3、联系或聘请当地农业部门和科研院所专家，以及农民种田能手，为当地农化服务提供技术支持；</w:t>
      </w:r>
    </w:p>
    <w:p>
      <w:pPr>
        <w:ind w:firstLine="480"/>
        <w:rPr>
          <w:rFonts w:hint="eastAsia" w:eastAsia="宋体"/>
          <w:lang w:eastAsia="zh-CN"/>
        </w:rPr>
      </w:pPr>
      <w:r>
        <w:t>4</w:t>
      </w:r>
      <w:r>
        <w:rPr>
          <w:rFonts w:hint="eastAsia"/>
        </w:rPr>
        <w:t>、建立农化服务宣传园地，向农民宣传普及科学施肥、植物保护以及农民需要的其他科学种田知识；</w:t>
      </w:r>
    </w:p>
    <w:p>
      <w:pPr>
        <w:ind w:firstLine="480"/>
        <w:rPr>
          <w:rFonts w:hint="eastAsia" w:eastAsia="宋体"/>
          <w:lang w:eastAsia="zh-CN"/>
        </w:rPr>
      </w:pPr>
      <w:r>
        <w:t>5</w:t>
      </w:r>
      <w:r>
        <w:rPr>
          <w:rFonts w:hint="eastAsia"/>
        </w:rPr>
        <w:t>、各销售区域都要建立农化服务和科学种植、科学施肥示范田；</w:t>
      </w:r>
    </w:p>
    <w:p>
      <w:pPr>
        <w:ind w:firstLine="480"/>
      </w:pPr>
      <w:r>
        <w:rPr>
          <w:rFonts w:hint="eastAsia"/>
          <w:lang w:eastAsia="zh-CN"/>
        </w:rPr>
        <w:t>（</w:t>
      </w:r>
      <w:r>
        <w:rPr>
          <w:rFonts w:hint="eastAsia"/>
          <w:lang w:val="en-US" w:eastAsia="zh-CN"/>
        </w:rPr>
        <w:t>二</w:t>
      </w:r>
      <w:r>
        <w:rPr>
          <w:rFonts w:hint="eastAsia"/>
          <w:lang w:eastAsia="zh-CN"/>
        </w:rPr>
        <w:t>）</w:t>
      </w:r>
      <w:r>
        <w:rPr>
          <w:rFonts w:hint="eastAsia"/>
        </w:rPr>
        <w:t>对农化服务人员进行培训</w:t>
      </w:r>
    </w:p>
    <w:p>
      <w:pPr>
        <w:ind w:firstLine="480"/>
      </w:pPr>
      <w:r>
        <w:rPr>
          <w:rFonts w:hint="eastAsia"/>
        </w:rPr>
        <w:t>具体培训内容涉及宣讲农化服务工作地目的和意义、明确农化服务人员的主要任务、职责范围、教授开展农化服务的基本技能（包括土壤养分速测和其它农化服务相关知识）、根据各地具体情况安排设立农化服务试验点和示范田。以后根据工作需要定期不定期组织培训工作。</w:t>
      </w:r>
    </w:p>
    <w:p>
      <w:pPr>
        <w:pStyle w:val="5"/>
        <w:bidi w:val="0"/>
      </w:pPr>
      <w:bookmarkStart w:id="893" w:name="_Toc2843"/>
      <w:r>
        <w:rPr>
          <w:rFonts w:hint="eastAsia"/>
          <w:lang w:val="en-US" w:eastAsia="zh-CN"/>
        </w:rPr>
        <w:t>二、</w:t>
      </w:r>
      <w:r>
        <w:rPr>
          <w:rFonts w:hint="eastAsia"/>
        </w:rPr>
        <w:t>售中服务</w:t>
      </w:r>
      <w:bookmarkEnd w:id="893"/>
    </w:p>
    <w:p>
      <w:pPr>
        <w:ind w:firstLine="480"/>
      </w:pPr>
      <w:r>
        <w:rPr>
          <w:rFonts w:hint="eastAsia"/>
        </w:rPr>
        <w:t>我公司在签订合同后按照采购产品技术标准要求，组织生产线人员加班加点生产，争取签订合同后</w:t>
      </w:r>
      <w:r>
        <w:t>15日历天内全部交清</w:t>
      </w:r>
      <w:r>
        <w:rPr>
          <w:rFonts w:hint="eastAsia"/>
        </w:rPr>
        <w:t>，同时向采购人提交具备资质的肥料质量检验检测机构出具的该批次产品质量检测报告原件。公司把设立在嵩明县的售后服务网点人员和售前成立的农化服务队伍，组成本项目的售后服务技术队伍，立即开展产品使用前的技术指导工作，为当地农户发放产品使用说明书。</w:t>
      </w:r>
    </w:p>
    <w:p>
      <w:pPr>
        <w:ind w:firstLine="480"/>
      </w:pPr>
      <w:r>
        <w:rPr>
          <w:rFonts w:hint="eastAsia"/>
        </w:rPr>
        <w:t>有机肥料含有有机物质，不仅可提供作物生长所要的各类营养物质，而且能改善土壤的结构、增强土壤保水保肥能力。有机质分解后产生腐殖酸、维生素、抗生素和各种酶，改善了作物根系的营养环境，促进了作物根系及地上部分的生长发育，提高了作物对养分的吸收能力。有机质分解所产生的有机酸还可提高土壤中微量元素的有效性。施肥的最大目标就是通过施肥改善土壤理化性状，协调作物生长环境条件。充分发挥肥料的增产作用，不仅要协调和满足当季作物增产对养分的要求，还应保持土壤肥力不降低，维持农业可持续发展。土壤、植物和肥料三者之间，既是互相关联，又是相互影响、相互制约的。科学施肥要充分考虑三者之间相互关系，针对土壤、作物合理施肥。</w:t>
      </w:r>
    </w:p>
    <w:p>
      <w:pPr>
        <w:ind w:firstLine="480"/>
        <w:rPr>
          <w:rFonts w:hint="eastAsia" w:eastAsia="宋体"/>
          <w:b/>
          <w:bCs/>
          <w:lang w:eastAsia="zh-CN"/>
        </w:rPr>
      </w:pPr>
      <w:r>
        <w:rPr>
          <w:rFonts w:hint="eastAsia"/>
          <w:b/>
          <w:bCs/>
        </w:rPr>
        <w:t>（一）因土施肥</w:t>
      </w:r>
    </w:p>
    <w:p>
      <w:pPr>
        <w:ind w:firstLine="480"/>
        <w:rPr>
          <w:rFonts w:hint="eastAsia" w:eastAsia="宋体"/>
          <w:lang w:eastAsia="zh-CN"/>
        </w:rPr>
      </w:pPr>
      <w:r>
        <w:rPr>
          <w:rFonts w:hint="eastAsia"/>
        </w:rPr>
        <w:t>1</w:t>
      </w:r>
      <w:r>
        <w:rPr>
          <w:rFonts w:hint="eastAsia"/>
          <w:lang w:eastAsia="zh-CN"/>
        </w:rPr>
        <w:t>、</w:t>
      </w:r>
      <w:r>
        <w:rPr>
          <w:rFonts w:hint="eastAsia"/>
        </w:rPr>
        <w:t>根据土壤肥力施肥</w:t>
      </w:r>
    </w:p>
    <w:p>
      <w:pPr>
        <w:ind w:firstLine="480"/>
        <w:rPr>
          <w:rFonts w:hint="eastAsia" w:eastAsia="宋体"/>
          <w:lang w:eastAsia="zh-CN"/>
        </w:rPr>
      </w:pPr>
      <w:r>
        <w:rPr>
          <w:rFonts w:hint="eastAsia"/>
        </w:rPr>
        <w:t>土壤有别于母质的特性就是其具有肥力，土壤肥力是土壤供给作物不同数量、不同比例养分，适应作物生长的能力。它包括土壤有效养分供应量、土壤通气状况、土壤保水保肥能力、土壤微生物数量等。土壤肥力状况高低直接决定着作物产量的高低，首先应根据土壤肥力确定合适的目标产量。一般以该地块前三年作物的平均产量增加10%作为目标产量。</w:t>
      </w:r>
    </w:p>
    <w:p>
      <w:pPr>
        <w:ind w:firstLine="480"/>
        <w:rPr>
          <w:rFonts w:hint="eastAsia" w:eastAsia="宋体"/>
          <w:lang w:eastAsia="zh-CN"/>
        </w:rPr>
      </w:pPr>
      <w:r>
        <w:rPr>
          <w:rFonts w:hint="eastAsia"/>
        </w:rPr>
        <w:t>根据土壤肥力和目标产量的髙低确定施肥量。对于高肥力地块，土壤供肥能力强，适当减少底肥所占全生育期肥料用量的比例，增加后期追肥的比例；对于低肥力土壤，土壤供应养分量少，应增加底肥的用量，后期合理追肥。尤其要增加低肥力地块底肥中有机肥料的用量，有机肥料不仅要提供当季作物生长所需的养分，还可培肥土壤。</w:t>
      </w:r>
    </w:p>
    <w:p>
      <w:pPr>
        <w:ind w:firstLine="480"/>
        <w:rPr>
          <w:rFonts w:hint="eastAsia" w:eastAsia="宋体"/>
          <w:lang w:eastAsia="zh-CN"/>
        </w:rPr>
      </w:pPr>
      <w:r>
        <w:rPr>
          <w:rFonts w:hint="eastAsia"/>
        </w:rPr>
        <w:t>2</w:t>
      </w:r>
      <w:r>
        <w:rPr>
          <w:rFonts w:hint="eastAsia"/>
          <w:lang w:eastAsia="zh-CN"/>
        </w:rPr>
        <w:t>、</w:t>
      </w:r>
      <w:r>
        <w:rPr>
          <w:rFonts w:hint="eastAsia"/>
        </w:rPr>
        <w:t>根据土壤质地施肥</w:t>
      </w:r>
    </w:p>
    <w:p>
      <w:pPr>
        <w:ind w:firstLine="480"/>
        <w:rPr>
          <w:rFonts w:hint="eastAsia" w:eastAsia="宋体"/>
          <w:lang w:eastAsia="zh-CN"/>
        </w:rPr>
      </w:pPr>
      <w:r>
        <w:rPr>
          <w:rFonts w:hint="eastAsia"/>
        </w:rPr>
        <w:t>根据不同质地土壤中有机肥料养分释放转化性能和土壤保肥性能不同，应采用不同的施肥方案。沙土土壤肥力较低，有机质和各种养分的含量均较低，土壤保肥保水能力差，养分易流失。但沙土有良好的通透性能，有机质分解快，养分供应快。沙土应增施有机肥料，提髙土壤有机质含量，改善土壤的理化性状，增强保肥、保水性能。但对于养分含量髙的优质有机肥料，一次使用量不能太多，使用过量也容易烧苗，转化的速效养分也容易流失，养分含量高的优质有机肥料可分底肥和追肥多次使用。也可深施大量堆腐秸秆和养分含量低、养分释放慢的粗杂有机肥料。黏土保肥、保水性能好、养分不易流失。但土壤供肥慢，土壤紧实，通透性差，有机成分在土壤中分解慢。黏土地施用的有机肥料必须充分腐熟；黏土养分供应慢，有机肥料应可早施，可接近作物根部。旱地土壤水分供应不足，阻碍养分在土壤溶液中向根表面迁移，影响作物对养分的吸收利用。应大量增施有机肥料，增加土壤团粒结构，改善土壤的通透性，增强土壤蓄水、保水能力。</w:t>
      </w:r>
    </w:p>
    <w:p>
      <w:pPr>
        <w:ind w:firstLine="480"/>
        <w:rPr>
          <w:rFonts w:hint="eastAsia" w:eastAsia="宋体"/>
          <w:b/>
          <w:bCs/>
          <w:lang w:eastAsia="zh-CN"/>
        </w:rPr>
      </w:pPr>
      <w:r>
        <w:rPr>
          <w:rFonts w:hint="eastAsia"/>
          <w:b/>
          <w:bCs/>
        </w:rPr>
        <w:t>（二）根据肥料特性施肥</w:t>
      </w:r>
    </w:p>
    <w:p>
      <w:pPr>
        <w:ind w:firstLine="480"/>
        <w:rPr>
          <w:rFonts w:hint="eastAsia" w:eastAsia="宋体"/>
          <w:lang w:eastAsia="zh-CN"/>
        </w:rPr>
      </w:pPr>
      <w:r>
        <w:rPr>
          <w:rFonts w:hint="eastAsia"/>
        </w:rPr>
        <w:t>有机肥料原料广泛，不同原料加工的有机肥料养分差别很大，不同种肥料在不同土壤中的反应也不同。因此，施肥时应根据肥料特性，采取相应的措施，提高作物对肥料的利用率。</w:t>
      </w:r>
    </w:p>
    <w:p>
      <w:pPr>
        <w:ind w:firstLine="480"/>
        <w:rPr>
          <w:rFonts w:hint="eastAsia" w:eastAsia="宋体"/>
          <w:lang w:eastAsia="zh-CN"/>
        </w:rPr>
      </w:pPr>
      <w:r>
        <w:rPr>
          <w:rFonts w:hint="eastAsia"/>
        </w:rPr>
        <w:t>各类有机肥料中以氨基酸肥的性能最好，不仅含有丰富的有机质，还含有丰富的养分，对改善作物品质作用明显，是西瓜、花卉等作物的理想用肥。由于其养分量较高，既可做底肥，也可做追肥，尽量采用穴施、沟施，每次用量要少。</w:t>
      </w:r>
    </w:p>
    <w:p>
      <w:pPr>
        <w:ind w:firstLine="480"/>
        <w:rPr>
          <w:rFonts w:hint="eastAsia" w:eastAsia="宋体"/>
          <w:lang w:eastAsia="zh-CN"/>
        </w:rPr>
      </w:pPr>
      <w:r>
        <w:rPr>
          <w:rFonts w:hint="eastAsia"/>
        </w:rPr>
        <w:t>秸杆类有机肥料的有机物含量高，这类有机肥料对增加土壤有机质含量，培肥地力作用明显。秸秆在土壤中分解较慢，秸秆类有机肥料适宜做底肥，肥料用量可加大。但氮、磷、钾养分含量相对较低，微生物分解秸秆还需消耗氮素，要注意秸秆有机肥料与氮磷钾化肥的配合。</w:t>
      </w:r>
    </w:p>
    <w:p>
      <w:pPr>
        <w:ind w:firstLine="480"/>
        <w:rPr>
          <w:rFonts w:hint="eastAsia" w:eastAsia="宋体"/>
          <w:lang w:eastAsia="zh-CN"/>
        </w:rPr>
      </w:pPr>
      <w:r>
        <w:rPr>
          <w:rFonts w:hint="eastAsia"/>
        </w:rPr>
        <w:t>畜禽粪便类有机肥料的有机质含量中等，氮、磷、钾等养分含量丰富，由于其来源广泛，使用量比较大。但由于其加工条件的不一样，其成品肥的有机质和氮、磷、钾养分差别，选购使用该类有机肥料时应注意其质量的判别。以纯畜禽粪便工厂化快速腐熟加工的有机肥料，其养分含量高，应少施，集中使用，一般做底肥使用，也可做追肥。含有大量杂质，采取自然堆腐加工的有机肥料，有机质和养分含量均较低，应做底肥使用，量可以加大。另外，畜禽粪便类有机肥料一定要经过灭菌处理，否则容易给作物和人、畜传染疾病。</w:t>
      </w:r>
    </w:p>
    <w:p>
      <w:pPr>
        <w:ind w:firstLine="480"/>
        <w:rPr>
          <w:rFonts w:hint="eastAsia" w:eastAsia="宋体"/>
          <w:lang w:eastAsia="zh-CN"/>
        </w:rPr>
      </w:pPr>
      <w:r>
        <w:rPr>
          <w:rFonts w:hint="eastAsia"/>
        </w:rPr>
        <w:t>绿肥是经人工种植的一种肥地作物，有机质和养分含量均较丰富。但种植、翻压绿肥一定要注意茬口的安排，不要影响主要作物的生长。绿肥一般有固氮能力，应注意补充磷钾肥。</w:t>
      </w:r>
    </w:p>
    <w:p>
      <w:pPr>
        <w:ind w:firstLine="480"/>
      </w:pPr>
      <w:r>
        <w:rPr>
          <w:rFonts w:hint="eastAsia"/>
        </w:rPr>
        <w:t>垃圾类有机肥料的有机质和养分含量受原料的影响，很不稳定，每一批肥料的有机质和养分含量都不一样，一般含量不高，适宜做底肥使用。由于垃圾成分复杂，有时含有大量对人和作物极其有害的物质，如重金属、放射性物质等，使用垃圾肥时对加工肥料的垃圾来源要弄清楚，含有有害物质的垃圾肥严禁施用到蔬菜和粮食作物上，可用于人工绿地和绿化树木。</w:t>
      </w:r>
    </w:p>
    <w:p>
      <w:pPr>
        <w:pStyle w:val="5"/>
        <w:bidi w:val="0"/>
      </w:pPr>
      <w:bookmarkStart w:id="894" w:name="_Toc20386"/>
      <w:r>
        <w:rPr>
          <w:rFonts w:hint="eastAsia"/>
          <w:lang w:val="en-US" w:eastAsia="zh-CN"/>
        </w:rPr>
        <w:t>三、</w:t>
      </w:r>
      <w:r>
        <w:rPr>
          <w:rFonts w:hint="eastAsia"/>
        </w:rPr>
        <w:t>售后服务跟踪</w:t>
      </w:r>
      <w:bookmarkEnd w:id="894"/>
    </w:p>
    <w:p>
      <w:pPr>
        <w:ind w:firstLine="480"/>
      </w:pPr>
      <w:r>
        <w:rPr>
          <w:rFonts w:hint="eastAsia"/>
        </w:rPr>
        <w:t>若我公司成为本项目供应商，保证严格按照下列要求提供售后服务：</w:t>
      </w:r>
    </w:p>
    <w:p>
      <w:pPr>
        <w:ind w:firstLine="480"/>
      </w:pPr>
      <w:r>
        <w:rPr>
          <w:rFonts w:hint="eastAsia"/>
          <w:lang w:eastAsia="zh-CN"/>
        </w:rPr>
        <w:t>（</w:t>
      </w:r>
      <w:r>
        <w:rPr>
          <w:rFonts w:hint="eastAsia"/>
          <w:lang w:val="en-US" w:eastAsia="zh-CN"/>
        </w:rPr>
        <w:t>一</w:t>
      </w:r>
      <w:r>
        <w:rPr>
          <w:rFonts w:hint="eastAsia"/>
          <w:lang w:eastAsia="zh-CN"/>
        </w:rPr>
        <w:t>）</w:t>
      </w:r>
      <w:r>
        <w:rPr>
          <w:rFonts w:hint="eastAsia"/>
        </w:rPr>
        <w:t>我公司将组建相应的服务团队，做到7*24小时的快速周到服务，能够按照采购人要求及时并保质保量将相应产品送到采购人指定的地点，供货配送过程中所发生的所有物流费用和安全问题均由我公司承担。</w:t>
      </w:r>
    </w:p>
    <w:p>
      <w:pPr>
        <w:ind w:firstLine="480"/>
      </w:pPr>
      <w:r>
        <w:rPr>
          <w:rFonts w:hint="eastAsia"/>
          <w:lang w:eastAsia="zh-CN"/>
        </w:rPr>
        <w:t>（</w:t>
      </w:r>
      <w:r>
        <w:rPr>
          <w:rFonts w:hint="eastAsia"/>
          <w:lang w:val="en-US" w:eastAsia="zh-CN"/>
        </w:rPr>
        <w:t>二</w:t>
      </w:r>
      <w:r>
        <w:rPr>
          <w:rFonts w:hint="eastAsia"/>
          <w:lang w:eastAsia="zh-CN"/>
        </w:rPr>
        <w:t>）</w:t>
      </w:r>
      <w:r>
        <w:rPr>
          <w:rFonts w:hint="eastAsia"/>
        </w:rPr>
        <w:t>我公司将无条件地配合采购人对采购项目的前期设计和技术服务，及时全面提供相关产品的技术参数和产品信息；</w:t>
      </w:r>
    </w:p>
    <w:p>
      <w:pPr>
        <w:ind w:firstLine="480"/>
      </w:pPr>
      <w:r>
        <w:rPr>
          <w:rFonts w:hint="eastAsia"/>
          <w:lang w:eastAsia="zh-CN"/>
        </w:rPr>
        <w:t>（</w:t>
      </w:r>
      <w:r>
        <w:rPr>
          <w:rFonts w:hint="eastAsia"/>
          <w:lang w:val="en-US" w:eastAsia="zh-CN"/>
        </w:rPr>
        <w:t>三</w:t>
      </w:r>
      <w:r>
        <w:rPr>
          <w:rFonts w:hint="eastAsia"/>
          <w:lang w:eastAsia="zh-CN"/>
        </w:rPr>
        <w:t>）</w:t>
      </w:r>
      <w:r>
        <w:rPr>
          <w:rFonts w:hint="eastAsia"/>
        </w:rPr>
        <w:t>在供货过程中，我公司无条件地配合，进行指导和技术服务；</w:t>
      </w:r>
    </w:p>
    <w:p>
      <w:pPr>
        <w:ind w:firstLine="480"/>
      </w:pPr>
      <w:r>
        <w:rPr>
          <w:rFonts w:hint="eastAsia"/>
          <w:lang w:eastAsia="zh-CN"/>
        </w:rPr>
        <w:t>（</w:t>
      </w:r>
      <w:r>
        <w:rPr>
          <w:rFonts w:hint="eastAsia"/>
          <w:lang w:val="en-US" w:eastAsia="zh-CN"/>
        </w:rPr>
        <w:t>四</w:t>
      </w:r>
      <w:r>
        <w:rPr>
          <w:rFonts w:hint="eastAsia"/>
          <w:lang w:eastAsia="zh-CN"/>
        </w:rPr>
        <w:t>）</w:t>
      </w:r>
      <w:r>
        <w:rPr>
          <w:rFonts w:hint="eastAsia"/>
        </w:rPr>
        <w:t>我公司将无条件地进行售后服务工作，接受采购人的技术咨询，上述所有服务均为免费；</w:t>
      </w:r>
    </w:p>
    <w:p>
      <w:pPr>
        <w:ind w:firstLine="480"/>
      </w:pPr>
      <w:r>
        <w:rPr>
          <w:rFonts w:hint="eastAsia"/>
          <w:lang w:eastAsia="zh-CN"/>
        </w:rPr>
        <w:t>（</w:t>
      </w:r>
      <w:r>
        <w:rPr>
          <w:rFonts w:hint="eastAsia"/>
          <w:lang w:val="en-US" w:eastAsia="zh-CN"/>
        </w:rPr>
        <w:t>五</w:t>
      </w:r>
      <w:r>
        <w:rPr>
          <w:rFonts w:hint="eastAsia"/>
          <w:lang w:eastAsia="zh-CN"/>
        </w:rPr>
        <w:t>）</w:t>
      </w:r>
      <w:r>
        <w:rPr>
          <w:rFonts w:hint="eastAsia"/>
        </w:rPr>
        <w:t>定期跟踪：我公司会根据用户的档案，在相关产品的质保期内定期联系用户，询问该段时期内的使用状况、发生的问题，提供帮助用户的参考建议，解答有关问题。</w:t>
      </w:r>
    </w:p>
    <w:p>
      <w:pPr>
        <w:ind w:firstLine="480"/>
      </w:pPr>
      <w:r>
        <w:rPr>
          <w:rFonts w:hint="eastAsia"/>
          <w:lang w:eastAsia="zh-CN"/>
        </w:rPr>
        <w:t>（</w:t>
      </w:r>
      <w:r>
        <w:rPr>
          <w:rFonts w:hint="eastAsia"/>
          <w:lang w:val="en-US" w:eastAsia="zh-CN"/>
        </w:rPr>
        <w:t>六</w:t>
      </w:r>
      <w:r>
        <w:rPr>
          <w:rFonts w:hint="eastAsia"/>
          <w:lang w:eastAsia="zh-CN"/>
        </w:rPr>
        <w:t>）</w:t>
      </w:r>
      <w:r>
        <w:rPr>
          <w:rFonts w:hint="eastAsia"/>
        </w:rPr>
        <w:t>反馈记录：我公司对用户反馈回来的关于本公司提供的产品的问题和相关信息，详细记录在用户档案中的反馈记录项内，并及时做出反应。</w:t>
      </w:r>
    </w:p>
    <w:p>
      <w:pPr>
        <w:ind w:firstLine="480"/>
      </w:pPr>
      <w:r>
        <w:rPr>
          <w:rFonts w:hint="eastAsia"/>
          <w:lang w:eastAsia="zh-CN"/>
        </w:rPr>
        <w:t>（</w:t>
      </w:r>
      <w:r>
        <w:rPr>
          <w:rFonts w:hint="eastAsia"/>
          <w:lang w:val="en-US" w:eastAsia="zh-CN"/>
        </w:rPr>
        <w:t>七</w:t>
      </w:r>
      <w:r>
        <w:rPr>
          <w:rFonts w:hint="eastAsia"/>
          <w:lang w:eastAsia="zh-CN"/>
        </w:rPr>
        <w:t>）</w:t>
      </w:r>
      <w:r>
        <w:rPr>
          <w:rFonts w:hint="eastAsia"/>
        </w:rPr>
        <w:t>主动联系：当我公司提供的产品有相关的事件（技术改进、优惠活动等）发生时，我们将主动与用户联系，了解用户意见，并提供相应服务。</w:t>
      </w:r>
    </w:p>
    <w:p>
      <w:pPr>
        <w:widowControl/>
        <w:spacing w:before="0" w:after="0" w:line="240" w:lineRule="auto"/>
        <w:ind w:firstLine="0" w:firstLineChars="0"/>
        <w:jc w:val="left"/>
      </w:pPr>
      <w:r>
        <w:br w:type="page"/>
      </w:r>
    </w:p>
    <w:p>
      <w:pPr>
        <w:pStyle w:val="4"/>
        <w:bidi w:val="0"/>
      </w:pPr>
      <w:bookmarkStart w:id="895" w:name="_Ref118207184"/>
      <w:bookmarkStart w:id="896" w:name="_Toc118293343"/>
      <w:bookmarkStart w:id="897" w:name="_Toc118233251"/>
      <w:bookmarkStart w:id="898" w:name="_Toc105600373"/>
      <w:bookmarkStart w:id="899" w:name="_Ref118207176"/>
      <w:bookmarkStart w:id="900" w:name="_Ref118207178"/>
      <w:bookmarkStart w:id="901" w:name="_Toc18824"/>
      <w:bookmarkStart w:id="902" w:name="_Toc116924344"/>
      <w:r>
        <w:rPr>
          <w:rFonts w:hint="eastAsia"/>
          <w:lang w:val="en-US" w:eastAsia="zh-CN"/>
        </w:rPr>
        <w:t xml:space="preserve">第四节  </w:t>
      </w:r>
      <w:r>
        <w:t>投诉处理制度</w:t>
      </w:r>
      <w:bookmarkEnd w:id="895"/>
      <w:bookmarkEnd w:id="896"/>
      <w:bookmarkEnd w:id="897"/>
      <w:bookmarkEnd w:id="898"/>
      <w:bookmarkEnd w:id="899"/>
      <w:bookmarkEnd w:id="900"/>
      <w:bookmarkEnd w:id="901"/>
      <w:bookmarkEnd w:id="902"/>
    </w:p>
    <w:p>
      <w:pPr>
        <w:pStyle w:val="5"/>
        <w:bidi w:val="0"/>
      </w:pPr>
      <w:bookmarkStart w:id="903" w:name="_Toc16018"/>
      <w:r>
        <w:rPr>
          <w:rFonts w:hint="eastAsia"/>
        </w:rPr>
        <w:t>一、明确投诉处理的目的</w:t>
      </w:r>
      <w:bookmarkEnd w:id="903"/>
    </w:p>
    <w:p>
      <w:pPr>
        <w:ind w:firstLine="480"/>
      </w:pPr>
      <w:r>
        <w:rPr>
          <w:rFonts w:hint="eastAsia"/>
          <w:lang w:eastAsia="zh-CN"/>
        </w:rPr>
        <w:t>（</w:t>
      </w:r>
      <w:r>
        <w:rPr>
          <w:rFonts w:hint="eastAsia"/>
          <w:lang w:val="en-US" w:eastAsia="zh-CN"/>
        </w:rPr>
        <w:t>一</w:t>
      </w:r>
      <w:r>
        <w:rPr>
          <w:rFonts w:hint="eastAsia"/>
          <w:lang w:eastAsia="zh-CN"/>
        </w:rPr>
        <w:t>）</w:t>
      </w:r>
      <w:r>
        <w:rPr>
          <w:rFonts w:hint="eastAsia"/>
        </w:rPr>
        <w:t>及时、有效、准确地回复顾客、媒体或有关政府、职能部门。</w:t>
      </w:r>
    </w:p>
    <w:p>
      <w:pPr>
        <w:ind w:firstLine="480"/>
      </w:pPr>
      <w:r>
        <w:rPr>
          <w:rFonts w:hint="eastAsia"/>
          <w:lang w:eastAsia="zh-CN"/>
        </w:rPr>
        <w:t>（</w:t>
      </w:r>
      <w:r>
        <w:rPr>
          <w:rFonts w:hint="eastAsia"/>
          <w:lang w:val="en-US" w:eastAsia="zh-CN"/>
        </w:rPr>
        <w:t>二</w:t>
      </w:r>
      <w:r>
        <w:rPr>
          <w:rFonts w:hint="eastAsia"/>
          <w:lang w:eastAsia="zh-CN"/>
        </w:rPr>
        <w:t>）</w:t>
      </w:r>
      <w:r>
        <w:rPr>
          <w:rFonts w:hint="eastAsia"/>
        </w:rPr>
        <w:t>保证市场顺利、稳定地发展。</w:t>
      </w:r>
    </w:p>
    <w:p>
      <w:pPr>
        <w:ind w:firstLine="480"/>
      </w:pPr>
      <w:r>
        <w:rPr>
          <w:rFonts w:hint="eastAsia"/>
          <w:lang w:eastAsia="zh-CN"/>
        </w:rPr>
        <w:t>（</w:t>
      </w:r>
      <w:r>
        <w:rPr>
          <w:rFonts w:hint="eastAsia"/>
          <w:lang w:val="en-US" w:eastAsia="zh-CN"/>
        </w:rPr>
        <w:t>三</w:t>
      </w:r>
      <w:r>
        <w:rPr>
          <w:rFonts w:hint="eastAsia"/>
          <w:lang w:eastAsia="zh-CN"/>
        </w:rPr>
        <w:t>）</w:t>
      </w:r>
      <w:r>
        <w:rPr>
          <w:rFonts w:hint="eastAsia"/>
        </w:rPr>
        <w:t>提高公司和产品的信誉。</w:t>
      </w:r>
    </w:p>
    <w:p>
      <w:pPr>
        <w:pStyle w:val="5"/>
        <w:bidi w:val="0"/>
      </w:pPr>
      <w:bookmarkStart w:id="904" w:name="_Toc19380"/>
      <w:r>
        <w:rPr>
          <w:rFonts w:hint="eastAsia"/>
        </w:rPr>
        <w:t>二、把握投诉处理的原则</w:t>
      </w:r>
      <w:bookmarkEnd w:id="904"/>
    </w:p>
    <w:p>
      <w:pPr>
        <w:ind w:firstLine="480"/>
      </w:pPr>
      <w:r>
        <w:rPr>
          <w:rFonts w:hint="eastAsia"/>
          <w:lang w:eastAsia="zh-CN"/>
        </w:rPr>
        <w:t>（</w:t>
      </w:r>
      <w:r>
        <w:rPr>
          <w:rFonts w:hint="eastAsia"/>
          <w:lang w:val="en-US" w:eastAsia="zh-CN"/>
        </w:rPr>
        <w:t>一</w:t>
      </w:r>
      <w:r>
        <w:rPr>
          <w:rFonts w:hint="eastAsia"/>
          <w:lang w:eastAsia="zh-CN"/>
        </w:rPr>
        <w:t>）</w:t>
      </w:r>
      <w:r>
        <w:rPr>
          <w:rFonts w:hint="eastAsia"/>
        </w:rPr>
        <w:t>保护顾客的合法权益。</w:t>
      </w:r>
    </w:p>
    <w:p>
      <w:pPr>
        <w:ind w:firstLine="480"/>
      </w:pPr>
      <w:r>
        <w:rPr>
          <w:rFonts w:hint="eastAsia"/>
          <w:lang w:eastAsia="zh-CN"/>
        </w:rPr>
        <w:t>（</w:t>
      </w:r>
      <w:r>
        <w:rPr>
          <w:rFonts w:hint="eastAsia"/>
          <w:lang w:val="en-US" w:eastAsia="zh-CN"/>
        </w:rPr>
        <w:t>二</w:t>
      </w:r>
      <w:r>
        <w:rPr>
          <w:rFonts w:hint="eastAsia"/>
          <w:lang w:eastAsia="zh-CN"/>
        </w:rPr>
        <w:t>）</w:t>
      </w:r>
      <w:r>
        <w:rPr>
          <w:rFonts w:hint="eastAsia"/>
        </w:rPr>
        <w:t>积极同政府有关机构和新闻媒体配合。</w:t>
      </w:r>
    </w:p>
    <w:p>
      <w:pPr>
        <w:ind w:firstLine="480"/>
      </w:pPr>
      <w:r>
        <w:rPr>
          <w:rFonts w:hint="eastAsia"/>
          <w:lang w:eastAsia="zh-CN"/>
        </w:rPr>
        <w:t>（</w:t>
      </w:r>
      <w:r>
        <w:rPr>
          <w:rFonts w:hint="eastAsia"/>
          <w:lang w:val="en-US" w:eastAsia="zh-CN"/>
        </w:rPr>
        <w:t>三</w:t>
      </w:r>
      <w:r>
        <w:rPr>
          <w:rFonts w:hint="eastAsia"/>
          <w:lang w:eastAsia="zh-CN"/>
        </w:rPr>
        <w:t>）</w:t>
      </w:r>
      <w:r>
        <w:rPr>
          <w:rFonts w:hint="eastAsia"/>
        </w:rPr>
        <w:t>努力提高完善产品质量管理。</w:t>
      </w:r>
    </w:p>
    <w:p>
      <w:pPr>
        <w:ind w:firstLine="480"/>
      </w:pPr>
      <w:r>
        <w:rPr>
          <w:rFonts w:hint="eastAsia"/>
          <w:lang w:eastAsia="zh-CN"/>
        </w:rPr>
        <w:t>（</w:t>
      </w:r>
      <w:r>
        <w:rPr>
          <w:rFonts w:hint="eastAsia"/>
          <w:lang w:val="en-US" w:eastAsia="zh-CN"/>
        </w:rPr>
        <w:t>四</w:t>
      </w:r>
      <w:r>
        <w:rPr>
          <w:rFonts w:hint="eastAsia"/>
          <w:lang w:eastAsia="zh-CN"/>
        </w:rPr>
        <w:t>）</w:t>
      </w:r>
      <w:r>
        <w:rPr>
          <w:rFonts w:hint="eastAsia"/>
        </w:rPr>
        <w:t>采取统一的处理程序和解决方式。</w:t>
      </w:r>
    </w:p>
    <w:p>
      <w:pPr>
        <w:pStyle w:val="5"/>
        <w:bidi w:val="0"/>
      </w:pPr>
      <w:bookmarkStart w:id="905" w:name="_Toc25148"/>
      <w:r>
        <w:rPr>
          <w:rFonts w:hint="eastAsia"/>
        </w:rPr>
        <w:t>三、建立投诉处理小组</w:t>
      </w:r>
      <w:r>
        <w:t></w:t>
      </w:r>
      <w:bookmarkEnd w:id="905"/>
    </w:p>
    <w:p>
      <w:pPr>
        <w:keepNext w:val="0"/>
        <w:keepLines w:val="0"/>
        <w:pageBreakBefore w:val="0"/>
        <w:widowControl w:val="0"/>
        <w:numPr>
          <w:ilvl w:val="0"/>
          <w:numId w:val="0"/>
        </w:numPr>
        <w:kinsoku/>
        <w:wordWrap/>
        <w:overflowPunct/>
        <w:topLinePunct w:val="0"/>
        <w:autoSpaceDE/>
        <w:autoSpaceDN/>
        <w:bidi w:val="0"/>
        <w:adjustRightInd/>
        <w:snapToGrid w:val="0"/>
        <w:ind w:left="0" w:firstLine="562" w:firstLineChars="200"/>
        <w:textAlignment w:val="auto"/>
        <w:rPr>
          <w:rFonts w:hint="default" w:eastAsia="宋体"/>
          <w:b/>
          <w:bCs/>
          <w:lang w:val="en-US" w:eastAsia="zh-CN"/>
        </w:rPr>
      </w:pPr>
      <w:r>
        <w:rPr>
          <w:rFonts w:hint="eastAsia"/>
          <w:b/>
          <w:bCs/>
          <w:lang w:eastAsia="zh-CN"/>
        </w:rPr>
        <w:t>（</w:t>
      </w:r>
      <w:r>
        <w:rPr>
          <w:rFonts w:hint="eastAsia"/>
          <w:b/>
          <w:bCs/>
          <w:lang w:val="en-US" w:eastAsia="zh-CN"/>
        </w:rPr>
        <w:t>一</w:t>
      </w:r>
      <w:r>
        <w:rPr>
          <w:rFonts w:hint="eastAsia"/>
          <w:b/>
          <w:bCs/>
          <w:lang w:eastAsia="zh-CN"/>
        </w:rPr>
        <w:t>）</w:t>
      </w:r>
      <w:r>
        <w:rPr>
          <w:rFonts w:hint="eastAsia"/>
          <w:b/>
          <w:bCs/>
          <w:lang w:val="en-US" w:eastAsia="zh-CN"/>
        </w:rPr>
        <w:t>投诉处理小组</w:t>
      </w:r>
    </w:p>
    <w:p>
      <w:pPr>
        <w:keepNext w:val="0"/>
        <w:keepLines w:val="0"/>
        <w:pageBreakBefore w:val="0"/>
        <w:widowControl w:val="0"/>
        <w:numPr>
          <w:ilvl w:val="0"/>
          <w:numId w:val="0"/>
        </w:numPr>
        <w:kinsoku/>
        <w:wordWrap/>
        <w:overflowPunct/>
        <w:topLinePunct w:val="0"/>
        <w:autoSpaceDE/>
        <w:autoSpaceDN/>
        <w:bidi w:val="0"/>
        <w:adjustRightInd/>
        <w:snapToGrid w:val="0"/>
        <w:ind w:left="0" w:firstLine="560" w:firstLineChars="200"/>
        <w:textAlignment w:val="auto"/>
        <w:rPr>
          <w:rFonts w:hint="eastAsia" w:eastAsia="宋体"/>
          <w:lang w:eastAsia="zh-CN"/>
        </w:rPr>
      </w:pPr>
      <w:r>
        <w:rPr>
          <w:rFonts w:hint="eastAsia"/>
        </w:rPr>
        <w:t>营销部</w:t>
      </w:r>
      <w:r>
        <w:rPr>
          <w:rFonts w:hint="eastAsia"/>
          <w:lang w:eastAsia="zh-CN"/>
        </w:rPr>
        <w:t>、</w:t>
      </w:r>
      <w:r>
        <w:rPr>
          <w:rFonts w:hint="eastAsia"/>
        </w:rPr>
        <w:t>品质部</w:t>
      </w:r>
      <w:r>
        <w:rPr>
          <w:rFonts w:hint="eastAsia"/>
          <w:lang w:eastAsia="zh-CN"/>
        </w:rPr>
        <w:t>、</w:t>
      </w:r>
      <w:r>
        <w:rPr>
          <w:rFonts w:hint="eastAsia"/>
        </w:rPr>
        <w:t>生产部</w:t>
      </w:r>
      <w:r>
        <w:rPr>
          <w:rFonts w:hint="eastAsia"/>
          <w:lang w:eastAsia="zh-CN"/>
        </w:rPr>
        <w:t>、</w:t>
      </w:r>
      <w:r>
        <w:rPr>
          <w:rFonts w:hint="eastAsia"/>
        </w:rPr>
        <w:t>最高决策层</w:t>
      </w:r>
      <w:r>
        <w:rPr>
          <w:rFonts w:hint="eastAsia"/>
          <w:lang w:eastAsia="zh-CN"/>
        </w:rPr>
        <w:t>。</w:t>
      </w:r>
    </w:p>
    <w:p>
      <w:pPr>
        <w:keepNext w:val="0"/>
        <w:keepLines w:val="0"/>
        <w:pageBreakBefore w:val="0"/>
        <w:widowControl w:val="0"/>
        <w:kinsoku/>
        <w:wordWrap/>
        <w:overflowPunct/>
        <w:topLinePunct w:val="0"/>
        <w:autoSpaceDE/>
        <w:autoSpaceDN/>
        <w:bidi w:val="0"/>
        <w:adjustRightInd/>
        <w:snapToGrid w:val="0"/>
        <w:ind w:left="0" w:firstLine="562" w:firstLineChars="200"/>
        <w:textAlignment w:val="auto"/>
        <w:rPr>
          <w:b/>
          <w:bCs/>
        </w:rPr>
      </w:pPr>
      <w:r>
        <w:rPr>
          <w:rFonts w:hint="eastAsia"/>
          <w:b/>
          <w:bCs/>
          <w:lang w:eastAsia="zh-CN"/>
        </w:rPr>
        <w:t>（</w:t>
      </w:r>
      <w:r>
        <w:rPr>
          <w:rFonts w:hint="eastAsia"/>
          <w:b/>
          <w:bCs/>
          <w:lang w:val="en-US" w:eastAsia="zh-CN"/>
        </w:rPr>
        <w:t>二</w:t>
      </w:r>
      <w:r>
        <w:rPr>
          <w:rFonts w:hint="eastAsia"/>
          <w:b/>
          <w:bCs/>
          <w:lang w:eastAsia="zh-CN"/>
        </w:rPr>
        <w:t>）</w:t>
      </w:r>
      <w:r>
        <w:rPr>
          <w:rFonts w:hint="eastAsia"/>
          <w:b/>
          <w:bCs/>
        </w:rPr>
        <w:t>投诉小组的责任：</w:t>
      </w:r>
    </w:p>
    <w:p>
      <w:pPr>
        <w:keepNext w:val="0"/>
        <w:keepLines w:val="0"/>
        <w:pageBreakBefore w:val="0"/>
        <w:widowControl w:val="0"/>
        <w:kinsoku/>
        <w:wordWrap/>
        <w:overflowPunct/>
        <w:topLinePunct w:val="0"/>
        <w:autoSpaceDE/>
        <w:autoSpaceDN/>
        <w:bidi w:val="0"/>
        <w:adjustRightInd/>
        <w:snapToGrid w:val="0"/>
        <w:ind w:left="0" w:firstLine="560" w:firstLineChars="200"/>
        <w:textAlignment w:val="auto"/>
      </w:pPr>
      <w:r>
        <w:t>1</w:t>
      </w:r>
      <w:r>
        <w:rPr>
          <w:rFonts w:hint="eastAsia"/>
          <w:lang w:eastAsia="zh-CN"/>
        </w:rPr>
        <w:t>、</w:t>
      </w:r>
      <w:r>
        <w:rPr>
          <w:rFonts w:hint="eastAsia"/>
        </w:rPr>
        <w:t>营销部：</w:t>
      </w:r>
    </w:p>
    <w:p>
      <w:pPr>
        <w:keepNext w:val="0"/>
        <w:keepLines w:val="0"/>
        <w:pageBreakBefore w:val="0"/>
        <w:widowControl w:val="0"/>
        <w:numPr>
          <w:ilvl w:val="0"/>
          <w:numId w:val="0"/>
        </w:numPr>
        <w:kinsoku/>
        <w:wordWrap/>
        <w:overflowPunct/>
        <w:topLinePunct w:val="0"/>
        <w:autoSpaceDE/>
        <w:autoSpaceDN/>
        <w:bidi w:val="0"/>
        <w:adjustRightInd/>
        <w:snapToGrid w:val="0"/>
        <w:ind w:left="0" w:firstLine="560" w:firstLineChars="200"/>
        <w:textAlignment w:val="auto"/>
      </w:pPr>
      <w:r>
        <w:rPr>
          <w:rFonts w:hint="eastAsia"/>
          <w:lang w:eastAsia="zh-CN"/>
        </w:rPr>
        <w:t>（</w:t>
      </w:r>
      <w:r>
        <w:rPr>
          <w:rFonts w:hint="eastAsia"/>
          <w:lang w:val="en-US" w:eastAsia="zh-CN"/>
        </w:rPr>
        <w:t>1</w:t>
      </w:r>
      <w:r>
        <w:rPr>
          <w:rFonts w:hint="eastAsia"/>
          <w:lang w:eastAsia="zh-CN"/>
        </w:rPr>
        <w:t>）</w:t>
      </w:r>
      <w:r>
        <w:rPr>
          <w:rFonts w:hint="eastAsia"/>
        </w:rPr>
        <w:t>接受投诉，获取被投诉产品及投诉人的尽可能详细的资料；</w:t>
      </w:r>
    </w:p>
    <w:p>
      <w:pPr>
        <w:keepNext w:val="0"/>
        <w:keepLines w:val="0"/>
        <w:pageBreakBefore w:val="0"/>
        <w:widowControl w:val="0"/>
        <w:numPr>
          <w:ilvl w:val="0"/>
          <w:numId w:val="0"/>
        </w:numPr>
        <w:kinsoku/>
        <w:wordWrap/>
        <w:overflowPunct/>
        <w:topLinePunct w:val="0"/>
        <w:autoSpaceDE/>
        <w:autoSpaceDN/>
        <w:bidi w:val="0"/>
        <w:adjustRightInd/>
        <w:snapToGrid w:val="0"/>
        <w:ind w:left="0" w:firstLine="560" w:firstLineChars="200"/>
        <w:textAlignment w:val="auto"/>
      </w:pPr>
      <w:r>
        <w:rPr>
          <w:rFonts w:hint="eastAsia"/>
          <w:lang w:eastAsia="zh-CN"/>
        </w:rPr>
        <w:t>（</w:t>
      </w:r>
      <w:r>
        <w:rPr>
          <w:rFonts w:hint="eastAsia"/>
          <w:lang w:val="en-US" w:eastAsia="zh-CN"/>
        </w:rPr>
        <w:t>2</w:t>
      </w:r>
      <w:r>
        <w:rPr>
          <w:rFonts w:hint="eastAsia"/>
          <w:lang w:eastAsia="zh-CN"/>
        </w:rPr>
        <w:t>）</w:t>
      </w:r>
      <w:r>
        <w:rPr>
          <w:rFonts w:hint="eastAsia"/>
        </w:rPr>
        <w:t>及时通知品质部相关人员或公关经理；</w:t>
      </w:r>
    </w:p>
    <w:p>
      <w:pPr>
        <w:keepNext w:val="0"/>
        <w:keepLines w:val="0"/>
        <w:pageBreakBefore w:val="0"/>
        <w:widowControl w:val="0"/>
        <w:numPr>
          <w:ilvl w:val="0"/>
          <w:numId w:val="0"/>
        </w:numPr>
        <w:kinsoku/>
        <w:wordWrap/>
        <w:overflowPunct/>
        <w:topLinePunct w:val="0"/>
        <w:autoSpaceDE/>
        <w:autoSpaceDN/>
        <w:bidi w:val="0"/>
        <w:adjustRightInd/>
        <w:snapToGrid w:val="0"/>
        <w:ind w:left="0" w:firstLine="560" w:firstLineChars="200"/>
        <w:textAlignment w:val="auto"/>
      </w:pPr>
      <w:r>
        <w:rPr>
          <w:rFonts w:hint="eastAsia"/>
          <w:lang w:eastAsia="zh-CN"/>
        </w:rPr>
        <w:t>（</w:t>
      </w:r>
      <w:r>
        <w:rPr>
          <w:rFonts w:hint="eastAsia"/>
          <w:lang w:val="en-US" w:eastAsia="zh-CN"/>
        </w:rPr>
        <w:t>3</w:t>
      </w:r>
      <w:r>
        <w:rPr>
          <w:rFonts w:hint="eastAsia"/>
          <w:lang w:eastAsia="zh-CN"/>
        </w:rPr>
        <w:t>）</w:t>
      </w:r>
      <w:r>
        <w:rPr>
          <w:rFonts w:hint="eastAsia"/>
        </w:rPr>
        <w:t>向顾客回复一般投诉的处理结果；</w:t>
      </w:r>
    </w:p>
    <w:p>
      <w:pPr>
        <w:keepNext w:val="0"/>
        <w:keepLines w:val="0"/>
        <w:pageBreakBefore w:val="0"/>
        <w:widowControl w:val="0"/>
        <w:numPr>
          <w:ilvl w:val="0"/>
          <w:numId w:val="0"/>
        </w:numPr>
        <w:kinsoku/>
        <w:wordWrap/>
        <w:overflowPunct/>
        <w:topLinePunct w:val="0"/>
        <w:autoSpaceDE/>
        <w:autoSpaceDN/>
        <w:bidi w:val="0"/>
        <w:adjustRightInd/>
        <w:snapToGrid w:val="0"/>
        <w:ind w:left="0" w:firstLine="560" w:firstLineChars="200"/>
        <w:textAlignment w:val="auto"/>
      </w:pPr>
      <w:r>
        <w:rPr>
          <w:rFonts w:hint="eastAsia"/>
          <w:lang w:eastAsia="zh-CN"/>
        </w:rPr>
        <w:t>（</w:t>
      </w:r>
      <w:r>
        <w:rPr>
          <w:rFonts w:hint="eastAsia"/>
          <w:lang w:val="en-US" w:eastAsia="zh-CN"/>
        </w:rPr>
        <w:t>4</w:t>
      </w:r>
      <w:r>
        <w:rPr>
          <w:rFonts w:hint="eastAsia"/>
          <w:lang w:eastAsia="zh-CN"/>
        </w:rPr>
        <w:t>）</w:t>
      </w:r>
      <w:r>
        <w:rPr>
          <w:rFonts w:hint="eastAsia"/>
        </w:rPr>
        <w:t>向顾客解释严重投诉的处理结果。</w:t>
      </w:r>
    </w:p>
    <w:p>
      <w:pPr>
        <w:keepNext w:val="0"/>
        <w:keepLines w:val="0"/>
        <w:pageBreakBefore w:val="0"/>
        <w:widowControl w:val="0"/>
        <w:kinsoku/>
        <w:wordWrap/>
        <w:overflowPunct/>
        <w:topLinePunct w:val="0"/>
        <w:autoSpaceDE/>
        <w:autoSpaceDN/>
        <w:bidi w:val="0"/>
        <w:adjustRightInd/>
        <w:snapToGrid w:val="0"/>
        <w:ind w:left="0" w:firstLine="560" w:firstLineChars="200"/>
        <w:textAlignment w:val="auto"/>
      </w:pPr>
      <w:r>
        <w:t>2</w:t>
      </w:r>
      <w:r>
        <w:rPr>
          <w:rFonts w:hint="eastAsia"/>
          <w:lang w:eastAsia="zh-CN"/>
        </w:rPr>
        <w:t>、</w:t>
      </w:r>
      <w:r>
        <w:rPr>
          <w:rFonts w:hint="eastAsia"/>
        </w:rPr>
        <w:t>品质部：</w:t>
      </w:r>
    </w:p>
    <w:p>
      <w:pPr>
        <w:keepNext w:val="0"/>
        <w:keepLines w:val="0"/>
        <w:pageBreakBefore w:val="0"/>
        <w:widowControl w:val="0"/>
        <w:numPr>
          <w:ilvl w:val="0"/>
          <w:numId w:val="0"/>
        </w:numPr>
        <w:kinsoku/>
        <w:wordWrap/>
        <w:overflowPunct/>
        <w:topLinePunct w:val="0"/>
        <w:autoSpaceDE/>
        <w:autoSpaceDN/>
        <w:bidi w:val="0"/>
        <w:adjustRightInd/>
        <w:snapToGrid w:val="0"/>
        <w:ind w:left="0" w:firstLine="560" w:firstLineChars="200"/>
        <w:textAlignment w:val="auto"/>
      </w:pPr>
      <w:r>
        <w:rPr>
          <w:rFonts w:hint="eastAsia"/>
          <w:lang w:eastAsia="zh-CN"/>
        </w:rPr>
        <w:t>（</w:t>
      </w:r>
      <w:r>
        <w:rPr>
          <w:rFonts w:hint="eastAsia"/>
          <w:lang w:val="en-US" w:eastAsia="zh-CN"/>
        </w:rPr>
        <w:t>1</w:t>
      </w:r>
      <w:r>
        <w:rPr>
          <w:rFonts w:hint="eastAsia"/>
          <w:lang w:eastAsia="zh-CN"/>
        </w:rPr>
        <w:t>）</w:t>
      </w:r>
      <w:r>
        <w:rPr>
          <w:rFonts w:hint="eastAsia"/>
        </w:rPr>
        <w:t>接受投诉，获取被投诉产品及投诉人的尽可能详细的资料；</w:t>
      </w:r>
    </w:p>
    <w:p>
      <w:pPr>
        <w:keepNext w:val="0"/>
        <w:keepLines w:val="0"/>
        <w:pageBreakBefore w:val="0"/>
        <w:widowControl w:val="0"/>
        <w:numPr>
          <w:ilvl w:val="0"/>
          <w:numId w:val="0"/>
        </w:numPr>
        <w:kinsoku/>
        <w:wordWrap/>
        <w:overflowPunct/>
        <w:topLinePunct w:val="0"/>
        <w:autoSpaceDE/>
        <w:autoSpaceDN/>
        <w:bidi w:val="0"/>
        <w:adjustRightInd/>
        <w:snapToGrid w:val="0"/>
        <w:ind w:left="0" w:firstLine="560" w:firstLineChars="200"/>
        <w:textAlignment w:val="auto"/>
      </w:pPr>
      <w:r>
        <w:rPr>
          <w:rFonts w:hint="eastAsia"/>
          <w:lang w:eastAsia="zh-CN"/>
        </w:rPr>
        <w:t>（</w:t>
      </w:r>
      <w:r>
        <w:rPr>
          <w:rFonts w:hint="eastAsia"/>
          <w:lang w:val="en-US" w:eastAsia="zh-CN"/>
        </w:rPr>
        <w:t>2</w:t>
      </w:r>
      <w:r>
        <w:rPr>
          <w:rFonts w:hint="eastAsia"/>
          <w:lang w:eastAsia="zh-CN"/>
        </w:rPr>
        <w:t>）</w:t>
      </w:r>
      <w:r>
        <w:rPr>
          <w:rFonts w:hint="eastAsia"/>
        </w:rPr>
        <w:t>组织被投诉问题的调查并向投诉处理小组提供调查及问题的危害分析结果；</w:t>
      </w:r>
    </w:p>
    <w:p>
      <w:pPr>
        <w:keepNext w:val="0"/>
        <w:keepLines w:val="0"/>
        <w:pageBreakBefore w:val="0"/>
        <w:widowControl w:val="0"/>
        <w:numPr>
          <w:ilvl w:val="0"/>
          <w:numId w:val="0"/>
        </w:numPr>
        <w:kinsoku/>
        <w:wordWrap/>
        <w:overflowPunct/>
        <w:topLinePunct w:val="0"/>
        <w:autoSpaceDE/>
        <w:autoSpaceDN/>
        <w:bidi w:val="0"/>
        <w:adjustRightInd/>
        <w:snapToGrid w:val="0"/>
        <w:ind w:left="0" w:firstLine="560" w:firstLineChars="200"/>
        <w:textAlignment w:val="auto"/>
      </w:pPr>
      <w:r>
        <w:rPr>
          <w:rFonts w:hint="eastAsia"/>
          <w:lang w:eastAsia="zh-CN"/>
        </w:rPr>
        <w:t>（</w:t>
      </w:r>
      <w:r>
        <w:rPr>
          <w:rFonts w:hint="eastAsia"/>
          <w:lang w:val="en-US" w:eastAsia="zh-CN"/>
        </w:rPr>
        <w:t>3</w:t>
      </w:r>
      <w:r>
        <w:rPr>
          <w:rFonts w:hint="eastAsia"/>
          <w:lang w:eastAsia="zh-CN"/>
        </w:rPr>
        <w:t>）</w:t>
      </w:r>
      <w:r>
        <w:rPr>
          <w:rFonts w:hint="eastAsia"/>
        </w:rPr>
        <w:t>向顾客解释严重投诉的处理结果。</w:t>
      </w:r>
    </w:p>
    <w:p>
      <w:pPr>
        <w:keepNext w:val="0"/>
        <w:keepLines w:val="0"/>
        <w:pageBreakBefore w:val="0"/>
        <w:widowControl w:val="0"/>
        <w:numPr>
          <w:ilvl w:val="0"/>
          <w:numId w:val="0"/>
        </w:numPr>
        <w:kinsoku/>
        <w:wordWrap/>
        <w:overflowPunct/>
        <w:topLinePunct w:val="0"/>
        <w:autoSpaceDE/>
        <w:autoSpaceDN/>
        <w:bidi w:val="0"/>
        <w:adjustRightInd/>
        <w:snapToGrid w:val="0"/>
        <w:ind w:left="0" w:firstLine="560" w:firstLineChars="200"/>
        <w:textAlignment w:val="auto"/>
      </w:pPr>
      <w:r>
        <w:rPr>
          <w:rFonts w:hint="eastAsia"/>
          <w:lang w:eastAsia="zh-CN"/>
        </w:rPr>
        <w:t>（</w:t>
      </w:r>
      <w:r>
        <w:rPr>
          <w:rFonts w:hint="eastAsia"/>
          <w:lang w:val="en-US" w:eastAsia="zh-CN"/>
        </w:rPr>
        <w:t>4</w:t>
      </w:r>
      <w:r>
        <w:rPr>
          <w:rFonts w:hint="eastAsia"/>
          <w:lang w:eastAsia="zh-CN"/>
        </w:rPr>
        <w:t>）</w:t>
      </w:r>
      <w:r>
        <w:rPr>
          <w:rFonts w:hint="eastAsia"/>
        </w:rPr>
        <w:t>提高对被投诉问题的技术分析</w:t>
      </w:r>
      <w:r>
        <w:t>;</w:t>
      </w:r>
    </w:p>
    <w:p>
      <w:pPr>
        <w:keepNext w:val="0"/>
        <w:keepLines w:val="0"/>
        <w:pageBreakBefore w:val="0"/>
        <w:widowControl w:val="0"/>
        <w:numPr>
          <w:ilvl w:val="0"/>
          <w:numId w:val="0"/>
        </w:numPr>
        <w:kinsoku/>
        <w:wordWrap/>
        <w:overflowPunct/>
        <w:topLinePunct w:val="0"/>
        <w:autoSpaceDE/>
        <w:autoSpaceDN/>
        <w:bidi w:val="0"/>
        <w:adjustRightInd/>
        <w:snapToGrid w:val="0"/>
        <w:ind w:left="0" w:firstLine="560" w:firstLineChars="200"/>
        <w:textAlignment w:val="auto"/>
        <w:rPr>
          <w:rFonts w:hint="eastAsia" w:eastAsia="宋体"/>
          <w:lang w:eastAsia="zh-CN"/>
        </w:rPr>
      </w:pPr>
      <w:r>
        <w:rPr>
          <w:rFonts w:hint="eastAsia"/>
          <w:lang w:eastAsia="zh-CN"/>
        </w:rPr>
        <w:t>（</w:t>
      </w:r>
      <w:r>
        <w:rPr>
          <w:rFonts w:hint="eastAsia"/>
          <w:lang w:val="en-US" w:eastAsia="zh-CN"/>
        </w:rPr>
        <w:t>5</w:t>
      </w:r>
      <w:r>
        <w:rPr>
          <w:rFonts w:hint="eastAsia"/>
          <w:lang w:eastAsia="zh-CN"/>
        </w:rPr>
        <w:t>）</w:t>
      </w:r>
      <w:r>
        <w:rPr>
          <w:rFonts w:hint="eastAsia"/>
        </w:rPr>
        <w:t>协助对被投诉问题的调查</w:t>
      </w:r>
      <w:r>
        <w:t>.</w:t>
      </w:r>
    </w:p>
    <w:p>
      <w:pPr>
        <w:keepNext w:val="0"/>
        <w:keepLines w:val="0"/>
        <w:pageBreakBefore w:val="0"/>
        <w:widowControl w:val="0"/>
        <w:kinsoku/>
        <w:wordWrap/>
        <w:overflowPunct/>
        <w:topLinePunct w:val="0"/>
        <w:autoSpaceDE/>
        <w:autoSpaceDN/>
        <w:bidi w:val="0"/>
        <w:adjustRightInd/>
        <w:snapToGrid w:val="0"/>
        <w:ind w:left="0" w:firstLine="560" w:firstLineChars="200"/>
        <w:textAlignment w:val="auto"/>
      </w:pPr>
      <w:r>
        <w:t>3</w:t>
      </w:r>
      <w:r>
        <w:rPr>
          <w:rFonts w:hint="eastAsia"/>
          <w:lang w:eastAsia="zh-CN"/>
        </w:rPr>
        <w:t>、</w:t>
      </w:r>
      <w:r>
        <w:rPr>
          <w:rFonts w:hint="eastAsia"/>
        </w:rPr>
        <w:t>生产部</w:t>
      </w:r>
      <w:r>
        <w:t>:</w:t>
      </w:r>
    </w:p>
    <w:p>
      <w:pPr>
        <w:keepNext w:val="0"/>
        <w:keepLines w:val="0"/>
        <w:pageBreakBefore w:val="0"/>
        <w:widowControl w:val="0"/>
        <w:numPr>
          <w:ilvl w:val="0"/>
          <w:numId w:val="0"/>
        </w:numPr>
        <w:kinsoku/>
        <w:wordWrap/>
        <w:overflowPunct/>
        <w:topLinePunct w:val="0"/>
        <w:autoSpaceDE/>
        <w:autoSpaceDN/>
        <w:bidi w:val="0"/>
        <w:adjustRightInd/>
        <w:snapToGrid w:val="0"/>
        <w:ind w:left="0" w:firstLine="560" w:firstLineChars="200"/>
        <w:textAlignment w:val="auto"/>
      </w:pPr>
      <w:r>
        <w:rPr>
          <w:rFonts w:hint="eastAsia"/>
          <w:lang w:eastAsia="zh-CN"/>
        </w:rPr>
        <w:t>（</w:t>
      </w:r>
      <w:r>
        <w:rPr>
          <w:rFonts w:hint="eastAsia"/>
          <w:lang w:val="en-US" w:eastAsia="zh-CN"/>
        </w:rPr>
        <w:t>1</w:t>
      </w:r>
      <w:r>
        <w:rPr>
          <w:rFonts w:hint="eastAsia"/>
          <w:lang w:eastAsia="zh-CN"/>
        </w:rPr>
        <w:t>）</w:t>
      </w:r>
      <w:r>
        <w:rPr>
          <w:rFonts w:hint="eastAsia"/>
        </w:rPr>
        <w:t>提供对被投诉产品的原始生产记录</w:t>
      </w:r>
      <w:r>
        <w:t>;</w:t>
      </w:r>
    </w:p>
    <w:p>
      <w:pPr>
        <w:keepNext w:val="0"/>
        <w:keepLines w:val="0"/>
        <w:pageBreakBefore w:val="0"/>
        <w:widowControl w:val="0"/>
        <w:numPr>
          <w:ilvl w:val="0"/>
          <w:numId w:val="0"/>
        </w:numPr>
        <w:kinsoku/>
        <w:wordWrap/>
        <w:overflowPunct/>
        <w:topLinePunct w:val="0"/>
        <w:autoSpaceDE/>
        <w:autoSpaceDN/>
        <w:bidi w:val="0"/>
        <w:adjustRightInd/>
        <w:snapToGrid w:val="0"/>
        <w:ind w:left="0" w:firstLine="560" w:firstLineChars="200"/>
        <w:textAlignment w:val="auto"/>
        <w:rPr>
          <w:rFonts w:hint="eastAsia" w:eastAsia="宋体"/>
          <w:lang w:eastAsia="zh-CN"/>
        </w:rPr>
      </w:pPr>
      <w:r>
        <w:rPr>
          <w:rFonts w:hint="eastAsia"/>
          <w:lang w:eastAsia="zh-CN"/>
        </w:rPr>
        <w:t>（</w:t>
      </w:r>
      <w:r>
        <w:rPr>
          <w:rFonts w:hint="eastAsia"/>
          <w:lang w:val="en-US" w:eastAsia="zh-CN"/>
        </w:rPr>
        <w:t>2</w:t>
      </w:r>
      <w:r>
        <w:rPr>
          <w:rFonts w:hint="eastAsia"/>
          <w:lang w:eastAsia="zh-CN"/>
        </w:rPr>
        <w:t>）</w:t>
      </w:r>
      <w:r>
        <w:rPr>
          <w:rFonts w:hint="eastAsia"/>
        </w:rPr>
        <w:t>协助对被投诉问题的调查</w:t>
      </w:r>
      <w:r>
        <w:t>.</w:t>
      </w:r>
    </w:p>
    <w:p>
      <w:pPr>
        <w:keepNext w:val="0"/>
        <w:keepLines w:val="0"/>
        <w:pageBreakBefore w:val="0"/>
        <w:widowControl w:val="0"/>
        <w:kinsoku/>
        <w:wordWrap/>
        <w:overflowPunct/>
        <w:topLinePunct w:val="0"/>
        <w:autoSpaceDE/>
        <w:autoSpaceDN/>
        <w:bidi w:val="0"/>
        <w:adjustRightInd/>
        <w:snapToGrid w:val="0"/>
        <w:ind w:left="0" w:firstLine="560" w:firstLineChars="200"/>
        <w:textAlignment w:val="auto"/>
        <w:rPr>
          <w:rFonts w:hint="eastAsia" w:eastAsia="宋体"/>
          <w:lang w:eastAsia="zh-CN"/>
        </w:rPr>
      </w:pPr>
      <w:r>
        <w:t>4.</w:t>
      </w:r>
      <w:r>
        <w:rPr>
          <w:rFonts w:hint="eastAsia"/>
        </w:rPr>
        <w:t>最高决策层</w:t>
      </w:r>
      <w:r>
        <w:t>:</w:t>
      </w:r>
    </w:p>
    <w:p>
      <w:pPr>
        <w:keepNext w:val="0"/>
        <w:keepLines w:val="0"/>
        <w:pageBreakBefore w:val="0"/>
        <w:widowControl w:val="0"/>
        <w:kinsoku/>
        <w:wordWrap/>
        <w:overflowPunct/>
        <w:topLinePunct w:val="0"/>
        <w:autoSpaceDE/>
        <w:autoSpaceDN/>
        <w:bidi w:val="0"/>
        <w:adjustRightInd/>
        <w:snapToGrid w:val="0"/>
        <w:ind w:left="0" w:firstLine="560" w:firstLineChars="200"/>
        <w:textAlignment w:val="auto"/>
        <w:rPr>
          <w:rFonts w:hint="eastAsia" w:eastAsia="宋体"/>
          <w:lang w:eastAsia="zh-CN"/>
        </w:rPr>
      </w:pPr>
      <w:r>
        <w:rPr>
          <w:rFonts w:hint="eastAsia"/>
        </w:rPr>
        <w:t>决定是否启动产品回收程序及企业危机处理程序等紧急处理程序</w:t>
      </w:r>
      <w:r>
        <w:t>.</w:t>
      </w:r>
    </w:p>
    <w:p>
      <w:pPr>
        <w:pStyle w:val="5"/>
        <w:bidi w:val="0"/>
        <w:rPr>
          <w:rFonts w:hint="eastAsia"/>
          <w:lang w:eastAsia="zh-CN"/>
        </w:rPr>
      </w:pPr>
      <w:bookmarkStart w:id="906" w:name="_Toc7372"/>
      <w:r>
        <w:rPr>
          <w:rFonts w:hint="eastAsia"/>
        </w:rPr>
        <w:t>四</w:t>
      </w:r>
      <w:r>
        <w:rPr>
          <w:rFonts w:hint="eastAsia"/>
          <w:lang w:eastAsia="zh-CN"/>
        </w:rPr>
        <w:t>、</w:t>
      </w:r>
      <w:r>
        <w:rPr>
          <w:rFonts w:hint="eastAsia"/>
        </w:rPr>
        <w:t>做好投诉记录</w:t>
      </w:r>
      <w:bookmarkEnd w:id="906"/>
    </w:p>
    <w:p>
      <w:pPr>
        <w:ind w:firstLine="480"/>
        <w:rPr>
          <w:rFonts w:hint="eastAsia" w:eastAsia="宋体"/>
          <w:lang w:eastAsia="zh-CN"/>
        </w:rPr>
      </w:pPr>
      <w:r>
        <w:rPr>
          <w:rFonts w:hint="eastAsia"/>
          <w:lang w:eastAsia="zh-CN"/>
        </w:rPr>
        <w:t>（</w:t>
      </w:r>
      <w:r>
        <w:rPr>
          <w:rFonts w:hint="eastAsia"/>
          <w:lang w:val="en-US" w:eastAsia="zh-CN"/>
        </w:rPr>
        <w:t>一</w:t>
      </w:r>
      <w:r>
        <w:rPr>
          <w:rFonts w:hint="eastAsia"/>
          <w:lang w:eastAsia="zh-CN"/>
        </w:rPr>
        <w:t>）</w:t>
      </w:r>
      <w:r>
        <w:rPr>
          <w:rFonts w:hint="eastAsia"/>
        </w:rPr>
        <w:t>记录备案编号、日期；</w:t>
      </w:r>
    </w:p>
    <w:p>
      <w:pPr>
        <w:ind w:firstLine="480"/>
        <w:rPr>
          <w:rFonts w:hint="eastAsia" w:eastAsia="宋体"/>
          <w:lang w:eastAsia="zh-CN"/>
        </w:rPr>
      </w:pPr>
      <w:r>
        <w:rPr>
          <w:rFonts w:hint="eastAsia"/>
          <w:lang w:eastAsia="zh-CN"/>
        </w:rPr>
        <w:t>（</w:t>
      </w:r>
      <w:r>
        <w:rPr>
          <w:rFonts w:hint="eastAsia"/>
          <w:lang w:val="en-US" w:eastAsia="zh-CN"/>
        </w:rPr>
        <w:t>二</w:t>
      </w:r>
      <w:r>
        <w:rPr>
          <w:rFonts w:hint="eastAsia"/>
          <w:lang w:eastAsia="zh-CN"/>
        </w:rPr>
        <w:t>）</w:t>
      </w:r>
      <w:r>
        <w:rPr>
          <w:rFonts w:hint="eastAsia"/>
        </w:rPr>
        <w:t>投诉人详情（姓名、联系方法等）；</w:t>
      </w:r>
    </w:p>
    <w:p>
      <w:pPr>
        <w:ind w:firstLine="480"/>
        <w:rPr>
          <w:rFonts w:hint="eastAsia" w:eastAsia="宋体"/>
          <w:lang w:eastAsia="zh-CN"/>
        </w:rPr>
      </w:pPr>
      <w:r>
        <w:rPr>
          <w:rFonts w:hint="eastAsia"/>
          <w:lang w:eastAsia="zh-CN"/>
        </w:rPr>
        <w:t>（</w:t>
      </w:r>
      <w:r>
        <w:rPr>
          <w:rFonts w:hint="eastAsia"/>
          <w:lang w:val="en-US" w:eastAsia="zh-CN"/>
        </w:rPr>
        <w:t>三</w:t>
      </w:r>
      <w:r>
        <w:rPr>
          <w:rFonts w:hint="eastAsia"/>
          <w:lang w:eastAsia="zh-CN"/>
        </w:rPr>
        <w:t>）</w:t>
      </w:r>
      <w:r>
        <w:rPr>
          <w:rFonts w:hint="eastAsia"/>
        </w:rPr>
        <w:t>被投诉产品详情（产品名称、包装形式、投诉量、生产批号、购买地点等）；</w:t>
      </w:r>
    </w:p>
    <w:p>
      <w:pPr>
        <w:ind w:firstLine="480"/>
        <w:rPr>
          <w:rFonts w:hint="eastAsia" w:eastAsia="宋体"/>
          <w:lang w:eastAsia="zh-CN"/>
        </w:rPr>
      </w:pPr>
      <w:r>
        <w:rPr>
          <w:rFonts w:hint="eastAsia"/>
          <w:lang w:eastAsia="zh-CN"/>
        </w:rPr>
        <w:t>（</w:t>
      </w:r>
      <w:r>
        <w:rPr>
          <w:rFonts w:hint="eastAsia"/>
          <w:lang w:val="en-US" w:eastAsia="zh-CN"/>
        </w:rPr>
        <w:t>四</w:t>
      </w:r>
      <w:r>
        <w:rPr>
          <w:rFonts w:hint="eastAsia"/>
          <w:lang w:eastAsia="zh-CN"/>
        </w:rPr>
        <w:t>）</w:t>
      </w:r>
      <w:r>
        <w:rPr>
          <w:rFonts w:hint="eastAsia"/>
        </w:rPr>
        <w:t>投诉原因详情（购买、储存、消费经过等）；</w:t>
      </w:r>
    </w:p>
    <w:p>
      <w:pPr>
        <w:ind w:firstLine="480"/>
        <w:rPr>
          <w:rFonts w:hint="eastAsia" w:eastAsia="宋体"/>
          <w:lang w:eastAsia="zh-CN"/>
        </w:rPr>
      </w:pPr>
      <w:r>
        <w:rPr>
          <w:rFonts w:hint="eastAsia"/>
          <w:lang w:eastAsia="zh-CN"/>
        </w:rPr>
        <w:t>（</w:t>
      </w:r>
      <w:r>
        <w:rPr>
          <w:rFonts w:hint="eastAsia"/>
          <w:lang w:val="en-US" w:eastAsia="zh-CN"/>
        </w:rPr>
        <w:t>五</w:t>
      </w:r>
      <w:r>
        <w:rPr>
          <w:rFonts w:hint="eastAsia"/>
          <w:lang w:eastAsia="zh-CN"/>
        </w:rPr>
        <w:t>）</w:t>
      </w:r>
      <w:r>
        <w:rPr>
          <w:rFonts w:hint="eastAsia"/>
        </w:rPr>
        <w:t>投诉记录人。</w:t>
      </w:r>
    </w:p>
    <w:p>
      <w:pPr>
        <w:pStyle w:val="5"/>
        <w:bidi w:val="0"/>
        <w:rPr>
          <w:rFonts w:hint="eastAsia"/>
          <w:lang w:eastAsia="zh-CN"/>
        </w:rPr>
      </w:pPr>
      <w:bookmarkStart w:id="907" w:name="_Toc2770"/>
      <w:r>
        <w:rPr>
          <w:rFonts w:hint="eastAsia"/>
        </w:rPr>
        <w:t>五</w:t>
      </w:r>
      <w:r>
        <w:rPr>
          <w:rFonts w:hint="eastAsia"/>
          <w:lang w:eastAsia="zh-CN"/>
        </w:rPr>
        <w:t>、</w:t>
      </w:r>
      <w:r>
        <w:rPr>
          <w:rFonts w:hint="eastAsia"/>
        </w:rPr>
        <w:t>提供投诉处理书面文件</w:t>
      </w:r>
      <w:bookmarkEnd w:id="907"/>
    </w:p>
    <w:p>
      <w:pPr>
        <w:ind w:firstLine="480"/>
        <w:rPr>
          <w:rFonts w:hint="eastAsia" w:eastAsia="宋体"/>
          <w:lang w:eastAsia="zh-CN"/>
        </w:rPr>
      </w:pPr>
      <w:r>
        <w:rPr>
          <w:rFonts w:hint="eastAsia"/>
          <w:lang w:eastAsia="zh-CN"/>
        </w:rPr>
        <w:t>（</w:t>
      </w:r>
      <w:r>
        <w:rPr>
          <w:rFonts w:hint="eastAsia"/>
          <w:lang w:val="en-US" w:eastAsia="zh-CN"/>
        </w:rPr>
        <w:t>一</w:t>
      </w:r>
      <w:r>
        <w:rPr>
          <w:rFonts w:hint="eastAsia"/>
          <w:lang w:eastAsia="zh-CN"/>
        </w:rPr>
        <w:t>）</w:t>
      </w:r>
      <w:r>
        <w:rPr>
          <w:rFonts w:hint="eastAsia"/>
        </w:rPr>
        <w:t>文件备案编号、日期；</w:t>
      </w:r>
    </w:p>
    <w:p>
      <w:pPr>
        <w:ind w:firstLine="480"/>
        <w:rPr>
          <w:rFonts w:hint="eastAsia" w:eastAsia="宋体"/>
          <w:lang w:eastAsia="zh-CN"/>
        </w:rPr>
      </w:pPr>
      <w:r>
        <w:rPr>
          <w:rFonts w:hint="eastAsia"/>
          <w:lang w:eastAsia="zh-CN"/>
        </w:rPr>
        <w:t>（</w:t>
      </w:r>
      <w:r>
        <w:rPr>
          <w:rFonts w:hint="eastAsia"/>
          <w:lang w:val="en-US" w:eastAsia="zh-CN"/>
        </w:rPr>
        <w:t>二</w:t>
      </w:r>
      <w:r>
        <w:rPr>
          <w:rFonts w:hint="eastAsia"/>
          <w:lang w:eastAsia="zh-CN"/>
        </w:rPr>
        <w:t>）</w:t>
      </w:r>
      <w:r>
        <w:rPr>
          <w:rFonts w:hint="eastAsia"/>
        </w:rPr>
        <w:t>投诉人姓名和被投诉产品名称；</w:t>
      </w:r>
    </w:p>
    <w:p>
      <w:pPr>
        <w:ind w:firstLine="480"/>
        <w:rPr>
          <w:rFonts w:hint="eastAsia" w:eastAsia="宋体"/>
          <w:lang w:eastAsia="zh-CN"/>
        </w:rPr>
      </w:pPr>
      <w:r>
        <w:rPr>
          <w:rFonts w:hint="eastAsia"/>
          <w:lang w:eastAsia="zh-CN"/>
        </w:rPr>
        <w:t>（</w:t>
      </w:r>
      <w:r>
        <w:rPr>
          <w:rFonts w:hint="eastAsia"/>
          <w:lang w:val="en-US" w:eastAsia="zh-CN"/>
        </w:rPr>
        <w:t>三</w:t>
      </w:r>
      <w:r>
        <w:rPr>
          <w:rFonts w:hint="eastAsia"/>
          <w:lang w:eastAsia="zh-CN"/>
        </w:rPr>
        <w:t>）</w:t>
      </w:r>
      <w:r>
        <w:rPr>
          <w:rFonts w:hint="eastAsia"/>
        </w:rPr>
        <w:t>被投诉问题产生的原因；</w:t>
      </w:r>
    </w:p>
    <w:p>
      <w:pPr>
        <w:ind w:firstLine="480"/>
        <w:rPr>
          <w:rFonts w:hint="eastAsia" w:eastAsia="宋体"/>
          <w:lang w:eastAsia="zh-CN"/>
        </w:rPr>
      </w:pPr>
      <w:r>
        <w:rPr>
          <w:rFonts w:hint="eastAsia"/>
          <w:lang w:eastAsia="zh-CN"/>
        </w:rPr>
        <w:t>（</w:t>
      </w:r>
      <w:r>
        <w:rPr>
          <w:rFonts w:hint="eastAsia"/>
          <w:lang w:val="en-US" w:eastAsia="zh-CN"/>
        </w:rPr>
        <w:t>四</w:t>
      </w:r>
      <w:r>
        <w:rPr>
          <w:rFonts w:hint="eastAsia"/>
          <w:lang w:eastAsia="zh-CN"/>
        </w:rPr>
        <w:t>）</w:t>
      </w:r>
      <w:r>
        <w:rPr>
          <w:rFonts w:hint="eastAsia"/>
        </w:rPr>
        <w:t>就被投诉总是的具体解决和改进方法；</w:t>
      </w:r>
    </w:p>
    <w:p>
      <w:pPr>
        <w:ind w:firstLine="480"/>
        <w:rPr>
          <w:rFonts w:hint="eastAsia" w:eastAsia="宋体"/>
          <w:lang w:eastAsia="zh-CN"/>
        </w:rPr>
      </w:pPr>
      <w:r>
        <w:rPr>
          <w:rFonts w:hint="eastAsia"/>
          <w:lang w:eastAsia="zh-CN"/>
        </w:rPr>
        <w:t>（</w:t>
      </w:r>
      <w:r>
        <w:rPr>
          <w:rFonts w:hint="eastAsia"/>
          <w:lang w:val="en-US" w:eastAsia="zh-CN"/>
        </w:rPr>
        <w:t>五</w:t>
      </w:r>
      <w:r>
        <w:rPr>
          <w:rFonts w:hint="eastAsia"/>
          <w:lang w:eastAsia="zh-CN"/>
        </w:rPr>
        <w:t>）</w:t>
      </w:r>
      <w:r>
        <w:rPr>
          <w:rFonts w:hint="eastAsia"/>
        </w:rPr>
        <w:t>质保部负责人或企业负责人亲笔签字。</w:t>
      </w:r>
    </w:p>
    <w:p>
      <w:pPr>
        <w:pStyle w:val="5"/>
        <w:bidi w:val="0"/>
        <w:rPr>
          <w:rFonts w:hint="eastAsia"/>
          <w:lang w:eastAsia="zh-CN"/>
        </w:rPr>
      </w:pPr>
      <w:bookmarkStart w:id="908" w:name="_Toc24331"/>
      <w:r>
        <w:rPr>
          <w:rFonts w:hint="eastAsia"/>
        </w:rPr>
        <w:t>六</w:t>
      </w:r>
      <w:r>
        <w:rPr>
          <w:rFonts w:hint="eastAsia"/>
          <w:lang w:eastAsia="zh-CN"/>
        </w:rPr>
        <w:t>、</w:t>
      </w:r>
      <w:r>
        <w:rPr>
          <w:rFonts w:hint="eastAsia"/>
        </w:rPr>
        <w:t>处理的最佳步骤</w:t>
      </w:r>
      <w:bookmarkEnd w:id="908"/>
    </w:p>
    <w:p>
      <w:pPr>
        <w:ind w:firstLine="480"/>
        <w:rPr>
          <w:rFonts w:hint="eastAsia" w:eastAsia="宋体"/>
          <w:lang w:eastAsia="zh-CN"/>
        </w:rPr>
      </w:pPr>
      <w:r>
        <w:rPr>
          <w:rFonts w:hint="eastAsia"/>
          <w:lang w:eastAsia="zh-CN"/>
        </w:rPr>
        <w:t>（</w:t>
      </w:r>
      <w:r>
        <w:rPr>
          <w:rFonts w:hint="eastAsia"/>
          <w:lang w:val="en-US" w:eastAsia="zh-CN"/>
        </w:rPr>
        <w:t>一</w:t>
      </w:r>
      <w:r>
        <w:rPr>
          <w:rFonts w:hint="eastAsia"/>
          <w:lang w:eastAsia="zh-CN"/>
        </w:rPr>
        <w:t>）</w:t>
      </w:r>
      <w:r>
        <w:rPr>
          <w:rFonts w:hint="eastAsia"/>
        </w:rPr>
        <w:t>认真聆听顾客所提出的投诉；</w:t>
      </w:r>
    </w:p>
    <w:p>
      <w:pPr>
        <w:ind w:firstLine="480"/>
        <w:rPr>
          <w:rFonts w:hint="eastAsia" w:eastAsia="宋体"/>
          <w:lang w:eastAsia="zh-CN"/>
        </w:rPr>
      </w:pPr>
      <w:r>
        <w:rPr>
          <w:rFonts w:hint="eastAsia"/>
          <w:lang w:eastAsia="zh-CN"/>
        </w:rPr>
        <w:t>（</w:t>
      </w:r>
      <w:r>
        <w:rPr>
          <w:rFonts w:hint="eastAsia"/>
          <w:lang w:val="en-US" w:eastAsia="zh-CN"/>
        </w:rPr>
        <w:t>二</w:t>
      </w:r>
      <w:r>
        <w:rPr>
          <w:rFonts w:hint="eastAsia"/>
          <w:lang w:eastAsia="zh-CN"/>
        </w:rPr>
        <w:t>）</w:t>
      </w:r>
      <w:r>
        <w:rPr>
          <w:rFonts w:hint="eastAsia"/>
        </w:rPr>
        <w:t>重述听到的投诉，以保证正确的理解，以免出现误会；</w:t>
      </w:r>
    </w:p>
    <w:p>
      <w:pPr>
        <w:ind w:firstLine="480"/>
        <w:rPr>
          <w:rFonts w:hint="eastAsia" w:eastAsia="宋体"/>
          <w:lang w:eastAsia="zh-CN"/>
        </w:rPr>
      </w:pPr>
      <w:r>
        <w:rPr>
          <w:rFonts w:hint="eastAsia"/>
          <w:lang w:eastAsia="zh-CN"/>
        </w:rPr>
        <w:t>（</w:t>
      </w:r>
      <w:r>
        <w:rPr>
          <w:rFonts w:hint="eastAsia"/>
          <w:lang w:val="en-US" w:eastAsia="zh-CN"/>
        </w:rPr>
        <w:t>三</w:t>
      </w:r>
      <w:r>
        <w:rPr>
          <w:rFonts w:hint="eastAsia"/>
          <w:lang w:eastAsia="zh-CN"/>
        </w:rPr>
        <w:t>）</w:t>
      </w:r>
      <w:r>
        <w:rPr>
          <w:rFonts w:hint="eastAsia"/>
        </w:rPr>
        <w:t>表示体谅和理解顾客的处境及心情；</w:t>
      </w:r>
    </w:p>
    <w:p>
      <w:pPr>
        <w:ind w:firstLine="480"/>
        <w:rPr>
          <w:rFonts w:hint="eastAsia" w:eastAsia="宋体"/>
          <w:lang w:eastAsia="zh-CN"/>
        </w:rPr>
      </w:pPr>
      <w:r>
        <w:rPr>
          <w:rFonts w:hint="eastAsia"/>
          <w:lang w:eastAsia="zh-CN"/>
        </w:rPr>
        <w:t>（</w:t>
      </w:r>
      <w:r>
        <w:rPr>
          <w:rFonts w:hint="eastAsia"/>
          <w:lang w:val="en-US" w:eastAsia="zh-CN"/>
        </w:rPr>
        <w:t>四</w:t>
      </w:r>
      <w:r>
        <w:rPr>
          <w:rFonts w:hint="eastAsia"/>
          <w:lang w:eastAsia="zh-CN"/>
        </w:rPr>
        <w:t>）</w:t>
      </w:r>
      <w:r>
        <w:rPr>
          <w:rFonts w:hint="eastAsia"/>
        </w:rPr>
        <w:t>设法取得投诉产品以便分析原因；</w:t>
      </w:r>
    </w:p>
    <w:p>
      <w:pPr>
        <w:ind w:firstLine="480"/>
        <w:rPr>
          <w:rFonts w:hint="eastAsia" w:eastAsia="宋体"/>
          <w:lang w:eastAsia="zh-CN"/>
        </w:rPr>
      </w:pPr>
      <w:r>
        <w:rPr>
          <w:rFonts w:hint="eastAsia"/>
          <w:lang w:eastAsia="zh-CN"/>
        </w:rPr>
        <w:t>（</w:t>
      </w:r>
      <w:r>
        <w:rPr>
          <w:rFonts w:hint="eastAsia"/>
          <w:lang w:val="en-US" w:eastAsia="zh-CN"/>
        </w:rPr>
        <w:t>五</w:t>
      </w:r>
      <w:r>
        <w:rPr>
          <w:rFonts w:hint="eastAsia"/>
          <w:lang w:eastAsia="zh-CN"/>
        </w:rPr>
        <w:t>）</w:t>
      </w:r>
      <w:r>
        <w:rPr>
          <w:rFonts w:hint="eastAsia"/>
        </w:rPr>
        <w:t>解说最可能的解决问题的几种方法；</w:t>
      </w:r>
    </w:p>
    <w:p>
      <w:pPr>
        <w:ind w:firstLine="480"/>
        <w:rPr>
          <w:rFonts w:hint="eastAsia" w:eastAsia="宋体"/>
          <w:lang w:eastAsia="zh-CN"/>
        </w:rPr>
      </w:pPr>
      <w:r>
        <w:rPr>
          <w:rFonts w:hint="eastAsia"/>
          <w:lang w:eastAsia="zh-CN"/>
        </w:rPr>
        <w:t>（</w:t>
      </w:r>
      <w:r>
        <w:rPr>
          <w:rFonts w:hint="eastAsia"/>
          <w:lang w:val="en-US" w:eastAsia="zh-CN"/>
        </w:rPr>
        <w:t>六</w:t>
      </w:r>
      <w:r>
        <w:rPr>
          <w:rFonts w:hint="eastAsia"/>
          <w:lang w:eastAsia="zh-CN"/>
        </w:rPr>
        <w:t>）</w:t>
      </w:r>
      <w:r>
        <w:rPr>
          <w:rFonts w:hint="eastAsia"/>
        </w:rPr>
        <w:t>感谢顾客能够将问题提出来。</w:t>
      </w:r>
    </w:p>
    <w:p>
      <w:pPr>
        <w:pStyle w:val="5"/>
        <w:bidi w:val="0"/>
        <w:rPr>
          <w:rFonts w:hint="eastAsia"/>
          <w:lang w:eastAsia="zh-CN"/>
        </w:rPr>
      </w:pPr>
      <w:bookmarkStart w:id="909" w:name="_Toc24880"/>
      <w:r>
        <w:rPr>
          <w:rFonts w:hint="eastAsia"/>
        </w:rPr>
        <w:t>七</w:t>
      </w:r>
      <w:r>
        <w:rPr>
          <w:rFonts w:hint="eastAsia"/>
          <w:lang w:eastAsia="zh-CN"/>
        </w:rPr>
        <w:t>、</w:t>
      </w:r>
      <w:r>
        <w:rPr>
          <w:rFonts w:hint="eastAsia"/>
        </w:rPr>
        <w:t>处理的方法</w:t>
      </w:r>
      <w:bookmarkEnd w:id="909"/>
    </w:p>
    <w:p>
      <w:pPr>
        <w:ind w:firstLine="480"/>
        <w:rPr>
          <w:rFonts w:hint="eastAsia" w:eastAsia="宋体"/>
          <w:lang w:eastAsia="zh-CN"/>
        </w:rPr>
      </w:pPr>
      <w:r>
        <w:rPr>
          <w:rFonts w:hint="eastAsia"/>
          <w:lang w:eastAsia="zh-CN"/>
        </w:rPr>
        <w:t>（</w:t>
      </w:r>
      <w:r>
        <w:rPr>
          <w:rFonts w:hint="eastAsia"/>
          <w:lang w:val="en-US" w:eastAsia="zh-CN"/>
        </w:rPr>
        <w:t>一</w:t>
      </w:r>
      <w:r>
        <w:rPr>
          <w:rFonts w:hint="eastAsia"/>
          <w:lang w:eastAsia="zh-CN"/>
        </w:rPr>
        <w:t>）</w:t>
      </w:r>
      <w:r>
        <w:rPr>
          <w:rFonts w:hint="eastAsia"/>
        </w:rPr>
        <w:t>保持镇静；</w:t>
      </w:r>
    </w:p>
    <w:p>
      <w:pPr>
        <w:ind w:firstLine="480"/>
        <w:rPr>
          <w:rFonts w:hint="eastAsia" w:eastAsia="宋体"/>
          <w:lang w:eastAsia="zh-CN"/>
        </w:rPr>
      </w:pPr>
      <w:r>
        <w:rPr>
          <w:rFonts w:hint="eastAsia"/>
          <w:lang w:eastAsia="zh-CN"/>
        </w:rPr>
        <w:t>（</w:t>
      </w:r>
      <w:r>
        <w:rPr>
          <w:rFonts w:hint="eastAsia"/>
          <w:lang w:val="en-US" w:eastAsia="zh-CN"/>
        </w:rPr>
        <w:t>二</w:t>
      </w:r>
      <w:r>
        <w:rPr>
          <w:rFonts w:hint="eastAsia"/>
          <w:lang w:eastAsia="zh-CN"/>
        </w:rPr>
        <w:t>）</w:t>
      </w:r>
      <w:r>
        <w:rPr>
          <w:rFonts w:hint="eastAsia"/>
        </w:rPr>
        <w:t>不要争论、挖苦、及打断顾客投诉；</w:t>
      </w:r>
    </w:p>
    <w:p>
      <w:pPr>
        <w:ind w:firstLine="480"/>
        <w:rPr>
          <w:rFonts w:hint="eastAsia" w:eastAsia="宋体"/>
          <w:lang w:eastAsia="zh-CN"/>
        </w:rPr>
      </w:pPr>
      <w:r>
        <w:rPr>
          <w:rFonts w:hint="eastAsia"/>
          <w:lang w:eastAsia="zh-CN"/>
        </w:rPr>
        <w:t>（</w:t>
      </w:r>
      <w:r>
        <w:rPr>
          <w:rFonts w:hint="eastAsia"/>
          <w:lang w:val="en-US" w:eastAsia="zh-CN"/>
        </w:rPr>
        <w:t>三</w:t>
      </w:r>
      <w:r>
        <w:rPr>
          <w:rFonts w:hint="eastAsia"/>
          <w:lang w:eastAsia="zh-CN"/>
        </w:rPr>
        <w:t>）</w:t>
      </w:r>
      <w:r>
        <w:rPr>
          <w:rFonts w:hint="eastAsia"/>
        </w:rPr>
        <w:t>给顾客机会诉说；</w:t>
      </w:r>
    </w:p>
    <w:p>
      <w:pPr>
        <w:ind w:firstLine="480"/>
        <w:rPr>
          <w:rFonts w:hint="eastAsia" w:eastAsia="宋体"/>
          <w:lang w:eastAsia="zh-CN"/>
        </w:rPr>
      </w:pPr>
      <w:r>
        <w:rPr>
          <w:rFonts w:hint="eastAsia"/>
          <w:lang w:eastAsia="zh-CN"/>
        </w:rPr>
        <w:t>（</w:t>
      </w:r>
      <w:r>
        <w:rPr>
          <w:rFonts w:hint="eastAsia"/>
          <w:lang w:val="en-US" w:eastAsia="zh-CN"/>
        </w:rPr>
        <w:t>四</w:t>
      </w:r>
      <w:r>
        <w:rPr>
          <w:rFonts w:hint="eastAsia"/>
          <w:lang w:eastAsia="zh-CN"/>
        </w:rPr>
        <w:t>）</w:t>
      </w:r>
      <w:r>
        <w:rPr>
          <w:rFonts w:hint="eastAsia"/>
        </w:rPr>
        <w:t>不要受到投诉的影响，不必作无谓的辩护；</w:t>
      </w:r>
    </w:p>
    <w:p>
      <w:pPr>
        <w:ind w:firstLine="480"/>
        <w:rPr>
          <w:rFonts w:hint="eastAsia" w:eastAsia="宋体"/>
          <w:lang w:eastAsia="zh-CN"/>
        </w:rPr>
      </w:pPr>
      <w:r>
        <w:rPr>
          <w:rFonts w:hint="eastAsia"/>
          <w:lang w:eastAsia="zh-CN"/>
        </w:rPr>
        <w:t>（</w:t>
      </w:r>
      <w:r>
        <w:rPr>
          <w:rFonts w:hint="eastAsia"/>
          <w:lang w:val="en-US" w:eastAsia="zh-CN"/>
        </w:rPr>
        <w:t>五</w:t>
      </w:r>
      <w:r>
        <w:rPr>
          <w:rFonts w:hint="eastAsia"/>
          <w:lang w:eastAsia="zh-CN"/>
        </w:rPr>
        <w:t>）</w:t>
      </w:r>
      <w:r>
        <w:rPr>
          <w:rFonts w:hint="eastAsia"/>
        </w:rPr>
        <w:t>尽量多问问题，并将得到的资料写下来；</w:t>
      </w:r>
    </w:p>
    <w:p>
      <w:pPr>
        <w:ind w:firstLine="480"/>
        <w:rPr>
          <w:rFonts w:hint="eastAsia" w:eastAsia="宋体"/>
          <w:lang w:eastAsia="zh-CN"/>
        </w:rPr>
      </w:pPr>
      <w:r>
        <w:rPr>
          <w:rFonts w:hint="eastAsia"/>
          <w:lang w:eastAsia="zh-CN"/>
        </w:rPr>
        <w:t>（</w:t>
      </w:r>
      <w:r>
        <w:rPr>
          <w:rFonts w:hint="eastAsia"/>
          <w:lang w:val="en-US" w:eastAsia="zh-CN"/>
        </w:rPr>
        <w:t>六</w:t>
      </w:r>
      <w:r>
        <w:rPr>
          <w:rFonts w:hint="eastAsia"/>
          <w:lang w:eastAsia="zh-CN"/>
        </w:rPr>
        <w:t>）</w:t>
      </w:r>
      <w:r>
        <w:rPr>
          <w:rFonts w:hint="eastAsia"/>
        </w:rPr>
        <w:t>如果是顾客的错误，给他一个下台的机会；</w:t>
      </w:r>
    </w:p>
    <w:p>
      <w:pPr>
        <w:ind w:firstLine="480"/>
        <w:rPr>
          <w:rFonts w:hint="eastAsia" w:eastAsia="宋体"/>
          <w:lang w:eastAsia="zh-CN"/>
        </w:rPr>
      </w:pPr>
      <w:r>
        <w:rPr>
          <w:rFonts w:hint="eastAsia"/>
          <w:lang w:eastAsia="zh-CN"/>
        </w:rPr>
        <w:t>（</w:t>
      </w:r>
      <w:r>
        <w:rPr>
          <w:rFonts w:hint="eastAsia"/>
          <w:lang w:val="en-US" w:eastAsia="zh-CN"/>
        </w:rPr>
        <w:t>七</w:t>
      </w:r>
      <w:r>
        <w:rPr>
          <w:rFonts w:hint="eastAsia"/>
          <w:lang w:eastAsia="zh-CN"/>
        </w:rPr>
        <w:t>）</w:t>
      </w:r>
      <w:r>
        <w:rPr>
          <w:rFonts w:hint="eastAsia"/>
        </w:rPr>
        <w:t>不要让投诉伤害处理人或他人的尊严；</w:t>
      </w:r>
    </w:p>
    <w:p>
      <w:pPr>
        <w:ind w:firstLine="480"/>
        <w:rPr>
          <w:rFonts w:hint="eastAsia" w:eastAsia="宋体"/>
          <w:lang w:eastAsia="zh-CN"/>
        </w:rPr>
      </w:pPr>
      <w:r>
        <w:rPr>
          <w:rFonts w:hint="eastAsia"/>
          <w:lang w:eastAsia="zh-CN"/>
        </w:rPr>
        <w:t>（</w:t>
      </w:r>
      <w:r>
        <w:rPr>
          <w:rFonts w:hint="eastAsia"/>
          <w:lang w:val="en-US" w:eastAsia="zh-CN"/>
        </w:rPr>
        <w:t>八</w:t>
      </w:r>
      <w:r>
        <w:rPr>
          <w:rFonts w:hint="eastAsia"/>
          <w:lang w:eastAsia="zh-CN"/>
        </w:rPr>
        <w:t>）</w:t>
      </w:r>
      <w:r>
        <w:rPr>
          <w:rFonts w:hint="eastAsia"/>
        </w:rPr>
        <w:t>不要抱怨及申辩谁该负责，并且不要轻易道歉或表态；</w:t>
      </w:r>
    </w:p>
    <w:p>
      <w:pPr>
        <w:ind w:firstLine="480"/>
        <w:rPr>
          <w:rFonts w:hint="eastAsia" w:eastAsia="宋体"/>
          <w:lang w:eastAsia="zh-CN"/>
        </w:rPr>
      </w:pPr>
      <w:r>
        <w:rPr>
          <w:rFonts w:hint="eastAsia"/>
          <w:lang w:eastAsia="zh-CN"/>
        </w:rPr>
        <w:t>（</w:t>
      </w:r>
      <w:r>
        <w:rPr>
          <w:rFonts w:hint="eastAsia"/>
          <w:lang w:val="en-US" w:eastAsia="zh-CN"/>
        </w:rPr>
        <w:t>九</w:t>
      </w:r>
      <w:r>
        <w:rPr>
          <w:rFonts w:hint="eastAsia"/>
          <w:lang w:eastAsia="zh-CN"/>
        </w:rPr>
        <w:t>）</w:t>
      </w:r>
      <w:r>
        <w:rPr>
          <w:rFonts w:hint="eastAsia"/>
        </w:rPr>
        <w:t>确定双方的了解的事实是否相符；</w:t>
      </w:r>
    </w:p>
    <w:p>
      <w:pPr>
        <w:ind w:firstLine="480"/>
        <w:rPr>
          <w:rFonts w:hint="eastAsia" w:eastAsia="宋体"/>
          <w:lang w:eastAsia="zh-CN"/>
        </w:rPr>
      </w:pPr>
      <w:r>
        <w:rPr>
          <w:rFonts w:hint="eastAsia"/>
          <w:lang w:eastAsia="zh-CN"/>
        </w:rPr>
        <w:t>（</w:t>
      </w:r>
      <w:r>
        <w:rPr>
          <w:rFonts w:hint="eastAsia"/>
          <w:lang w:val="en-US" w:eastAsia="zh-CN"/>
        </w:rPr>
        <w:t>十</w:t>
      </w:r>
      <w:r>
        <w:rPr>
          <w:rFonts w:hint="eastAsia"/>
          <w:lang w:eastAsia="zh-CN"/>
        </w:rPr>
        <w:t>）</w:t>
      </w:r>
      <w:r>
        <w:rPr>
          <w:rFonts w:hint="eastAsia"/>
        </w:rPr>
        <w:t>准备足够的时间用来澄清事实；</w:t>
      </w:r>
    </w:p>
    <w:p>
      <w:pPr>
        <w:ind w:firstLine="480"/>
        <w:rPr>
          <w:rFonts w:hint="eastAsia" w:eastAsia="宋体"/>
          <w:lang w:eastAsia="zh-CN"/>
        </w:rPr>
      </w:pPr>
      <w:r>
        <w:rPr>
          <w:rFonts w:hint="eastAsia"/>
          <w:lang w:eastAsia="zh-CN"/>
        </w:rPr>
        <w:t>（</w:t>
      </w:r>
      <w:r>
        <w:rPr>
          <w:rFonts w:hint="eastAsia"/>
          <w:lang w:val="en-US" w:eastAsia="zh-CN"/>
        </w:rPr>
        <w:t>十一</w:t>
      </w:r>
      <w:r>
        <w:rPr>
          <w:rFonts w:hint="eastAsia"/>
          <w:lang w:eastAsia="zh-CN"/>
        </w:rPr>
        <w:t>）</w:t>
      </w:r>
      <w:r>
        <w:rPr>
          <w:rFonts w:hint="eastAsia"/>
        </w:rPr>
        <w:t>进行调查；</w:t>
      </w:r>
    </w:p>
    <w:p>
      <w:pPr>
        <w:ind w:firstLine="480"/>
        <w:rPr>
          <w:rFonts w:hint="eastAsia" w:eastAsia="宋体"/>
          <w:lang w:eastAsia="zh-CN"/>
        </w:rPr>
      </w:pPr>
      <w:r>
        <w:rPr>
          <w:rFonts w:hint="eastAsia"/>
          <w:lang w:eastAsia="zh-CN"/>
        </w:rPr>
        <w:t>（</w:t>
      </w:r>
      <w:r>
        <w:rPr>
          <w:rFonts w:hint="eastAsia"/>
          <w:lang w:val="en-US" w:eastAsia="zh-CN"/>
        </w:rPr>
        <w:t>十二</w:t>
      </w:r>
      <w:r>
        <w:rPr>
          <w:rFonts w:hint="eastAsia"/>
          <w:lang w:eastAsia="zh-CN"/>
        </w:rPr>
        <w:t>）</w:t>
      </w:r>
      <w:r>
        <w:rPr>
          <w:rFonts w:hint="eastAsia"/>
        </w:rPr>
        <w:t>决定不同解决方法；</w:t>
      </w:r>
    </w:p>
    <w:p>
      <w:pPr>
        <w:ind w:firstLine="480"/>
        <w:rPr>
          <w:rFonts w:hint="eastAsia" w:eastAsia="宋体"/>
          <w:lang w:eastAsia="zh-CN"/>
        </w:rPr>
      </w:pPr>
      <w:r>
        <w:rPr>
          <w:rFonts w:hint="eastAsia"/>
          <w:lang w:eastAsia="zh-CN"/>
        </w:rPr>
        <w:t>（</w:t>
      </w:r>
      <w:r>
        <w:rPr>
          <w:rFonts w:hint="eastAsia"/>
          <w:lang w:val="en-US" w:eastAsia="zh-CN"/>
        </w:rPr>
        <w:t>十三</w:t>
      </w:r>
      <w:r>
        <w:rPr>
          <w:rFonts w:hint="eastAsia"/>
          <w:lang w:eastAsia="zh-CN"/>
        </w:rPr>
        <w:t>）</w:t>
      </w:r>
      <w:r>
        <w:rPr>
          <w:rFonts w:hint="eastAsia"/>
        </w:rPr>
        <w:t>提供可执行的解决方法；</w:t>
      </w:r>
    </w:p>
    <w:p>
      <w:pPr>
        <w:ind w:firstLine="480"/>
        <w:rPr>
          <w:rFonts w:hint="eastAsia" w:eastAsia="宋体"/>
          <w:lang w:eastAsia="zh-CN"/>
        </w:rPr>
      </w:pPr>
      <w:r>
        <w:rPr>
          <w:rFonts w:hint="eastAsia"/>
          <w:lang w:eastAsia="zh-CN"/>
        </w:rPr>
        <w:t>（</w:t>
      </w:r>
      <w:r>
        <w:rPr>
          <w:rFonts w:hint="eastAsia"/>
          <w:lang w:val="en-US" w:eastAsia="zh-CN"/>
        </w:rPr>
        <w:t>十四</w:t>
      </w:r>
      <w:r>
        <w:rPr>
          <w:rFonts w:hint="eastAsia"/>
          <w:lang w:eastAsia="zh-CN"/>
        </w:rPr>
        <w:t>）</w:t>
      </w:r>
      <w:r>
        <w:rPr>
          <w:rFonts w:hint="eastAsia"/>
        </w:rPr>
        <w:t>预备投诉。</w:t>
      </w:r>
    </w:p>
    <w:p>
      <w:pPr>
        <w:pStyle w:val="5"/>
        <w:bidi w:val="0"/>
        <w:rPr>
          <w:rFonts w:hint="eastAsia"/>
          <w:lang w:eastAsia="zh-CN"/>
        </w:rPr>
      </w:pPr>
      <w:bookmarkStart w:id="910" w:name="_Toc4418"/>
      <w:r>
        <w:rPr>
          <w:rFonts w:hint="eastAsia"/>
        </w:rPr>
        <w:t>八</w:t>
      </w:r>
      <w:r>
        <w:rPr>
          <w:rFonts w:hint="eastAsia"/>
          <w:lang w:eastAsia="zh-CN"/>
        </w:rPr>
        <w:t>、</w:t>
      </w:r>
      <w:r>
        <w:rPr>
          <w:rFonts w:hint="eastAsia"/>
        </w:rPr>
        <w:t>投诉调查</w:t>
      </w:r>
      <w:bookmarkEnd w:id="910"/>
    </w:p>
    <w:p>
      <w:pPr>
        <w:keepNext w:val="0"/>
        <w:keepLines w:val="0"/>
        <w:pageBreakBefore w:val="0"/>
        <w:widowControl w:val="0"/>
        <w:kinsoku/>
        <w:wordWrap/>
        <w:overflowPunct/>
        <w:topLinePunct w:val="0"/>
        <w:autoSpaceDE/>
        <w:autoSpaceDN/>
        <w:bidi w:val="0"/>
        <w:adjustRightInd w:val="0"/>
        <w:snapToGrid w:val="0"/>
        <w:ind w:left="0" w:firstLine="562" w:firstLineChars="200"/>
        <w:textAlignment w:val="auto"/>
        <w:rPr>
          <w:b/>
          <w:bCs/>
        </w:rPr>
      </w:pPr>
      <w:r>
        <w:rPr>
          <w:rFonts w:hint="eastAsia"/>
          <w:b/>
          <w:bCs/>
          <w:lang w:eastAsia="zh-CN"/>
        </w:rPr>
        <w:t>（</w:t>
      </w:r>
      <w:r>
        <w:rPr>
          <w:rFonts w:hint="eastAsia"/>
          <w:b/>
          <w:bCs/>
          <w:lang w:val="en-US" w:eastAsia="zh-CN"/>
        </w:rPr>
        <w:t>一</w:t>
      </w:r>
      <w:r>
        <w:rPr>
          <w:rFonts w:hint="eastAsia"/>
          <w:b/>
          <w:bCs/>
          <w:lang w:eastAsia="zh-CN"/>
        </w:rPr>
        <w:t>）</w:t>
      </w:r>
      <w:r>
        <w:rPr>
          <w:rFonts w:hint="eastAsia"/>
          <w:b/>
          <w:bCs/>
        </w:rPr>
        <w:t>投诉调查的前提：</w:t>
      </w:r>
    </w:p>
    <w:p>
      <w:pPr>
        <w:keepNext w:val="0"/>
        <w:keepLines w:val="0"/>
        <w:pageBreakBefore w:val="0"/>
        <w:widowControl w:val="0"/>
        <w:numPr>
          <w:ilvl w:val="0"/>
          <w:numId w:val="0"/>
        </w:numPr>
        <w:kinsoku/>
        <w:wordWrap/>
        <w:overflowPunct/>
        <w:topLinePunct w:val="0"/>
        <w:autoSpaceDE/>
        <w:autoSpaceDN/>
        <w:bidi w:val="0"/>
        <w:adjustRightInd w:val="0"/>
        <w:snapToGrid w:val="0"/>
        <w:ind w:left="0" w:firstLine="560" w:firstLineChars="200"/>
        <w:textAlignment w:val="auto"/>
      </w:pPr>
      <w:r>
        <w:rPr>
          <w:rFonts w:hint="eastAsia"/>
          <w:lang w:val="en-US" w:eastAsia="zh-CN"/>
        </w:rPr>
        <w:t>1、</w:t>
      </w:r>
      <w:r>
        <w:rPr>
          <w:rFonts w:hint="eastAsia"/>
        </w:rPr>
        <w:t>质量追踪系统（成品追踪系统、生产追踪系统、原材料追踪系统）；</w:t>
      </w:r>
    </w:p>
    <w:p>
      <w:pPr>
        <w:keepNext w:val="0"/>
        <w:keepLines w:val="0"/>
        <w:pageBreakBefore w:val="0"/>
        <w:widowControl w:val="0"/>
        <w:numPr>
          <w:ilvl w:val="0"/>
          <w:numId w:val="0"/>
        </w:numPr>
        <w:kinsoku/>
        <w:wordWrap/>
        <w:overflowPunct/>
        <w:topLinePunct w:val="0"/>
        <w:autoSpaceDE/>
        <w:autoSpaceDN/>
        <w:bidi w:val="0"/>
        <w:adjustRightInd w:val="0"/>
        <w:snapToGrid w:val="0"/>
        <w:ind w:left="0" w:firstLine="560" w:firstLineChars="200"/>
        <w:textAlignment w:val="auto"/>
      </w:pPr>
      <w:r>
        <w:rPr>
          <w:rFonts w:hint="eastAsia"/>
          <w:lang w:val="en-US" w:eastAsia="zh-CN"/>
        </w:rPr>
        <w:t>2、</w:t>
      </w:r>
      <w:r>
        <w:rPr>
          <w:rFonts w:hint="eastAsia"/>
        </w:rPr>
        <w:t>部门合作（销售部、质量部、生产部、技术部）；</w:t>
      </w:r>
    </w:p>
    <w:p>
      <w:pPr>
        <w:keepNext w:val="0"/>
        <w:keepLines w:val="0"/>
        <w:pageBreakBefore w:val="0"/>
        <w:widowControl w:val="0"/>
        <w:numPr>
          <w:ilvl w:val="0"/>
          <w:numId w:val="0"/>
        </w:numPr>
        <w:kinsoku/>
        <w:wordWrap/>
        <w:overflowPunct/>
        <w:topLinePunct w:val="0"/>
        <w:autoSpaceDE/>
        <w:autoSpaceDN/>
        <w:bidi w:val="0"/>
        <w:adjustRightInd w:val="0"/>
        <w:snapToGrid w:val="0"/>
        <w:ind w:left="0" w:firstLine="560" w:firstLineChars="200"/>
        <w:textAlignment w:val="auto"/>
        <w:rPr>
          <w:rFonts w:hint="eastAsia" w:eastAsia="宋体"/>
          <w:lang w:eastAsia="zh-CN"/>
        </w:rPr>
      </w:pPr>
      <w:r>
        <w:rPr>
          <w:rFonts w:hint="eastAsia"/>
          <w:lang w:val="en-US" w:eastAsia="zh-CN"/>
        </w:rPr>
        <w:t>3、</w:t>
      </w:r>
      <w:r>
        <w:rPr>
          <w:rFonts w:hint="eastAsia"/>
        </w:rPr>
        <w:t>投诉样品实物。</w:t>
      </w:r>
    </w:p>
    <w:p>
      <w:pPr>
        <w:keepNext w:val="0"/>
        <w:keepLines w:val="0"/>
        <w:pageBreakBefore w:val="0"/>
        <w:widowControl w:val="0"/>
        <w:kinsoku/>
        <w:wordWrap/>
        <w:overflowPunct/>
        <w:topLinePunct w:val="0"/>
        <w:autoSpaceDE/>
        <w:autoSpaceDN/>
        <w:bidi w:val="0"/>
        <w:adjustRightInd w:val="0"/>
        <w:snapToGrid w:val="0"/>
        <w:ind w:left="0" w:firstLine="562" w:firstLineChars="200"/>
        <w:textAlignment w:val="auto"/>
        <w:rPr>
          <w:b/>
          <w:bCs/>
        </w:rPr>
      </w:pPr>
      <w:r>
        <w:rPr>
          <w:rFonts w:hint="eastAsia"/>
          <w:b/>
          <w:bCs/>
          <w:lang w:eastAsia="zh-CN"/>
        </w:rPr>
        <w:t>（</w:t>
      </w:r>
      <w:r>
        <w:rPr>
          <w:rFonts w:hint="eastAsia"/>
          <w:b/>
          <w:bCs/>
          <w:lang w:val="en-US" w:eastAsia="zh-CN"/>
        </w:rPr>
        <w:t>二</w:t>
      </w:r>
      <w:r>
        <w:rPr>
          <w:rFonts w:hint="eastAsia"/>
          <w:b/>
          <w:bCs/>
          <w:lang w:eastAsia="zh-CN"/>
        </w:rPr>
        <w:t>）</w:t>
      </w:r>
      <w:r>
        <w:rPr>
          <w:rFonts w:hint="eastAsia"/>
          <w:b/>
          <w:bCs/>
        </w:rPr>
        <w:t>情况判断：</w:t>
      </w:r>
    </w:p>
    <w:p>
      <w:pPr>
        <w:keepNext w:val="0"/>
        <w:keepLines w:val="0"/>
        <w:pageBreakBefore w:val="0"/>
        <w:widowControl w:val="0"/>
        <w:numPr>
          <w:ilvl w:val="0"/>
          <w:numId w:val="0"/>
        </w:numPr>
        <w:kinsoku/>
        <w:wordWrap/>
        <w:overflowPunct/>
        <w:topLinePunct w:val="0"/>
        <w:autoSpaceDE/>
        <w:autoSpaceDN/>
        <w:bidi w:val="0"/>
        <w:adjustRightInd w:val="0"/>
        <w:snapToGrid w:val="0"/>
        <w:ind w:left="0" w:firstLine="560" w:firstLineChars="200"/>
        <w:textAlignment w:val="auto"/>
      </w:pPr>
      <w:r>
        <w:rPr>
          <w:rFonts w:hint="eastAsia"/>
          <w:lang w:val="en-US" w:eastAsia="zh-CN"/>
        </w:rPr>
        <w:t>1、</w:t>
      </w:r>
      <w:r>
        <w:rPr>
          <w:rFonts w:hint="eastAsia"/>
        </w:rPr>
        <w:t>同类投诉对比；</w:t>
      </w:r>
    </w:p>
    <w:p>
      <w:pPr>
        <w:keepNext w:val="0"/>
        <w:keepLines w:val="0"/>
        <w:pageBreakBefore w:val="0"/>
        <w:widowControl w:val="0"/>
        <w:numPr>
          <w:ilvl w:val="0"/>
          <w:numId w:val="0"/>
        </w:numPr>
        <w:kinsoku/>
        <w:wordWrap/>
        <w:overflowPunct/>
        <w:topLinePunct w:val="0"/>
        <w:autoSpaceDE/>
        <w:autoSpaceDN/>
        <w:bidi w:val="0"/>
        <w:adjustRightInd w:val="0"/>
        <w:snapToGrid w:val="0"/>
        <w:ind w:left="0" w:firstLine="560" w:firstLineChars="200"/>
        <w:textAlignment w:val="auto"/>
      </w:pPr>
      <w:r>
        <w:rPr>
          <w:rFonts w:hint="eastAsia"/>
          <w:lang w:val="en-US" w:eastAsia="zh-CN"/>
        </w:rPr>
        <w:t>2、</w:t>
      </w:r>
      <w:r>
        <w:rPr>
          <w:rFonts w:hint="eastAsia"/>
        </w:rPr>
        <w:t>同批产品投诉对比；</w:t>
      </w:r>
    </w:p>
    <w:p>
      <w:pPr>
        <w:keepNext w:val="0"/>
        <w:keepLines w:val="0"/>
        <w:pageBreakBefore w:val="0"/>
        <w:widowControl w:val="0"/>
        <w:numPr>
          <w:ilvl w:val="0"/>
          <w:numId w:val="0"/>
        </w:numPr>
        <w:kinsoku/>
        <w:wordWrap/>
        <w:overflowPunct/>
        <w:topLinePunct w:val="0"/>
        <w:autoSpaceDE/>
        <w:autoSpaceDN/>
        <w:bidi w:val="0"/>
        <w:adjustRightInd w:val="0"/>
        <w:snapToGrid w:val="0"/>
        <w:ind w:left="0" w:firstLine="560" w:firstLineChars="200"/>
        <w:textAlignment w:val="auto"/>
      </w:pPr>
      <w:r>
        <w:rPr>
          <w:rFonts w:hint="eastAsia"/>
          <w:lang w:val="en-US" w:eastAsia="zh-CN"/>
        </w:rPr>
        <w:t>3、</w:t>
      </w:r>
      <w:r>
        <w:rPr>
          <w:rFonts w:hint="eastAsia"/>
        </w:rPr>
        <w:t>质量回顾样品检查；</w:t>
      </w:r>
    </w:p>
    <w:p>
      <w:pPr>
        <w:keepNext w:val="0"/>
        <w:keepLines w:val="0"/>
        <w:pageBreakBefore w:val="0"/>
        <w:widowControl w:val="0"/>
        <w:numPr>
          <w:ilvl w:val="0"/>
          <w:numId w:val="0"/>
        </w:numPr>
        <w:kinsoku/>
        <w:wordWrap/>
        <w:overflowPunct/>
        <w:topLinePunct w:val="0"/>
        <w:autoSpaceDE/>
        <w:autoSpaceDN/>
        <w:bidi w:val="0"/>
        <w:adjustRightInd w:val="0"/>
        <w:snapToGrid w:val="0"/>
        <w:ind w:left="0" w:firstLine="560" w:firstLineChars="200"/>
        <w:textAlignment w:val="auto"/>
      </w:pPr>
      <w:r>
        <w:rPr>
          <w:rFonts w:hint="eastAsia"/>
          <w:lang w:val="en-US" w:eastAsia="zh-CN"/>
        </w:rPr>
        <w:t>4、</w:t>
      </w:r>
      <w:r>
        <w:rPr>
          <w:rFonts w:hint="eastAsia"/>
        </w:rPr>
        <w:t>同期投诉量对比；</w:t>
      </w:r>
    </w:p>
    <w:p>
      <w:pPr>
        <w:keepNext w:val="0"/>
        <w:keepLines w:val="0"/>
        <w:pageBreakBefore w:val="0"/>
        <w:widowControl w:val="0"/>
        <w:numPr>
          <w:ilvl w:val="0"/>
          <w:numId w:val="0"/>
        </w:numPr>
        <w:kinsoku/>
        <w:wordWrap/>
        <w:overflowPunct/>
        <w:topLinePunct w:val="0"/>
        <w:autoSpaceDE/>
        <w:autoSpaceDN/>
        <w:bidi w:val="0"/>
        <w:adjustRightInd w:val="0"/>
        <w:snapToGrid w:val="0"/>
        <w:ind w:left="0" w:firstLine="560" w:firstLineChars="200"/>
        <w:textAlignment w:val="auto"/>
        <w:rPr>
          <w:rFonts w:hint="eastAsia" w:eastAsia="宋体"/>
          <w:lang w:eastAsia="zh-CN"/>
        </w:rPr>
      </w:pPr>
      <w:r>
        <w:rPr>
          <w:rFonts w:hint="eastAsia"/>
          <w:lang w:val="en-US" w:eastAsia="zh-CN"/>
        </w:rPr>
        <w:t>5、</w:t>
      </w:r>
      <w:r>
        <w:rPr>
          <w:rFonts w:hint="eastAsia"/>
        </w:rPr>
        <w:t>其他有关情况。</w:t>
      </w:r>
    </w:p>
    <w:p>
      <w:pPr>
        <w:keepNext w:val="0"/>
        <w:keepLines w:val="0"/>
        <w:pageBreakBefore w:val="0"/>
        <w:widowControl w:val="0"/>
        <w:kinsoku/>
        <w:wordWrap/>
        <w:overflowPunct/>
        <w:topLinePunct w:val="0"/>
        <w:autoSpaceDE/>
        <w:autoSpaceDN/>
        <w:bidi w:val="0"/>
        <w:adjustRightInd w:val="0"/>
        <w:snapToGrid w:val="0"/>
        <w:ind w:left="0" w:firstLine="560" w:firstLineChars="200"/>
        <w:textAlignment w:val="auto"/>
      </w:pPr>
      <w:r>
        <w:rPr>
          <w:rFonts w:hint="eastAsia"/>
          <w:lang w:eastAsia="zh-CN"/>
        </w:rPr>
        <w:t>（</w:t>
      </w:r>
      <w:r>
        <w:rPr>
          <w:rFonts w:hint="eastAsia"/>
          <w:lang w:val="en-US" w:eastAsia="zh-CN"/>
        </w:rPr>
        <w:t>三</w:t>
      </w:r>
      <w:r>
        <w:rPr>
          <w:rFonts w:hint="eastAsia"/>
          <w:lang w:eastAsia="zh-CN"/>
        </w:rPr>
        <w:t>）</w:t>
      </w:r>
      <w:r>
        <w:rPr>
          <w:rFonts w:hint="eastAsia"/>
        </w:rPr>
        <w:t>样品分析：</w:t>
      </w:r>
    </w:p>
    <w:p>
      <w:pPr>
        <w:keepNext w:val="0"/>
        <w:keepLines w:val="0"/>
        <w:pageBreakBefore w:val="0"/>
        <w:widowControl w:val="0"/>
        <w:numPr>
          <w:ilvl w:val="0"/>
          <w:numId w:val="0"/>
        </w:numPr>
        <w:kinsoku/>
        <w:wordWrap/>
        <w:overflowPunct/>
        <w:topLinePunct w:val="0"/>
        <w:autoSpaceDE/>
        <w:autoSpaceDN/>
        <w:bidi w:val="0"/>
        <w:adjustRightInd w:val="0"/>
        <w:snapToGrid w:val="0"/>
        <w:ind w:left="0" w:firstLine="560" w:firstLineChars="200"/>
        <w:textAlignment w:val="auto"/>
      </w:pPr>
      <w:r>
        <w:rPr>
          <w:rFonts w:hint="eastAsia"/>
          <w:lang w:val="en-US" w:eastAsia="zh-CN"/>
        </w:rPr>
        <w:t>1、</w:t>
      </w:r>
      <w:r>
        <w:rPr>
          <w:rFonts w:hint="eastAsia"/>
        </w:rPr>
        <w:t>包装表现；</w:t>
      </w:r>
    </w:p>
    <w:p>
      <w:pPr>
        <w:keepNext w:val="0"/>
        <w:keepLines w:val="0"/>
        <w:pageBreakBefore w:val="0"/>
        <w:widowControl w:val="0"/>
        <w:numPr>
          <w:ilvl w:val="0"/>
          <w:numId w:val="0"/>
        </w:numPr>
        <w:kinsoku/>
        <w:wordWrap/>
        <w:overflowPunct/>
        <w:topLinePunct w:val="0"/>
        <w:autoSpaceDE/>
        <w:autoSpaceDN/>
        <w:bidi w:val="0"/>
        <w:adjustRightInd w:val="0"/>
        <w:snapToGrid w:val="0"/>
        <w:ind w:left="0" w:firstLine="560" w:firstLineChars="200"/>
        <w:textAlignment w:val="auto"/>
      </w:pPr>
      <w:r>
        <w:rPr>
          <w:rFonts w:hint="eastAsia"/>
          <w:lang w:val="en-US" w:eastAsia="zh-CN"/>
        </w:rPr>
        <w:t>2、</w:t>
      </w:r>
      <w:r>
        <w:rPr>
          <w:rFonts w:hint="eastAsia"/>
        </w:rPr>
        <w:t>封合情况分析；</w:t>
      </w:r>
    </w:p>
    <w:p>
      <w:pPr>
        <w:keepNext w:val="0"/>
        <w:keepLines w:val="0"/>
        <w:pageBreakBefore w:val="0"/>
        <w:widowControl w:val="0"/>
        <w:numPr>
          <w:ilvl w:val="0"/>
          <w:numId w:val="0"/>
        </w:numPr>
        <w:kinsoku/>
        <w:wordWrap/>
        <w:overflowPunct/>
        <w:topLinePunct w:val="0"/>
        <w:autoSpaceDE/>
        <w:autoSpaceDN/>
        <w:bidi w:val="0"/>
        <w:adjustRightInd w:val="0"/>
        <w:snapToGrid w:val="0"/>
        <w:ind w:left="0" w:firstLine="560" w:firstLineChars="200"/>
        <w:textAlignment w:val="auto"/>
      </w:pPr>
      <w:r>
        <w:rPr>
          <w:rFonts w:hint="eastAsia"/>
          <w:lang w:val="en-US" w:eastAsia="zh-CN"/>
        </w:rPr>
        <w:t>3、</w:t>
      </w:r>
      <w:r>
        <w:rPr>
          <w:rFonts w:hint="eastAsia"/>
        </w:rPr>
        <w:t>成分、含量等检验；</w:t>
      </w:r>
    </w:p>
    <w:p>
      <w:pPr>
        <w:keepNext w:val="0"/>
        <w:keepLines w:val="0"/>
        <w:pageBreakBefore w:val="0"/>
        <w:widowControl w:val="0"/>
        <w:numPr>
          <w:ilvl w:val="0"/>
          <w:numId w:val="0"/>
        </w:numPr>
        <w:kinsoku/>
        <w:wordWrap/>
        <w:overflowPunct/>
        <w:topLinePunct w:val="0"/>
        <w:autoSpaceDE/>
        <w:autoSpaceDN/>
        <w:bidi w:val="0"/>
        <w:adjustRightInd w:val="0"/>
        <w:snapToGrid w:val="0"/>
        <w:ind w:left="0" w:firstLine="560" w:firstLineChars="200"/>
        <w:textAlignment w:val="auto"/>
        <w:rPr>
          <w:rFonts w:hint="eastAsia" w:eastAsia="宋体"/>
          <w:lang w:eastAsia="zh-CN"/>
        </w:rPr>
      </w:pPr>
      <w:r>
        <w:rPr>
          <w:rFonts w:hint="eastAsia"/>
          <w:lang w:val="en-US" w:eastAsia="zh-CN"/>
        </w:rPr>
        <w:t>4、</w:t>
      </w:r>
      <w:r>
        <w:rPr>
          <w:rFonts w:hint="eastAsia"/>
        </w:rPr>
        <w:t>其他异常表现。</w:t>
      </w:r>
    </w:p>
    <w:p>
      <w:pPr>
        <w:keepNext w:val="0"/>
        <w:keepLines w:val="0"/>
        <w:pageBreakBefore w:val="0"/>
        <w:widowControl w:val="0"/>
        <w:kinsoku/>
        <w:wordWrap/>
        <w:overflowPunct/>
        <w:topLinePunct w:val="0"/>
        <w:autoSpaceDE/>
        <w:autoSpaceDN/>
        <w:bidi w:val="0"/>
        <w:adjustRightInd w:val="0"/>
        <w:snapToGrid w:val="0"/>
        <w:ind w:left="0" w:firstLine="560" w:firstLineChars="200"/>
        <w:textAlignment w:val="auto"/>
      </w:pPr>
      <w:r>
        <w:rPr>
          <w:rFonts w:hint="eastAsia"/>
          <w:lang w:eastAsia="zh-CN"/>
        </w:rPr>
        <w:t>（</w:t>
      </w:r>
      <w:r>
        <w:rPr>
          <w:rFonts w:hint="eastAsia"/>
          <w:lang w:val="en-US" w:eastAsia="zh-CN"/>
        </w:rPr>
        <w:t>四</w:t>
      </w:r>
      <w:r>
        <w:rPr>
          <w:rFonts w:hint="eastAsia"/>
          <w:lang w:eastAsia="zh-CN"/>
        </w:rPr>
        <w:t>）</w:t>
      </w:r>
      <w:r>
        <w:rPr>
          <w:rFonts w:hint="eastAsia"/>
        </w:rPr>
        <w:t>生产情况分析：</w:t>
      </w:r>
    </w:p>
    <w:p>
      <w:pPr>
        <w:keepNext w:val="0"/>
        <w:keepLines w:val="0"/>
        <w:pageBreakBefore w:val="0"/>
        <w:widowControl w:val="0"/>
        <w:numPr>
          <w:ilvl w:val="0"/>
          <w:numId w:val="0"/>
        </w:numPr>
        <w:kinsoku/>
        <w:wordWrap/>
        <w:overflowPunct/>
        <w:topLinePunct w:val="0"/>
        <w:autoSpaceDE/>
        <w:autoSpaceDN/>
        <w:bidi w:val="0"/>
        <w:adjustRightInd w:val="0"/>
        <w:snapToGrid w:val="0"/>
        <w:ind w:left="0" w:firstLine="560" w:firstLineChars="200"/>
        <w:textAlignment w:val="auto"/>
      </w:pPr>
      <w:r>
        <w:rPr>
          <w:rFonts w:hint="eastAsia"/>
          <w:lang w:val="en-US" w:eastAsia="zh-CN"/>
        </w:rPr>
        <w:t>1、</w:t>
      </w:r>
      <w:r>
        <w:rPr>
          <w:rFonts w:hint="eastAsia"/>
        </w:rPr>
        <w:t>当日生产情况；</w:t>
      </w:r>
    </w:p>
    <w:p>
      <w:pPr>
        <w:keepNext w:val="0"/>
        <w:keepLines w:val="0"/>
        <w:pageBreakBefore w:val="0"/>
        <w:widowControl w:val="0"/>
        <w:numPr>
          <w:ilvl w:val="0"/>
          <w:numId w:val="0"/>
        </w:numPr>
        <w:kinsoku/>
        <w:wordWrap/>
        <w:overflowPunct/>
        <w:topLinePunct w:val="0"/>
        <w:autoSpaceDE/>
        <w:autoSpaceDN/>
        <w:bidi w:val="0"/>
        <w:adjustRightInd w:val="0"/>
        <w:snapToGrid w:val="0"/>
        <w:ind w:left="0" w:firstLine="560" w:firstLineChars="200"/>
        <w:textAlignment w:val="auto"/>
      </w:pPr>
      <w:r>
        <w:rPr>
          <w:rFonts w:hint="eastAsia"/>
          <w:lang w:val="en-US" w:eastAsia="zh-CN"/>
        </w:rPr>
        <w:t>2、</w:t>
      </w:r>
      <w:r>
        <w:rPr>
          <w:rFonts w:hint="eastAsia"/>
        </w:rPr>
        <w:t>当日原材料使用情况；</w:t>
      </w:r>
    </w:p>
    <w:p>
      <w:pPr>
        <w:keepNext w:val="0"/>
        <w:keepLines w:val="0"/>
        <w:pageBreakBefore w:val="0"/>
        <w:widowControl w:val="0"/>
        <w:numPr>
          <w:ilvl w:val="0"/>
          <w:numId w:val="0"/>
        </w:numPr>
        <w:kinsoku/>
        <w:wordWrap/>
        <w:overflowPunct/>
        <w:topLinePunct w:val="0"/>
        <w:autoSpaceDE/>
        <w:autoSpaceDN/>
        <w:bidi w:val="0"/>
        <w:adjustRightInd w:val="0"/>
        <w:snapToGrid w:val="0"/>
        <w:ind w:left="0" w:firstLine="560" w:firstLineChars="200"/>
        <w:textAlignment w:val="auto"/>
      </w:pPr>
      <w:r>
        <w:rPr>
          <w:rFonts w:hint="eastAsia"/>
          <w:lang w:val="en-US" w:eastAsia="zh-CN"/>
        </w:rPr>
        <w:t>3、</w:t>
      </w:r>
      <w:r>
        <w:rPr>
          <w:rFonts w:hint="eastAsia"/>
        </w:rPr>
        <w:t>当日质量控制情况；</w:t>
      </w:r>
    </w:p>
    <w:p>
      <w:pPr>
        <w:keepNext w:val="0"/>
        <w:keepLines w:val="0"/>
        <w:pageBreakBefore w:val="0"/>
        <w:widowControl w:val="0"/>
        <w:numPr>
          <w:ilvl w:val="0"/>
          <w:numId w:val="0"/>
        </w:numPr>
        <w:kinsoku/>
        <w:wordWrap/>
        <w:overflowPunct/>
        <w:topLinePunct w:val="0"/>
        <w:autoSpaceDE/>
        <w:autoSpaceDN/>
        <w:bidi w:val="0"/>
        <w:adjustRightInd w:val="0"/>
        <w:snapToGrid w:val="0"/>
        <w:ind w:left="0" w:firstLine="560" w:firstLineChars="200"/>
        <w:textAlignment w:val="auto"/>
      </w:pPr>
      <w:r>
        <w:rPr>
          <w:rFonts w:hint="eastAsia"/>
          <w:lang w:val="en-US" w:eastAsia="zh-CN"/>
        </w:rPr>
        <w:t>4、</w:t>
      </w:r>
      <w:r>
        <w:rPr>
          <w:rFonts w:hint="eastAsia"/>
        </w:rPr>
        <w:t>当日设备情况；</w:t>
      </w:r>
    </w:p>
    <w:p>
      <w:pPr>
        <w:keepNext w:val="0"/>
        <w:keepLines w:val="0"/>
        <w:pageBreakBefore w:val="0"/>
        <w:widowControl w:val="0"/>
        <w:numPr>
          <w:ilvl w:val="0"/>
          <w:numId w:val="0"/>
        </w:numPr>
        <w:kinsoku/>
        <w:wordWrap/>
        <w:overflowPunct/>
        <w:topLinePunct w:val="0"/>
        <w:autoSpaceDE/>
        <w:autoSpaceDN/>
        <w:bidi w:val="0"/>
        <w:adjustRightInd w:val="0"/>
        <w:snapToGrid w:val="0"/>
        <w:ind w:left="0" w:firstLine="560" w:firstLineChars="200"/>
        <w:textAlignment w:val="auto"/>
      </w:pPr>
      <w:r>
        <w:rPr>
          <w:rFonts w:hint="eastAsia"/>
          <w:lang w:val="en-US" w:eastAsia="zh-CN"/>
        </w:rPr>
        <w:t>5、</w:t>
      </w:r>
      <w:r>
        <w:rPr>
          <w:rFonts w:hint="eastAsia"/>
        </w:rPr>
        <w:t>当批产品质量检查情况；</w:t>
      </w:r>
    </w:p>
    <w:p>
      <w:pPr>
        <w:keepNext w:val="0"/>
        <w:keepLines w:val="0"/>
        <w:pageBreakBefore w:val="0"/>
        <w:widowControl w:val="0"/>
        <w:numPr>
          <w:ilvl w:val="0"/>
          <w:numId w:val="0"/>
        </w:numPr>
        <w:kinsoku/>
        <w:wordWrap/>
        <w:overflowPunct/>
        <w:topLinePunct w:val="0"/>
        <w:autoSpaceDE/>
        <w:autoSpaceDN/>
        <w:bidi w:val="0"/>
        <w:adjustRightInd w:val="0"/>
        <w:snapToGrid w:val="0"/>
        <w:ind w:left="0" w:firstLine="560" w:firstLineChars="200"/>
        <w:textAlignment w:val="auto"/>
        <w:rPr>
          <w:rFonts w:hint="eastAsia" w:eastAsia="宋体"/>
          <w:lang w:eastAsia="zh-CN"/>
        </w:rPr>
      </w:pPr>
      <w:r>
        <w:rPr>
          <w:rFonts w:hint="eastAsia"/>
          <w:lang w:val="en-US" w:eastAsia="zh-CN"/>
        </w:rPr>
        <w:t>6、</w:t>
      </w:r>
      <w:r>
        <w:rPr>
          <w:rFonts w:hint="eastAsia"/>
        </w:rPr>
        <w:t>当日生产环境情况；</w:t>
      </w:r>
    </w:p>
    <w:p>
      <w:pPr>
        <w:keepNext w:val="0"/>
        <w:keepLines w:val="0"/>
        <w:pageBreakBefore w:val="0"/>
        <w:widowControl w:val="0"/>
        <w:numPr>
          <w:ilvl w:val="0"/>
          <w:numId w:val="0"/>
        </w:numPr>
        <w:kinsoku/>
        <w:wordWrap/>
        <w:overflowPunct/>
        <w:topLinePunct w:val="0"/>
        <w:autoSpaceDE/>
        <w:autoSpaceDN/>
        <w:bidi w:val="0"/>
        <w:adjustRightInd w:val="0"/>
        <w:snapToGrid w:val="0"/>
        <w:ind w:left="0" w:firstLine="560" w:firstLineChars="200"/>
        <w:textAlignment w:val="auto"/>
      </w:pPr>
      <w:r>
        <w:rPr>
          <w:rFonts w:hint="eastAsia"/>
          <w:lang w:val="en-US" w:eastAsia="zh-CN"/>
        </w:rPr>
        <w:t>7、</w:t>
      </w:r>
      <w:r>
        <w:rPr>
          <w:rFonts w:hint="eastAsia"/>
        </w:rPr>
        <w:t>其他异常情况。</w:t>
      </w:r>
    </w:p>
    <w:p>
      <w:pPr>
        <w:widowControl/>
        <w:spacing w:before="0" w:after="0" w:line="240" w:lineRule="auto"/>
        <w:ind w:firstLine="0" w:firstLineChars="0"/>
        <w:jc w:val="left"/>
        <w:rPr>
          <w:b/>
          <w:color w:val="000000"/>
          <w:sz w:val="28"/>
          <w:szCs w:val="24"/>
        </w:rPr>
      </w:pPr>
      <w:r>
        <w:br w:type="page"/>
      </w:r>
    </w:p>
    <w:p>
      <w:pPr>
        <w:pStyle w:val="4"/>
        <w:bidi w:val="0"/>
      </w:pPr>
      <w:bookmarkStart w:id="911" w:name="_Toc105600375"/>
      <w:bookmarkStart w:id="912" w:name="_Ref118207197"/>
      <w:bookmarkStart w:id="913" w:name="_Toc118293344"/>
      <w:bookmarkStart w:id="914" w:name="_Ref118207192"/>
      <w:bookmarkStart w:id="915" w:name="_Toc116924346"/>
      <w:bookmarkStart w:id="916" w:name="_Ref118207189"/>
      <w:bookmarkStart w:id="917" w:name="_Toc1212"/>
      <w:bookmarkStart w:id="918" w:name="_Toc118233252"/>
      <w:r>
        <w:rPr>
          <w:rFonts w:hint="eastAsia"/>
          <w:lang w:val="en-US" w:eastAsia="zh-CN"/>
        </w:rPr>
        <w:t xml:space="preserve">第五节  </w:t>
      </w:r>
      <w:r>
        <w:t>售后服务团队的配置</w:t>
      </w:r>
      <w:bookmarkEnd w:id="911"/>
      <w:bookmarkEnd w:id="912"/>
      <w:bookmarkEnd w:id="913"/>
      <w:bookmarkEnd w:id="914"/>
      <w:bookmarkEnd w:id="915"/>
      <w:bookmarkEnd w:id="916"/>
      <w:bookmarkEnd w:id="917"/>
      <w:bookmarkEnd w:id="918"/>
    </w:p>
    <w:p>
      <w:pPr>
        <w:pStyle w:val="5"/>
        <w:bidi w:val="0"/>
      </w:pPr>
      <w:bookmarkStart w:id="919" w:name="_Toc27055"/>
      <w:r>
        <w:rPr>
          <w:rFonts w:hint="eastAsia"/>
          <w:lang w:val="en-US" w:eastAsia="zh-CN"/>
        </w:rPr>
        <w:t>一、</w:t>
      </w:r>
      <w:r>
        <w:rPr>
          <w:rFonts w:hint="eastAsia"/>
        </w:rPr>
        <w:t>售后人员和售后团队</w:t>
      </w:r>
      <w:bookmarkEnd w:id="919"/>
    </w:p>
    <w:p>
      <w:pPr>
        <w:ind w:firstLine="480"/>
      </w:pPr>
      <w:r>
        <w:rPr>
          <w:rFonts w:hint="eastAsia"/>
        </w:rPr>
        <w:t>售后服务队其主要职责是指导农户正确使用有机肥料产品，对出现的问题进行现场技术指导。售后服务机构网点为：设立</w:t>
      </w:r>
      <w:r>
        <w:rPr>
          <w:rFonts w:hint="eastAsia"/>
          <w:lang w:eastAsia="zh-CN"/>
        </w:rPr>
        <w:t>XXX生物有机肥采购项目</w:t>
      </w:r>
      <w:r>
        <w:rPr>
          <w:rFonts w:hint="eastAsia"/>
        </w:rPr>
        <w:t>的服务网点，服务电话：</w:t>
      </w:r>
      <w:r>
        <w:rPr>
          <w:rFonts w:hint="eastAsia"/>
          <w:lang w:val="en-US" w:eastAsia="zh-CN"/>
        </w:rPr>
        <w:t>XXX</w:t>
      </w:r>
      <w:r>
        <w:rPr>
          <w:rFonts w:hint="eastAsia"/>
        </w:rPr>
        <w:t>。</w:t>
      </w:r>
    </w:p>
    <w:p>
      <w:pPr>
        <w:ind w:firstLine="480"/>
      </w:pPr>
      <w:r>
        <w:rPr>
          <w:rFonts w:hint="eastAsia"/>
        </w:rPr>
        <w:t>我公司售后部人员均接受专业培训，方可上岗，接待过程不得怠慢客户。对每一次来电、来信、来访，接待员均应详细记录在案，填写有关登记表，按规程和分工转送有关单位和人员处理，紧急事件应及时上报。</w:t>
      </w:r>
    </w:p>
    <w:p>
      <w:pPr>
        <w:ind w:firstLine="480"/>
      </w:pPr>
      <w:r>
        <w:rPr>
          <w:rFonts w:hint="eastAsia"/>
        </w:rPr>
        <w:t>为加强公司有机肥产品的售后服务，促进以顾客满意度为导向的方针的实现，推动企业质量诚信制度建设，特制定本办法。</w:t>
      </w:r>
    </w:p>
    <w:p>
      <w:pPr>
        <w:ind w:firstLine="480"/>
        <w:rPr>
          <w:rFonts w:hint="eastAsia"/>
        </w:rPr>
      </w:pPr>
      <w:r>
        <w:rPr>
          <w:rFonts w:hint="eastAsia"/>
        </w:rPr>
        <w:t>本项目组织机构如下图：</w:t>
      </w:r>
    </w:p>
    <w:p>
      <w:pPr>
        <w:pStyle w:val="2"/>
      </w:pPr>
      <w:r>
        <w:drawing>
          <wp:inline distT="0" distB="0" distL="114300" distR="114300">
            <wp:extent cx="5269230" cy="2226945"/>
            <wp:effectExtent l="9525" t="9525" r="17145" b="1143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65"/>
                    <a:stretch>
                      <a:fillRect/>
                    </a:stretch>
                  </pic:blipFill>
                  <pic:spPr>
                    <a:xfrm>
                      <a:off x="0" y="0"/>
                      <a:ext cx="5269230" cy="2226945"/>
                    </a:xfrm>
                    <a:prstGeom prst="rect">
                      <a:avLst/>
                    </a:prstGeom>
                    <a:noFill/>
                    <a:ln>
                      <a:solidFill>
                        <a:srgbClr val="0000FF"/>
                      </a:solidFill>
                    </a:ln>
                  </pic:spPr>
                </pic:pic>
              </a:graphicData>
            </a:graphic>
          </wp:inline>
        </w:drawing>
      </w:r>
    </w:p>
    <w:p>
      <w:pPr>
        <w:ind w:firstLine="480"/>
      </w:pPr>
      <w:r>
        <w:rPr>
          <w:rFonts w:hint="eastAsia"/>
        </w:rPr>
        <w:t>（</w:t>
      </w:r>
      <w:r>
        <w:rPr>
          <w:rFonts w:hint="eastAsia"/>
          <w:lang w:val="en-US" w:eastAsia="zh-CN"/>
        </w:rPr>
        <w:t>一</w:t>
      </w:r>
      <w:r>
        <w:rPr>
          <w:rFonts w:hint="eastAsia"/>
        </w:rPr>
        <w:t>）公司专门设立售后服务部，隶属于销售部。售前、售中、售后人员分配分别为：</w:t>
      </w:r>
      <w:r>
        <w:rPr>
          <w:rFonts w:hint="eastAsia"/>
          <w:lang w:val="en-US" w:eastAsia="zh-CN"/>
        </w:rPr>
        <w:t>XXX</w:t>
      </w:r>
      <w:r>
        <w:rPr>
          <w:rFonts w:hint="eastAsia"/>
        </w:rPr>
        <w:t>、</w:t>
      </w:r>
      <w:r>
        <w:rPr>
          <w:rFonts w:hint="eastAsia"/>
          <w:lang w:val="en-US" w:eastAsia="zh-CN"/>
        </w:rPr>
        <w:t>XXX</w:t>
      </w:r>
      <w:r>
        <w:rPr>
          <w:rFonts w:hint="eastAsia"/>
        </w:rPr>
        <w:t>（售后咨询电话为：</w:t>
      </w:r>
      <w:r>
        <w:rPr>
          <w:rFonts w:hint="eastAsia"/>
          <w:lang w:val="en-US" w:eastAsia="zh-CN"/>
        </w:rPr>
        <w:t>XXX</w:t>
      </w:r>
      <w:r>
        <w:rPr>
          <w:rFonts w:hint="eastAsia"/>
        </w:rPr>
        <w:t>）。售后服务部负责公司产品、客户（用户）意见收集、投诉受理、退货换货等工作。</w:t>
      </w:r>
    </w:p>
    <w:p>
      <w:pPr>
        <w:ind w:firstLine="480"/>
      </w:pPr>
      <w:r>
        <w:rPr>
          <w:rFonts w:hint="eastAsia"/>
        </w:rPr>
        <w:t>（</w:t>
      </w:r>
      <w:r>
        <w:rPr>
          <w:rFonts w:hint="eastAsia"/>
          <w:lang w:val="en-US" w:eastAsia="zh-CN"/>
        </w:rPr>
        <w:t>二</w:t>
      </w:r>
      <w:r>
        <w:rPr>
          <w:rFonts w:hint="eastAsia"/>
        </w:rPr>
        <w:t>）公司设立多级投诉制度。客户要向公司当事人的直接上级投诉，或直接向公司领导投诉。</w:t>
      </w:r>
    </w:p>
    <w:p>
      <w:pPr>
        <w:ind w:firstLine="480"/>
      </w:pPr>
      <w:r>
        <w:rPr>
          <w:rFonts w:hint="eastAsia"/>
        </w:rPr>
        <w:t>（</w:t>
      </w:r>
      <w:r>
        <w:rPr>
          <w:rFonts w:hint="eastAsia"/>
          <w:lang w:val="en-US" w:eastAsia="zh-CN"/>
        </w:rPr>
        <w:t>三</w:t>
      </w:r>
      <w:r>
        <w:rPr>
          <w:rFonts w:hint="eastAsia"/>
        </w:rPr>
        <w:t>）受理的意见和投诉中涉及产品质量，送质量部或生产部处理。</w:t>
      </w:r>
    </w:p>
    <w:p>
      <w:pPr>
        <w:ind w:firstLine="480"/>
      </w:pPr>
      <w:r>
        <w:rPr>
          <w:rFonts w:hint="eastAsia"/>
        </w:rPr>
        <w:t>（</w:t>
      </w:r>
      <w:r>
        <w:rPr>
          <w:rFonts w:hint="eastAsia"/>
          <w:lang w:val="en-US" w:eastAsia="zh-CN"/>
        </w:rPr>
        <w:t>四</w:t>
      </w:r>
      <w:r>
        <w:rPr>
          <w:rFonts w:hint="eastAsia"/>
        </w:rPr>
        <w:t>）受理的意见和投诉中涉及产品包装破损、数量不足的，送仓库处理。</w:t>
      </w:r>
    </w:p>
    <w:p>
      <w:pPr>
        <w:ind w:firstLine="480"/>
      </w:pPr>
      <w:r>
        <w:rPr>
          <w:rFonts w:hint="eastAsia"/>
        </w:rPr>
        <w:t>（</w:t>
      </w:r>
      <w:r>
        <w:rPr>
          <w:rFonts w:hint="eastAsia"/>
          <w:lang w:val="en-US" w:eastAsia="zh-CN"/>
        </w:rPr>
        <w:t>五</w:t>
      </w:r>
      <w:r>
        <w:rPr>
          <w:rFonts w:hint="eastAsia"/>
        </w:rPr>
        <w:t>）受理的意见和投诉中涉及公司营销、售后服务人员态度差、不尽职的，送销售部处理。</w:t>
      </w:r>
    </w:p>
    <w:p>
      <w:pPr>
        <w:ind w:firstLine="480"/>
      </w:pPr>
      <w:r>
        <w:rPr>
          <w:rFonts w:hint="eastAsia"/>
        </w:rPr>
        <w:t>（</w:t>
      </w:r>
      <w:r>
        <w:rPr>
          <w:rFonts w:hint="eastAsia"/>
          <w:lang w:val="en-US" w:eastAsia="zh-CN"/>
        </w:rPr>
        <w:t>六</w:t>
      </w:r>
      <w:r>
        <w:rPr>
          <w:rFonts w:hint="eastAsia"/>
        </w:rPr>
        <w:t>）受理的意见和投诉中涉及中间商的，应及时与之协调沟通。</w:t>
      </w:r>
    </w:p>
    <w:p>
      <w:pPr>
        <w:ind w:firstLine="480"/>
      </w:pPr>
      <w:r>
        <w:rPr>
          <w:rFonts w:hint="eastAsia"/>
        </w:rPr>
        <w:t>（</w:t>
      </w:r>
      <w:r>
        <w:rPr>
          <w:rFonts w:hint="eastAsia"/>
          <w:lang w:val="en-US" w:eastAsia="zh-CN"/>
        </w:rPr>
        <w:t>七</w:t>
      </w:r>
      <w:r>
        <w:rPr>
          <w:rFonts w:hint="eastAsia"/>
        </w:rPr>
        <w:t>）公司对每个来电、来信、来访，须在24小时内给予满意回复。对有价值的意见和建议，予以奖励。</w:t>
      </w:r>
    </w:p>
    <w:p>
      <w:pPr>
        <w:ind w:firstLine="480"/>
      </w:pPr>
      <w:r>
        <w:rPr>
          <w:rFonts w:hint="eastAsia"/>
        </w:rPr>
        <w:t>（</w:t>
      </w:r>
      <w:r>
        <w:rPr>
          <w:rFonts w:hint="eastAsia"/>
          <w:lang w:val="en-US" w:eastAsia="zh-CN"/>
        </w:rPr>
        <w:t>八</w:t>
      </w:r>
      <w:r>
        <w:rPr>
          <w:rFonts w:hint="eastAsia"/>
        </w:rPr>
        <w:t>）客户的意见和投诉情况，作为考察与之相关部门和人员业绩的依据之一。</w:t>
      </w:r>
    </w:p>
    <w:p>
      <w:pPr>
        <w:ind w:firstLine="480"/>
      </w:pPr>
      <w:r>
        <w:rPr>
          <w:rFonts w:hint="eastAsia"/>
        </w:rPr>
        <w:t>（</w:t>
      </w:r>
      <w:r>
        <w:rPr>
          <w:rFonts w:hint="eastAsia"/>
          <w:lang w:val="en-US" w:eastAsia="zh-CN"/>
        </w:rPr>
        <w:t>九</w:t>
      </w:r>
      <w:r>
        <w:rPr>
          <w:rFonts w:hint="eastAsia"/>
        </w:rPr>
        <w:t>）公司对出现质量问题的产品免费召回、更换或按订货价全额退款。</w:t>
      </w:r>
    </w:p>
    <w:p>
      <w:pPr>
        <w:ind w:firstLine="480"/>
      </w:pPr>
      <w:r>
        <w:rPr>
          <w:rFonts w:hint="eastAsia"/>
        </w:rPr>
        <w:t>（</w:t>
      </w:r>
      <w:r>
        <w:rPr>
          <w:rFonts w:hint="eastAsia"/>
          <w:lang w:val="en-US" w:eastAsia="zh-CN"/>
        </w:rPr>
        <w:t>十</w:t>
      </w:r>
      <w:r>
        <w:rPr>
          <w:rFonts w:hint="eastAsia"/>
        </w:rPr>
        <w:t>）仓库、财务、生产部门为退货和赔付予以支持和配合，并进行工作流程上的无缝衔接。</w:t>
      </w:r>
    </w:p>
    <w:p>
      <w:pPr>
        <w:pStyle w:val="5"/>
        <w:bidi w:val="0"/>
      </w:pPr>
      <w:bookmarkStart w:id="920" w:name="_Toc23907"/>
      <w:r>
        <w:rPr>
          <w:rFonts w:hint="eastAsia"/>
          <w:lang w:val="en-US" w:eastAsia="zh-CN"/>
        </w:rPr>
        <w:t>二、</w:t>
      </w:r>
      <w:r>
        <w:rPr>
          <w:rFonts w:hint="eastAsia"/>
        </w:rPr>
        <w:t>售后人员职责分工明确</w:t>
      </w:r>
      <w:bookmarkEnd w:id="920"/>
    </w:p>
    <w:p>
      <w:pPr>
        <w:pStyle w:val="52"/>
        <w:ind w:firstLine="400"/>
      </w:pPr>
      <w:r>
        <w:rPr>
          <w:rFonts w:hint="eastAsia"/>
        </w:rPr>
        <w:t>拟派售后人员名单及职能</w:t>
      </w:r>
    </w:p>
    <w:tbl>
      <w:tblPr>
        <w:tblStyle w:val="34"/>
        <w:tblW w:w="830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992"/>
        <w:gridCol w:w="993"/>
        <w:gridCol w:w="1275"/>
        <w:gridCol w:w="43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b/>
                <w:bCs w:val="0"/>
                <w:color w:val="000000"/>
                <w:kern w:val="0"/>
              </w:rPr>
            </w:pPr>
            <w:r>
              <w:rPr>
                <w:rFonts w:hint="eastAsia"/>
                <w:b/>
                <w:color w:val="000000"/>
                <w:kern w:val="0"/>
              </w:rPr>
              <w:t>序号</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b/>
                <w:bCs w:val="0"/>
                <w:color w:val="000000"/>
                <w:kern w:val="0"/>
              </w:rPr>
            </w:pPr>
            <w:r>
              <w:rPr>
                <w:rFonts w:hint="eastAsia"/>
                <w:b/>
                <w:color w:val="000000"/>
                <w:kern w:val="0"/>
              </w:rPr>
              <w:t>姓名</w:t>
            </w:r>
          </w:p>
        </w:tc>
        <w:tc>
          <w:tcPr>
            <w:tcW w:w="99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b/>
                <w:bCs w:val="0"/>
                <w:color w:val="000000"/>
                <w:kern w:val="0"/>
              </w:rPr>
            </w:pPr>
            <w:r>
              <w:rPr>
                <w:rFonts w:hint="eastAsia"/>
                <w:b/>
                <w:color w:val="000000"/>
                <w:kern w:val="0"/>
              </w:rPr>
              <w:t>性别</w:t>
            </w:r>
          </w:p>
        </w:tc>
        <w:tc>
          <w:tcPr>
            <w:tcW w:w="127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b/>
                <w:bCs w:val="0"/>
                <w:color w:val="000000"/>
                <w:kern w:val="0"/>
              </w:rPr>
            </w:pPr>
            <w:r>
              <w:rPr>
                <w:rFonts w:hint="eastAsia"/>
                <w:b/>
                <w:color w:val="000000"/>
                <w:kern w:val="0"/>
              </w:rPr>
              <w:t>拟派职务</w:t>
            </w:r>
          </w:p>
        </w:tc>
        <w:tc>
          <w:tcPr>
            <w:tcW w:w="433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b/>
                <w:bCs w:val="0"/>
                <w:color w:val="000000"/>
                <w:kern w:val="0"/>
              </w:rPr>
            </w:pPr>
            <w:r>
              <w:rPr>
                <w:rFonts w:hint="eastAsia"/>
                <w:b/>
                <w:color w:val="000000"/>
                <w:kern w:val="0"/>
              </w:rPr>
              <w:t>职能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7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1</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rFonts w:hint="eastAsia" w:eastAsia="宋体"/>
                <w:color w:val="000000"/>
                <w:kern w:val="0"/>
                <w:lang w:eastAsia="zh-CN"/>
              </w:rPr>
            </w:pPr>
            <w:r>
              <w:rPr>
                <w:rFonts w:hint="eastAsia"/>
                <w:color w:val="000000"/>
                <w:kern w:val="0"/>
                <w:lang w:val="en-US" w:eastAsia="zh-CN"/>
              </w:rPr>
              <w:t>XXX</w:t>
            </w:r>
          </w:p>
        </w:tc>
        <w:tc>
          <w:tcPr>
            <w:tcW w:w="99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rFonts w:hint="eastAsia" w:eastAsia="宋体"/>
                <w:color w:val="000000"/>
                <w:kern w:val="0"/>
                <w:lang w:eastAsia="zh-CN"/>
              </w:rPr>
            </w:pPr>
            <w:r>
              <w:rPr>
                <w:rFonts w:hint="eastAsia"/>
                <w:color w:val="000000"/>
                <w:kern w:val="0"/>
                <w:lang w:val="en-US" w:eastAsia="zh-CN"/>
              </w:rPr>
              <w:t>X</w:t>
            </w:r>
          </w:p>
        </w:tc>
        <w:tc>
          <w:tcPr>
            <w:tcW w:w="127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售后服务</w:t>
            </w:r>
          </w:p>
        </w:tc>
        <w:tc>
          <w:tcPr>
            <w:tcW w:w="433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1、负责与采购人对接；2、负责</w:t>
            </w:r>
          </w:p>
          <w:p>
            <w:pPr>
              <w:pStyle w:val="53"/>
              <w:widowControl w:val="0"/>
              <w:rPr>
                <w:color w:val="000000"/>
                <w:kern w:val="0"/>
              </w:rPr>
            </w:pPr>
            <w:r>
              <w:rPr>
                <w:rFonts w:hint="eastAsia"/>
                <w:color w:val="000000"/>
                <w:kern w:val="0"/>
              </w:rPr>
              <w:t>与单位各部接洽、协调,安排产品交货,验收,培训技术及相关售后事宜。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2</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rFonts w:hint="eastAsia" w:eastAsia="宋体"/>
                <w:color w:val="000000"/>
                <w:kern w:val="0"/>
                <w:lang w:eastAsia="zh-CN"/>
              </w:rPr>
            </w:pPr>
            <w:r>
              <w:rPr>
                <w:rFonts w:hint="eastAsia"/>
                <w:color w:val="000000"/>
                <w:kern w:val="0"/>
                <w:lang w:val="en-US" w:eastAsia="zh-CN"/>
              </w:rPr>
              <w:t>XXX</w:t>
            </w:r>
          </w:p>
        </w:tc>
        <w:tc>
          <w:tcPr>
            <w:tcW w:w="99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rFonts w:hint="eastAsia" w:eastAsia="宋体"/>
                <w:color w:val="000000"/>
                <w:kern w:val="0"/>
                <w:lang w:eastAsia="zh-CN"/>
              </w:rPr>
            </w:pPr>
            <w:r>
              <w:rPr>
                <w:rFonts w:hint="eastAsia"/>
                <w:color w:val="000000"/>
                <w:kern w:val="0"/>
                <w:lang w:val="en-US" w:eastAsia="zh-CN"/>
              </w:rPr>
              <w:t>X</w:t>
            </w:r>
          </w:p>
        </w:tc>
        <w:tc>
          <w:tcPr>
            <w:tcW w:w="127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售后服务</w:t>
            </w:r>
          </w:p>
        </w:tc>
        <w:tc>
          <w:tcPr>
            <w:tcW w:w="433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3"/>
              <w:widowControl w:val="0"/>
              <w:rPr>
                <w:color w:val="000000"/>
                <w:kern w:val="0"/>
              </w:rPr>
            </w:pPr>
            <w:r>
              <w:rPr>
                <w:rFonts w:hint="eastAsia"/>
                <w:color w:val="000000"/>
                <w:kern w:val="0"/>
              </w:rPr>
              <w:t>1、协调技术员完成产品的使用；2、负责售后服务的具体实施工作</w:t>
            </w:r>
          </w:p>
        </w:tc>
      </w:tr>
    </w:tbl>
    <w:p>
      <w:pPr>
        <w:ind w:firstLine="480"/>
      </w:pPr>
      <w:r>
        <w:rPr>
          <w:rFonts w:hint="eastAsia"/>
        </w:rPr>
        <w:t>相关质量保障措施如下：</w:t>
      </w:r>
    </w:p>
    <w:p>
      <w:pPr>
        <w:ind w:firstLine="480"/>
      </w:pPr>
      <w:r>
        <w:rPr>
          <w:rFonts w:hint="eastAsia"/>
        </w:rPr>
        <w:t>（</w:t>
      </w:r>
      <w:r>
        <w:rPr>
          <w:rFonts w:hint="eastAsia"/>
          <w:lang w:val="en-US" w:eastAsia="zh-CN"/>
        </w:rPr>
        <w:t>一</w:t>
      </w:r>
      <w:r>
        <w:rPr>
          <w:rFonts w:hint="eastAsia"/>
        </w:rPr>
        <w:t>）严格遵守国家《产品质量法》、《计量法》、《标准化法》、《消费者权益保护法》等相关法律、法规的规定，牢固树立产品质量主体责任意识，自觉履行法定义务，对我单位生产的产品质量负责。</w:t>
      </w:r>
    </w:p>
    <w:p>
      <w:pPr>
        <w:ind w:firstLine="480"/>
      </w:pPr>
      <w:r>
        <w:rPr>
          <w:rFonts w:hint="eastAsia"/>
        </w:rPr>
        <w:t>（</w:t>
      </w:r>
      <w:r>
        <w:rPr>
          <w:rFonts w:hint="eastAsia"/>
          <w:lang w:val="en-US" w:eastAsia="zh-CN"/>
        </w:rPr>
        <w:t>二</w:t>
      </w:r>
      <w:r>
        <w:rPr>
          <w:rFonts w:hint="eastAsia"/>
        </w:rPr>
        <w:t>）依法取得相关产品生产经营资质。</w:t>
      </w:r>
    </w:p>
    <w:p>
      <w:pPr>
        <w:ind w:firstLine="480"/>
      </w:pPr>
      <w:r>
        <w:rPr>
          <w:rFonts w:hint="eastAsia"/>
        </w:rPr>
        <w:t>（</w:t>
      </w:r>
      <w:r>
        <w:rPr>
          <w:rFonts w:hint="eastAsia"/>
          <w:lang w:val="en-US" w:eastAsia="zh-CN"/>
        </w:rPr>
        <w:t>三</w:t>
      </w:r>
      <w:r>
        <w:rPr>
          <w:rFonts w:hint="eastAsia"/>
        </w:rPr>
        <w:t>）建立完善质量管理体系，不断提升质量管理水平和产品质量水平，保证产品质量符合国家有关产品标准，具备应当具备的使用性能，不存在危及人体健康、人身财产安全的不合理的危险。</w:t>
      </w:r>
    </w:p>
    <w:p>
      <w:pPr>
        <w:ind w:firstLine="480"/>
      </w:pPr>
      <w:r>
        <w:rPr>
          <w:rFonts w:hint="eastAsia"/>
        </w:rPr>
        <w:t>（</w:t>
      </w:r>
      <w:r>
        <w:rPr>
          <w:rFonts w:hint="eastAsia"/>
          <w:lang w:val="en-US" w:eastAsia="zh-CN"/>
        </w:rPr>
        <w:t>四</w:t>
      </w:r>
      <w:r>
        <w:rPr>
          <w:rFonts w:hint="eastAsia"/>
        </w:rPr>
        <w:t>）建立完善产品质量检测体系，提高产品质量检验检测能力，严格原料进厂查验制度和成品出厂检验制度，保证产品经检验合格后出厂。</w:t>
      </w:r>
    </w:p>
    <w:p>
      <w:pPr>
        <w:ind w:firstLine="480"/>
      </w:pPr>
      <w:r>
        <w:rPr>
          <w:rFonts w:hint="eastAsia"/>
        </w:rPr>
        <w:t>（</w:t>
      </w:r>
      <w:r>
        <w:rPr>
          <w:rFonts w:hint="eastAsia"/>
          <w:lang w:val="en-US" w:eastAsia="zh-CN"/>
        </w:rPr>
        <w:t>五</w:t>
      </w:r>
      <w:r>
        <w:rPr>
          <w:rFonts w:hint="eastAsia"/>
        </w:rPr>
        <w:t>）建立完善产品质量溯源制度，明确质量相关人员岗位责任，建立和保存产品生产记录和销售台帐，保证产品质量问题的可溯性。</w:t>
      </w:r>
    </w:p>
    <w:p>
      <w:pPr>
        <w:ind w:firstLine="480"/>
      </w:pPr>
      <w:r>
        <w:rPr>
          <w:rFonts w:hint="eastAsia"/>
        </w:rPr>
        <w:t>（</w:t>
      </w:r>
      <w:r>
        <w:rPr>
          <w:rFonts w:hint="eastAsia"/>
          <w:lang w:val="en-US" w:eastAsia="zh-CN"/>
        </w:rPr>
        <w:t>六</w:t>
      </w:r>
      <w:r>
        <w:rPr>
          <w:rFonts w:hint="eastAsia"/>
        </w:rPr>
        <w:t>）产品配发检验合格证书和适量使用说明书，以确保用户能正确使用我单位产品。</w:t>
      </w:r>
    </w:p>
    <w:p>
      <w:pPr>
        <w:ind w:firstLine="480"/>
      </w:pPr>
      <w:r>
        <w:rPr>
          <w:rFonts w:hint="eastAsia"/>
        </w:rPr>
        <w:t>（</w:t>
      </w:r>
      <w:r>
        <w:rPr>
          <w:rFonts w:hint="eastAsia"/>
          <w:lang w:val="en-US" w:eastAsia="zh-CN"/>
        </w:rPr>
        <w:t>七</w:t>
      </w:r>
      <w:r>
        <w:rPr>
          <w:rFonts w:hint="eastAsia"/>
        </w:rPr>
        <w:t>）我单位保证出厂的产品均按有关国家标准生产和检验，不合格的产品决不出厂。保证严格履行、兑现产品三包，严格执行国家化肥工业产品售后服务有关规定，对本单位产品自发货日起的保质期为一年，若买方能够证实产品本身确有材料或加工缺陷，并向本单位提出书面申请，本单位将有质量问题的产品免费召回，更换或按订货价全额退款。</w:t>
      </w:r>
    </w:p>
    <w:p>
      <w:pPr>
        <w:ind w:firstLine="480"/>
      </w:pPr>
      <w:r>
        <w:rPr>
          <w:rFonts w:hint="eastAsia"/>
        </w:rPr>
        <w:t>（</w:t>
      </w:r>
      <w:r>
        <w:rPr>
          <w:rFonts w:hint="eastAsia"/>
          <w:lang w:val="en-US" w:eastAsia="zh-CN"/>
        </w:rPr>
        <w:t>八</w:t>
      </w:r>
      <w:r>
        <w:rPr>
          <w:rFonts w:hint="eastAsia"/>
        </w:rPr>
        <w:t>）用户对我单位产品提出质量异议，本单位保证在接到用户提出异议后24小时内作出处理意见。若需现场解决的，保证派出专业技术服务人员，并做到质量问题不解决服务人员不撤离。对每件用户反馈的产品质量问题及处理结果我厂将予以存档。</w:t>
      </w:r>
    </w:p>
    <w:p>
      <w:pPr>
        <w:ind w:firstLine="480"/>
      </w:pPr>
      <w:r>
        <w:rPr>
          <w:rFonts w:hint="eastAsia"/>
        </w:rPr>
        <w:t>（</w:t>
      </w:r>
      <w:r>
        <w:rPr>
          <w:rFonts w:hint="eastAsia"/>
          <w:lang w:val="en-US" w:eastAsia="zh-CN"/>
        </w:rPr>
        <w:t>九</w:t>
      </w:r>
      <w:r>
        <w:rPr>
          <w:rFonts w:hint="eastAsia"/>
        </w:rPr>
        <w:t>）建立完善质量诚信体系，加强自律，保证产品的标识内容全面、真实、可靠；保证不生产国家明令淘汰的产品，不伪造产品产地，不伪造或冒用厂名、厂址及质量标志，不掺杂掺假、以次充好、以假充真，不以不合格产品冒充合格产品；不短斤缺两。发现质量问题，及时报告，妥善处理。</w:t>
      </w:r>
    </w:p>
    <w:p>
      <w:pPr>
        <w:ind w:firstLine="480"/>
      </w:pPr>
      <w:r>
        <w:rPr>
          <w:rFonts w:hint="eastAsia"/>
        </w:rPr>
        <w:t>（</w:t>
      </w:r>
      <w:r>
        <w:rPr>
          <w:rFonts w:hint="eastAsia"/>
          <w:lang w:val="en-US" w:eastAsia="zh-CN"/>
        </w:rPr>
        <w:t>十</w:t>
      </w:r>
      <w:r>
        <w:rPr>
          <w:rFonts w:hint="eastAsia"/>
        </w:rPr>
        <w:t>）建立完善售后服务制度，接受消费者的产品质量查询，严格落实“三包”规定，妥善处理消费者的投诉和建议，依法履行赔偿义务。</w:t>
      </w:r>
    </w:p>
    <w:p>
      <w:pPr>
        <w:ind w:firstLine="480"/>
      </w:pPr>
      <w:r>
        <w:rPr>
          <w:rFonts w:hint="eastAsia"/>
        </w:rPr>
        <w:t>（</w:t>
      </w:r>
      <w:r>
        <w:rPr>
          <w:rFonts w:hint="eastAsia"/>
          <w:lang w:val="en-US" w:eastAsia="zh-CN"/>
        </w:rPr>
        <w:t>十一</w:t>
      </w:r>
      <w:r>
        <w:rPr>
          <w:rFonts w:hint="eastAsia"/>
        </w:rPr>
        <w:t>）接受群众、媒体和质监部门的监督，积极配合质监部门依法进行的产品质量监督检查和日常监管。</w:t>
      </w:r>
    </w:p>
    <w:p>
      <w:pPr>
        <w:ind w:firstLine="480"/>
      </w:pPr>
      <w:r>
        <w:rPr>
          <w:rFonts w:hint="eastAsia"/>
        </w:rPr>
        <w:t>培训内容及培训的时间、地点、目标、培训人数、收费标准：待货物供货完成后第二天开始培训，地点为各个供货点，目标是了解有机肥的使用办法及用量，每个供货点培训1个专业性人员，培训期间不进行收费。</w:t>
      </w:r>
    </w:p>
    <w:p>
      <w:pPr>
        <w:widowControl/>
        <w:spacing w:before="0" w:after="0" w:line="240" w:lineRule="auto"/>
        <w:ind w:firstLine="0" w:firstLineChars="0"/>
        <w:jc w:val="left"/>
      </w:pPr>
      <w:r>
        <w:br w:type="page"/>
      </w:r>
    </w:p>
    <w:p>
      <w:pPr>
        <w:pStyle w:val="4"/>
        <w:bidi w:val="0"/>
      </w:pPr>
      <w:bookmarkStart w:id="921" w:name="_Ref118207213"/>
      <w:bookmarkStart w:id="922" w:name="_Toc118293345"/>
      <w:bookmarkStart w:id="923" w:name="_Ref118207204"/>
      <w:bookmarkStart w:id="924" w:name="_Ref118207206"/>
      <w:bookmarkStart w:id="925" w:name="_Toc14474"/>
      <w:bookmarkStart w:id="926" w:name="_Toc118233253"/>
      <w:r>
        <w:rPr>
          <w:rFonts w:hint="eastAsia"/>
          <w:lang w:val="en-US" w:eastAsia="zh-CN"/>
        </w:rPr>
        <w:t xml:space="preserve">第六节  </w:t>
      </w:r>
      <w:r>
        <w:t>违约责任的承诺</w:t>
      </w:r>
      <w:bookmarkEnd w:id="921"/>
      <w:bookmarkEnd w:id="922"/>
      <w:bookmarkEnd w:id="923"/>
      <w:bookmarkEnd w:id="924"/>
      <w:bookmarkEnd w:id="925"/>
      <w:bookmarkEnd w:id="926"/>
    </w:p>
    <w:p>
      <w:pPr>
        <w:pStyle w:val="55"/>
        <w:numPr>
          <w:ilvl w:val="0"/>
          <w:numId w:val="0"/>
        </w:numPr>
        <w:ind w:left="0" w:firstLine="420" w:firstLineChars="0"/>
      </w:pPr>
      <w:r>
        <w:rPr>
          <w:rFonts w:hint="eastAsia" w:cs="Times New Roman"/>
          <w:kern w:val="2"/>
          <w:sz w:val="28"/>
          <w:szCs w:val="20"/>
          <w:lang w:val="en-US" w:eastAsia="zh-CN" w:bidi="ar-SA"/>
        </w:rPr>
        <w:t>（一）</w:t>
      </w:r>
      <w:r>
        <w:rPr>
          <w:rFonts w:hint="eastAsia"/>
        </w:rPr>
        <w:t>执行相关的国家颁布执行的相关法律法规、规程规范及标准。</w:t>
      </w:r>
    </w:p>
    <w:p>
      <w:pPr>
        <w:pStyle w:val="55"/>
        <w:numPr>
          <w:ilvl w:val="0"/>
          <w:numId w:val="0"/>
        </w:numPr>
        <w:ind w:left="0" w:firstLine="420" w:firstLineChars="0"/>
      </w:pPr>
      <w:r>
        <w:rPr>
          <w:rFonts w:hint="eastAsia" w:cs="Times New Roman"/>
          <w:kern w:val="2"/>
          <w:sz w:val="28"/>
          <w:szCs w:val="20"/>
          <w:lang w:val="en-US" w:eastAsia="zh-CN" w:bidi="ar-SA"/>
        </w:rPr>
        <w:t>（二）</w:t>
      </w:r>
      <w:r>
        <w:rPr>
          <w:rFonts w:hint="eastAsia"/>
        </w:rPr>
        <w:t>我公司在提供货物时，若因自身原因造成进度、质量或货物损失，由我公司承担全部损失，并按采购人管理制度进行处罚。</w:t>
      </w:r>
    </w:p>
    <w:p>
      <w:pPr>
        <w:pStyle w:val="55"/>
        <w:numPr>
          <w:ilvl w:val="0"/>
          <w:numId w:val="0"/>
        </w:numPr>
        <w:ind w:left="0" w:firstLine="420" w:firstLineChars="0"/>
      </w:pPr>
      <w:r>
        <w:rPr>
          <w:rFonts w:hint="eastAsia" w:cs="Times New Roman"/>
          <w:kern w:val="2"/>
          <w:sz w:val="28"/>
          <w:szCs w:val="20"/>
          <w:lang w:val="en-US" w:eastAsia="zh-CN" w:bidi="ar-SA"/>
        </w:rPr>
        <w:t>（三）</w:t>
      </w:r>
      <w:r>
        <w:rPr>
          <w:rFonts w:hint="eastAsia"/>
        </w:rPr>
        <w:t>若公司提供货物时不服从采购人的管理制度或绩效考核不合格，采购人有权将我公司清退出库。</w:t>
      </w:r>
    </w:p>
    <w:p>
      <w:pPr>
        <w:pStyle w:val="55"/>
        <w:numPr>
          <w:ilvl w:val="0"/>
          <w:numId w:val="0"/>
        </w:numPr>
        <w:ind w:left="0" w:firstLine="420" w:firstLineChars="0"/>
      </w:pPr>
      <w:r>
        <w:rPr>
          <w:rFonts w:hint="eastAsia" w:cs="Times New Roman"/>
          <w:kern w:val="2"/>
          <w:sz w:val="28"/>
          <w:szCs w:val="20"/>
          <w:lang w:val="en-US" w:eastAsia="zh-CN" w:bidi="ar-SA"/>
        </w:rPr>
        <w:t>（四）</w:t>
      </w:r>
      <w:r>
        <w:rPr>
          <w:rFonts w:hint="eastAsia"/>
        </w:rPr>
        <w:t>合同签订后我单位将按照我单位投标文件中所投货物、工程或者服务进行验收，一旦发现虚假应标行为，可取消该我单位的成交资格，并保留追究其法律责任的权利。</w:t>
      </w:r>
    </w:p>
    <w:p>
      <w:pPr>
        <w:pStyle w:val="55"/>
        <w:numPr>
          <w:ilvl w:val="0"/>
          <w:numId w:val="0"/>
        </w:numPr>
        <w:ind w:left="0" w:firstLine="420" w:firstLineChars="0"/>
        <w:rPr>
          <w:rFonts w:hint="eastAsia"/>
        </w:rPr>
      </w:pPr>
      <w:r>
        <w:rPr>
          <w:rFonts w:hint="eastAsia" w:cs="Times New Roman"/>
          <w:b/>
          <w:bCs/>
          <w:kern w:val="2"/>
          <w:sz w:val="28"/>
          <w:szCs w:val="20"/>
          <w:lang w:val="en-US" w:eastAsia="zh-CN" w:bidi="ar-SA"/>
        </w:rPr>
        <w:t>（五）</w:t>
      </w:r>
      <w:r>
        <w:rPr>
          <w:rFonts w:hint="eastAsia"/>
        </w:rPr>
        <w:t>合同签订后，若我方因自身原因未按上述条款约定履行合同、未能在本合同约定期限内完成合同约定的所有工作内容和移交成果资料，我方须按逾期天数向甲方每天支付合同总价款5%的违约金。</w:t>
      </w:r>
    </w:p>
    <w:p>
      <w:pPr>
        <w:pStyle w:val="55"/>
        <w:numPr>
          <w:ilvl w:val="0"/>
          <w:numId w:val="0"/>
        </w:numPr>
        <w:ind w:left="0" w:firstLine="420" w:firstLineChars="0"/>
        <w:rPr>
          <w:rFonts w:hint="eastAsia"/>
        </w:rPr>
      </w:pPr>
      <w:r>
        <w:rPr>
          <w:rFonts w:hint="eastAsia"/>
          <w:lang w:val="en-US" w:eastAsia="zh-CN"/>
        </w:rPr>
        <w:t>（六）</w:t>
      </w:r>
      <w:r>
        <w:rPr>
          <w:rFonts w:hint="eastAsia"/>
        </w:rPr>
        <w:t>我方供货给甲方的货物存在欺诈情形的（比如以次充好等），甲方除要求赔偿或更换外，还可依照《消费者权益保护法》要求我方</w:t>
      </w:r>
      <w:r>
        <w:rPr>
          <w:rFonts w:hint="eastAsia"/>
          <w:lang w:val="en-US" w:eastAsia="zh-CN"/>
        </w:rPr>
        <w:t>作出相应赔偿</w:t>
      </w:r>
      <w:r>
        <w:rPr>
          <w:rFonts w:hint="eastAsia"/>
        </w:rPr>
        <w:t>。</w:t>
      </w:r>
    </w:p>
    <w:p>
      <w:pPr>
        <w:pStyle w:val="55"/>
        <w:numPr>
          <w:ilvl w:val="0"/>
          <w:numId w:val="0"/>
        </w:numPr>
        <w:ind w:left="0" w:firstLine="420" w:firstLineChars="0"/>
      </w:pPr>
      <w:r>
        <w:rPr>
          <w:rFonts w:hint="eastAsia" w:cs="Times New Roman"/>
          <w:kern w:val="2"/>
          <w:sz w:val="28"/>
          <w:szCs w:val="20"/>
          <w:lang w:val="en-US" w:eastAsia="zh-CN" w:bidi="ar-SA"/>
        </w:rPr>
        <w:t>（七）</w:t>
      </w:r>
      <w:r>
        <w:rPr>
          <w:rFonts w:hint="eastAsia"/>
        </w:rPr>
        <w:t>我方按照甲方要求，按规定时间、规定品种、数量提供符合国家质量标准的货物，若乙方违反规定时间、规定品种、数量提供的，甲方有权随时解除本协议，履约保证金予以没收。</w:t>
      </w:r>
    </w:p>
    <w:p>
      <w:pPr>
        <w:pStyle w:val="55"/>
        <w:numPr>
          <w:ilvl w:val="0"/>
          <w:numId w:val="0"/>
        </w:numPr>
        <w:ind w:left="0" w:firstLine="420" w:firstLineChars="0"/>
        <w:rPr>
          <w:rFonts w:hint="eastAsia"/>
        </w:rPr>
      </w:pPr>
      <w:r>
        <w:rPr>
          <w:rFonts w:hint="eastAsia"/>
          <w:lang w:val="en-US" w:eastAsia="zh-CN"/>
        </w:rPr>
        <w:t>（八）</w:t>
      </w:r>
      <w:r>
        <w:rPr>
          <w:rFonts w:hint="eastAsia"/>
        </w:rPr>
        <w:t>我方要确保货物质量合格，我方供货给甲方的货物不符合产品安全标准的，甲方除要求赔偿或更换外，还可依照相关要求要求我方承担相应货物价款十倍或损失三倍的赔偿金，增加赔偿的金额不足一千元的，为一千元。</w:t>
      </w:r>
    </w:p>
    <w:p>
      <w:pPr>
        <w:pStyle w:val="55"/>
        <w:numPr>
          <w:ilvl w:val="0"/>
          <w:numId w:val="0"/>
        </w:numPr>
        <w:ind w:left="0" w:firstLine="420" w:firstLineChars="0"/>
      </w:pPr>
      <w:r>
        <w:rPr>
          <w:rFonts w:hint="eastAsia"/>
          <w:lang w:val="en-US" w:eastAsia="zh-CN"/>
        </w:rPr>
        <w:t>（九）</w:t>
      </w:r>
      <w:r>
        <w:rPr>
          <w:rFonts w:hint="eastAsia"/>
        </w:rPr>
        <w:t>因我方提供货物不符合国家质量标准造成的人身、财产损失，由我方承担相应的法律责任。</w:t>
      </w:r>
    </w:p>
    <w:p>
      <w:pPr>
        <w:pStyle w:val="55"/>
        <w:numPr>
          <w:ilvl w:val="0"/>
          <w:numId w:val="0"/>
        </w:numPr>
        <w:ind w:left="0" w:firstLine="420" w:firstLineChars="0"/>
      </w:pPr>
      <w:r>
        <w:rPr>
          <w:rFonts w:hint="eastAsia" w:cs="Times New Roman"/>
          <w:kern w:val="2"/>
          <w:sz w:val="28"/>
          <w:szCs w:val="20"/>
          <w:lang w:val="en-US" w:eastAsia="zh-CN" w:bidi="ar-SA"/>
        </w:rPr>
        <w:t>（十）</w:t>
      </w:r>
      <w:r>
        <w:rPr>
          <w:rFonts w:hint="eastAsia"/>
        </w:rPr>
        <w:t>我方在履行合同过程中，因疏忽、失职、过错等故意或者过失原因给甲方造成损失或侵害，包括甲方本身的财产损失及法律责任和甲方对任何第三方的财产损失及法律责任等，我方承担全部的赔偿责任。</w:t>
      </w:r>
    </w:p>
    <w:p>
      <w:pPr>
        <w:pStyle w:val="55"/>
        <w:numPr>
          <w:ilvl w:val="0"/>
          <w:numId w:val="0"/>
        </w:numPr>
        <w:ind w:left="0" w:firstLine="420" w:firstLineChars="0"/>
      </w:pPr>
      <w:r>
        <w:rPr>
          <w:rFonts w:hint="eastAsia" w:cs="Times New Roman"/>
          <w:kern w:val="2"/>
          <w:sz w:val="28"/>
          <w:szCs w:val="20"/>
          <w:lang w:val="en-US" w:eastAsia="zh-CN" w:bidi="ar-SA"/>
        </w:rPr>
        <w:t>（十一）</w:t>
      </w:r>
      <w:r>
        <w:rPr>
          <w:rFonts w:hint="eastAsia"/>
        </w:rPr>
        <w:t>由于我方原因造成返工，需进行再次验收所产生的费用及由此给甲方造成的损失由我方承担。</w:t>
      </w:r>
    </w:p>
    <w:p>
      <w:pPr>
        <w:pStyle w:val="55"/>
        <w:numPr>
          <w:ilvl w:val="0"/>
          <w:numId w:val="0"/>
        </w:numPr>
        <w:ind w:left="0" w:firstLine="420" w:firstLineChars="0"/>
      </w:pPr>
      <w:r>
        <w:rPr>
          <w:rFonts w:hint="eastAsia" w:cs="Times New Roman"/>
          <w:kern w:val="2"/>
          <w:sz w:val="28"/>
          <w:szCs w:val="20"/>
          <w:lang w:val="en-US" w:eastAsia="zh-CN" w:bidi="ar-SA"/>
        </w:rPr>
        <w:t>（十二）</w:t>
      </w:r>
      <w:r>
        <w:rPr>
          <w:rFonts w:hint="eastAsia"/>
        </w:rPr>
        <w:t>如遇不可抗力的因素而影响生产周期和供货时间时，我方将与需方协商解决。</w:t>
      </w:r>
    </w:p>
    <w:p>
      <w:pPr>
        <w:pStyle w:val="55"/>
        <w:numPr>
          <w:ilvl w:val="0"/>
          <w:numId w:val="0"/>
        </w:numPr>
        <w:ind w:left="0" w:firstLine="420" w:firstLineChars="0"/>
      </w:pPr>
      <w:r>
        <w:rPr>
          <w:rFonts w:hint="eastAsia" w:cs="Times New Roman"/>
          <w:kern w:val="2"/>
          <w:sz w:val="28"/>
          <w:szCs w:val="20"/>
          <w:lang w:val="en-US" w:eastAsia="zh-CN" w:bidi="ar-SA"/>
        </w:rPr>
        <w:t>（十三）</w:t>
      </w:r>
      <w:r>
        <w:rPr>
          <w:rFonts w:hint="eastAsia"/>
        </w:rPr>
        <w:t>若我单位不按期履行合同，并经采购方提示后5日内仍不履行合同的，采购方有权解除合同，我单位承担相应的法律责任。</w:t>
      </w:r>
    </w:p>
    <w:p>
      <w:pPr>
        <w:pStyle w:val="55"/>
        <w:numPr>
          <w:ilvl w:val="0"/>
          <w:numId w:val="0"/>
        </w:numPr>
        <w:ind w:left="0" w:firstLine="420" w:firstLineChars="0"/>
      </w:pPr>
      <w:r>
        <w:rPr>
          <w:rFonts w:hint="eastAsia" w:cs="Times New Roman"/>
          <w:kern w:val="2"/>
          <w:sz w:val="28"/>
          <w:szCs w:val="20"/>
          <w:lang w:val="en-US" w:eastAsia="zh-CN" w:bidi="ar-SA"/>
        </w:rPr>
        <w:t>（十四）</w:t>
      </w:r>
      <w:r>
        <w:rPr>
          <w:rFonts w:hint="eastAsia"/>
        </w:rPr>
        <w:t>我单位保证所投产品必须是全新的，且非假冒伪劣产品，产品质量满足国家、行业相关标准、规范及采购人要求。我单位保证采购人不受到第三方关于侵犯知识产权及专利权、商标权或工业设计权等知识产权方面的指控，任何第三方如果提出此方面指控均与采购人无关，我单位承担由此可能发生的一切法律责任、费用和后果；若采购人因此而遭受损失，还须承担赔偿责任。</w:t>
      </w:r>
    </w:p>
    <w:p>
      <w:pPr>
        <w:pStyle w:val="55"/>
        <w:numPr>
          <w:ilvl w:val="0"/>
          <w:numId w:val="0"/>
        </w:numPr>
        <w:ind w:left="0" w:firstLine="420" w:firstLineChars="0"/>
      </w:pPr>
      <w:r>
        <w:rPr>
          <w:rFonts w:hint="eastAsia" w:cs="Times New Roman"/>
          <w:kern w:val="2"/>
          <w:sz w:val="28"/>
          <w:szCs w:val="20"/>
          <w:lang w:val="en-US" w:eastAsia="zh-CN" w:bidi="ar-SA"/>
        </w:rPr>
        <w:t>（十五）</w:t>
      </w:r>
      <w:r>
        <w:rPr>
          <w:rFonts w:hint="eastAsia"/>
        </w:rPr>
        <w:t>我单位保证所提供的资料都是真实有效的，若发现我单位通过编制虚假资料、私刻公章等其他欺骗方式谋取中标，一经查实，采购人将根据法定流程取消其中标资格，并上报财政部门作出行政处罚，所产生的一切法律责任由我单位承担。</w:t>
      </w:r>
    </w:p>
    <w:p>
      <w:pPr>
        <w:pStyle w:val="55"/>
        <w:numPr>
          <w:ilvl w:val="0"/>
          <w:numId w:val="0"/>
        </w:numPr>
        <w:ind w:left="0" w:firstLine="420" w:firstLineChars="0"/>
      </w:pPr>
      <w:r>
        <w:rPr>
          <w:rFonts w:hint="eastAsia" w:cs="Times New Roman"/>
          <w:kern w:val="2"/>
          <w:sz w:val="28"/>
          <w:szCs w:val="20"/>
          <w:lang w:val="en-US" w:eastAsia="zh-CN" w:bidi="ar-SA"/>
        </w:rPr>
        <w:t>（十六）</w:t>
      </w:r>
      <w:r>
        <w:rPr>
          <w:rFonts w:hint="eastAsia"/>
        </w:rPr>
        <w:t>我单位建立完善质量管理体系，不断提升质量管理水平和产品质量水平，保证产品质量符合国家有关产品标准，具备应当具备的使用性能，不存在危及人体健康、人身财产安全的不合理的危险。</w:t>
      </w:r>
    </w:p>
    <w:p>
      <w:pPr>
        <w:pStyle w:val="55"/>
        <w:numPr>
          <w:ilvl w:val="0"/>
          <w:numId w:val="0"/>
        </w:numPr>
        <w:ind w:left="0" w:firstLine="420" w:firstLineChars="0"/>
      </w:pPr>
      <w:r>
        <w:rPr>
          <w:rFonts w:hint="eastAsia" w:cs="Times New Roman"/>
          <w:kern w:val="2"/>
          <w:sz w:val="28"/>
          <w:szCs w:val="20"/>
          <w:lang w:val="en-US" w:eastAsia="zh-CN" w:bidi="ar-SA"/>
        </w:rPr>
        <w:t>（十七）</w:t>
      </w:r>
      <w:r>
        <w:rPr>
          <w:rFonts w:hint="eastAsia"/>
        </w:rPr>
        <w:t>我单位建立完善质量诚信体系，加强自律，保证产品的标识内容全面、真实、可靠；保证不生产国家明令淘汰的产品，不伪造产品产地，不伪造或冒用厂名、厂址及质量标志，不掺杂掺假、以次充好、以假充真，不以不合格产品冒充合格产品；不短斤缺两。发现质量问题，及时报告，妥善处理。</w:t>
      </w:r>
    </w:p>
    <w:p>
      <w:pPr>
        <w:pStyle w:val="55"/>
        <w:numPr>
          <w:ilvl w:val="0"/>
          <w:numId w:val="0"/>
        </w:numPr>
        <w:ind w:left="0" w:firstLine="420" w:firstLineChars="0"/>
      </w:pPr>
      <w:r>
        <w:rPr>
          <w:rFonts w:hint="eastAsia" w:cs="Times New Roman"/>
          <w:kern w:val="2"/>
          <w:sz w:val="28"/>
          <w:szCs w:val="20"/>
          <w:lang w:val="en-US" w:eastAsia="zh-CN" w:bidi="ar-SA"/>
        </w:rPr>
        <w:t>（十八）</w:t>
      </w:r>
      <w:r>
        <w:rPr>
          <w:rFonts w:hint="eastAsia"/>
        </w:rPr>
        <w:t>我单位保证出厂的产品均按有关国家标准生产和检验，不合格的产品决不出厂。保证严格履行、兑现产品三包，严格执行国家化肥工业产品售后服务有关规定，对本单位产品自发货日起的保质期为两年，若买方能够证实产品本身确有材料或加工缺陷，并向本单位提出书面申请，本单位将有质量问题的产品免费召回，更换或按订货价全额退款。</w:t>
      </w:r>
    </w:p>
    <w:p>
      <w:pPr>
        <w:pStyle w:val="55"/>
        <w:numPr>
          <w:ilvl w:val="0"/>
          <w:numId w:val="0"/>
        </w:numPr>
        <w:ind w:left="0" w:firstLine="420" w:firstLineChars="0"/>
      </w:pPr>
      <w:r>
        <w:rPr>
          <w:rFonts w:hint="eastAsia" w:cs="Times New Roman"/>
          <w:kern w:val="2"/>
          <w:sz w:val="28"/>
          <w:szCs w:val="20"/>
          <w:lang w:val="en-US" w:eastAsia="zh-CN" w:bidi="ar-SA"/>
        </w:rPr>
        <w:t>（十九）</w:t>
      </w:r>
      <w:r>
        <w:rPr>
          <w:rFonts w:hint="eastAsia"/>
        </w:rPr>
        <w:t>用户对我单位产品提出质量异议，本单位保证在接到用户提出异议后24小时内作出处理意见。若需现场解决的，保证派出专业技术服务人员，并做到质量问题不解决服务人员不撤离。对每件用户反馈的产品质量问题及处理结果我厂将予以存档。</w:t>
      </w:r>
    </w:p>
    <w:p>
      <w:pPr>
        <w:pStyle w:val="55"/>
        <w:numPr>
          <w:ilvl w:val="0"/>
          <w:numId w:val="0"/>
        </w:numPr>
        <w:ind w:left="0" w:firstLine="420" w:firstLineChars="0"/>
        <w:rPr>
          <w:rFonts w:hint="eastAsia" w:eastAsia="宋体"/>
          <w:lang w:eastAsia="zh-CN"/>
        </w:rPr>
      </w:pPr>
      <w:r>
        <w:rPr>
          <w:rFonts w:hint="eastAsia" w:cs="Times New Roman"/>
          <w:kern w:val="2"/>
          <w:sz w:val="28"/>
          <w:szCs w:val="20"/>
          <w:lang w:val="en-US" w:eastAsia="zh-CN" w:bidi="ar-SA"/>
        </w:rPr>
        <w:t>（二十）</w:t>
      </w:r>
      <w:r>
        <w:rPr>
          <w:rFonts w:hint="eastAsia"/>
        </w:rPr>
        <w:t>因我方原因未能按投标文件所报的交货期交货时（不可抗力除外），我方愿按下述比例向买方支付违约金</w:t>
      </w:r>
      <w:r>
        <w:t>:</w:t>
      </w:r>
    </w:p>
    <w:p>
      <w:pPr>
        <w:ind w:firstLine="480"/>
      </w:pPr>
      <w:r>
        <w:rPr>
          <w:rFonts w:hint="eastAsia"/>
        </w:rPr>
        <w:t>迟交1～4周，每周支付迟交货物合同总金额的0.5％；</w:t>
      </w:r>
    </w:p>
    <w:p>
      <w:pPr>
        <w:ind w:firstLine="480"/>
      </w:pPr>
      <w:r>
        <w:rPr>
          <w:rFonts w:hint="eastAsia"/>
        </w:rPr>
        <w:t>迟交5～8周，每周支付迟交货物合同总金额的1％；</w:t>
      </w:r>
    </w:p>
    <w:p>
      <w:pPr>
        <w:ind w:firstLine="480"/>
      </w:pPr>
      <w:r>
        <w:rPr>
          <w:rFonts w:hint="eastAsia"/>
        </w:rPr>
        <w:t>迟交9周以上，每周支付迟交货物合同总金额的1.5％；</w:t>
      </w:r>
    </w:p>
    <w:p>
      <w:pPr>
        <w:ind w:firstLine="480"/>
      </w:pPr>
      <w:r>
        <w:rPr>
          <w:rFonts w:hint="eastAsia"/>
        </w:rPr>
        <w:t>迟交货物的违约金总额不超过合同总价的10％。我方支付迟交违约金，并不解除我方按照合同继续交货的义务。</w:t>
      </w:r>
    </w:p>
    <w:p>
      <w:pPr>
        <w:ind w:firstLine="480"/>
      </w:pPr>
      <w:r>
        <w:rPr>
          <w:rFonts w:hint="eastAsia"/>
        </w:rPr>
        <w:t>我公司将严格按照国家标准要求把好产品质量关，通过对原辅材料、发酵过程、半成品、成品的层层检验把关，确保产品质量。并按国家标准组织生产和进行验收，产品的各项理化性能指标均达到标准要求，质量稳定可靠。</w:t>
      </w:r>
    </w:p>
    <w:p>
      <w:pPr>
        <w:ind w:firstLine="480"/>
      </w:pPr>
      <w:r>
        <w:rPr>
          <w:rFonts w:hint="eastAsia"/>
        </w:rPr>
        <w:t>采购人可组织专业人员会同我单位依据采购合同、招标文件、该批产品检验报告和技术质量标准等有关资料共同验收。我单位应物送达时，要提供有资质的检测单位出具的货物检测报告和送货清单，送货清单上注明送货人、数量、日期、车牌号码等信息。货物送达后，采购人组织相关人员对货物进行验收并随机抽样送检（委托有资质的检测机构进行检测），检测费用由我单位负责。我单位应保证送达货物质量符合采购要求，若出现送检样品质量不符合货物采购质量要求的，对所送货物判定为不合格产品，采购人有权中止合同，不予退还履约保证金，由此所产生的一切损失由我单位自行承担。</w:t>
      </w:r>
    </w:p>
    <w:p>
      <w:pPr>
        <w:ind w:firstLine="480"/>
      </w:pPr>
      <w:r>
        <w:t>我单位建立完善质量管理体系，不断提升质量管理水平和产品质量水平，保证产品质量符合国家有关产品标准，具备应当具备的使用性能，不存在危及人体健康、人身财产安全的不合理的危险。</w:t>
      </w:r>
    </w:p>
    <w:p>
      <w:pPr>
        <w:rPr>
          <w:rFonts w:hint="eastAsia"/>
          <w:lang w:val="en-US" w:eastAsia="zh-CN"/>
        </w:rPr>
      </w:pPr>
      <w:bookmarkStart w:id="927" w:name="_Toc109320084"/>
      <w:bookmarkStart w:id="928" w:name="_Toc117182022"/>
      <w:bookmarkStart w:id="929" w:name="_Toc118293346"/>
      <w:r>
        <w:rPr>
          <w:rFonts w:hint="eastAsia"/>
          <w:lang w:val="en-US" w:eastAsia="zh-CN"/>
        </w:rPr>
        <w:br w:type="page"/>
      </w:r>
    </w:p>
    <w:p>
      <w:pPr>
        <w:pStyle w:val="4"/>
        <w:bidi w:val="0"/>
      </w:pPr>
      <w:bookmarkStart w:id="930" w:name="_Toc27258"/>
      <w:r>
        <w:rPr>
          <w:rFonts w:hint="eastAsia"/>
          <w:lang w:val="en-US" w:eastAsia="zh-CN"/>
        </w:rPr>
        <w:t xml:space="preserve">第七节  </w:t>
      </w:r>
      <w:r>
        <w:rPr>
          <w:rFonts w:hint="eastAsia"/>
        </w:rPr>
        <w:t>技术培训</w:t>
      </w:r>
      <w:bookmarkEnd w:id="927"/>
      <w:bookmarkEnd w:id="928"/>
      <w:bookmarkEnd w:id="929"/>
      <w:bookmarkEnd w:id="930"/>
    </w:p>
    <w:p>
      <w:pPr>
        <w:pStyle w:val="6"/>
        <w:numPr>
          <w:ilvl w:val="1"/>
          <w:numId w:val="0"/>
        </w:numPr>
        <w:ind w:left="0" w:firstLine="0"/>
      </w:pPr>
      <w:bookmarkStart w:id="931" w:name="_Toc118293347"/>
      <w:bookmarkStart w:id="932" w:name="_Toc106727918"/>
      <w:bookmarkStart w:id="933" w:name="_Toc109320085"/>
      <w:bookmarkStart w:id="934" w:name="_Toc6125"/>
      <w:bookmarkStart w:id="935" w:name="_Toc117182023"/>
      <w:bookmarkStart w:id="936" w:name="_Toc105600276"/>
      <w:r>
        <w:rPr>
          <w:rFonts w:hint="eastAsia" w:cs="Times New Roman"/>
          <w:b/>
          <w:bCs/>
          <w:kern w:val="2"/>
          <w:sz w:val="28"/>
          <w:szCs w:val="28"/>
          <w:lang w:val="en-US" w:eastAsia="zh-CN" w:bidi="ar-SA"/>
        </w:rPr>
        <w:t>一</w:t>
      </w:r>
      <w:r>
        <w:rPr>
          <w:rFonts w:hint="default" w:ascii="Cambria" w:hAnsi="Cambria" w:eastAsia="微软雅黑" w:cs="Times New Roman"/>
          <w:b/>
          <w:bCs/>
          <w:kern w:val="2"/>
          <w:sz w:val="28"/>
          <w:szCs w:val="28"/>
          <w:lang w:val="en-US" w:eastAsia="zh-CN" w:bidi="ar-SA"/>
        </w:rPr>
        <w:t>、</w:t>
      </w:r>
      <w:r>
        <w:rPr>
          <w:rFonts w:hint="eastAsia"/>
        </w:rPr>
        <w:t>技术培训指导</w:t>
      </w:r>
      <w:bookmarkEnd w:id="931"/>
      <w:bookmarkEnd w:id="932"/>
      <w:bookmarkEnd w:id="933"/>
      <w:bookmarkEnd w:id="934"/>
      <w:bookmarkEnd w:id="935"/>
      <w:bookmarkEnd w:id="936"/>
    </w:p>
    <w:p>
      <w:pPr>
        <w:ind w:firstLine="480"/>
      </w:pPr>
      <w:r>
        <w:rPr>
          <w:rFonts w:hint="eastAsia"/>
        </w:rPr>
        <w:t>成立项目技术团队，分乡镇分措施负责对具体实施人员进行相关施肥技术措施的技术培训，将各项施肥的技术要点总结成册，发放给每位村名，做到每位村名对施肥的技术要点了然于胸；并实时指导、解决实施过程中遇到的突发问题，一般技术人员无法解决的问题，请试点技术专家和合作专家进行技术指导和提供解决方案。通过专项技术培训和分技术的实时指导，确保施肥技术措施可落实到位。</w:t>
      </w:r>
    </w:p>
    <w:p>
      <w:pPr>
        <w:ind w:firstLine="480"/>
      </w:pPr>
      <w:r>
        <w:rPr>
          <w:rFonts w:hint="eastAsia"/>
        </w:rPr>
        <w:t>我公司将长期为用户提供免费的、详细的技术支持，为了方便用户的管理，我们将向用户提供整套管理方案，以确保用户及时获得所需的增值服务。派出人员是熟悉产品，技术全面、具有充足农业方面知识的技术人员，能彻底免除采购单位的后顾之忧，令产品发挥其最大的使用价值。</w:t>
      </w:r>
    </w:p>
    <w:p>
      <w:pPr>
        <w:ind w:firstLine="480"/>
      </w:pPr>
      <w:r>
        <w:rPr>
          <w:rFonts w:hint="eastAsia"/>
        </w:rPr>
        <w:t>我公司还设有24小时咨询热线，我们将耐心、细致的为用户解答所有遇到的问题。如果我公司的技术人员能够在第一时间内找到解决的方法，会立刻给用户以详细的回答；若不能，我公司的技术人员会尽快制定措施，并通过电话或E-MAIL，给用户以最周到的服务。</w:t>
      </w:r>
    </w:p>
    <w:p>
      <w:pPr>
        <w:spacing w:before="0" w:after="0" w:line="240" w:lineRule="auto"/>
        <w:ind w:firstLine="0" w:firstLineChars="0"/>
        <w:jc w:val="left"/>
      </w:pPr>
      <w:r>
        <w:br w:type="page"/>
      </w:r>
    </w:p>
    <w:p>
      <w:pPr>
        <w:pStyle w:val="6"/>
        <w:numPr>
          <w:ilvl w:val="1"/>
          <w:numId w:val="0"/>
        </w:numPr>
        <w:ind w:left="0" w:firstLine="0"/>
      </w:pPr>
      <w:bookmarkStart w:id="937" w:name="_Toc109320086"/>
      <w:bookmarkStart w:id="938" w:name="_Toc105600277"/>
      <w:bookmarkStart w:id="939" w:name="_Toc106727919"/>
      <w:bookmarkStart w:id="940" w:name="_Toc118293348"/>
      <w:bookmarkStart w:id="941" w:name="_Toc23933"/>
      <w:bookmarkStart w:id="942" w:name="_Toc117182024"/>
      <w:r>
        <w:rPr>
          <w:rFonts w:hint="eastAsia" w:cs="Times New Roman"/>
          <w:b/>
          <w:bCs/>
          <w:kern w:val="2"/>
          <w:sz w:val="28"/>
          <w:szCs w:val="28"/>
          <w:lang w:val="en-US" w:eastAsia="zh-CN" w:bidi="ar-SA"/>
        </w:rPr>
        <w:t>二</w:t>
      </w:r>
      <w:r>
        <w:rPr>
          <w:rFonts w:hint="default" w:ascii="Cambria" w:hAnsi="Cambria" w:eastAsia="微软雅黑" w:cs="Times New Roman"/>
          <w:b/>
          <w:bCs/>
          <w:kern w:val="2"/>
          <w:sz w:val="28"/>
          <w:szCs w:val="28"/>
          <w:lang w:val="en-US" w:eastAsia="zh-CN" w:bidi="ar-SA"/>
        </w:rPr>
        <w:t>、</w:t>
      </w:r>
      <w:r>
        <w:rPr>
          <w:rFonts w:hint="eastAsia"/>
        </w:rPr>
        <w:t>培训计划</w:t>
      </w:r>
      <w:bookmarkEnd w:id="937"/>
      <w:bookmarkEnd w:id="938"/>
      <w:bookmarkEnd w:id="939"/>
      <w:bookmarkEnd w:id="940"/>
      <w:bookmarkEnd w:id="941"/>
      <w:bookmarkEnd w:id="942"/>
    </w:p>
    <w:p>
      <w:pPr>
        <w:ind w:firstLine="480"/>
      </w:pPr>
      <w:r>
        <w:rPr>
          <w:rFonts w:hint="eastAsia"/>
        </w:rPr>
        <w:t>若我公司成为“</w:t>
      </w:r>
      <w:r>
        <w:rPr>
          <w:rFonts w:hint="eastAsia"/>
          <w:lang w:eastAsia="zh-CN"/>
        </w:rPr>
        <w:t>XXX生物有机肥采购项目</w:t>
      </w:r>
      <w:r>
        <w:rPr>
          <w:rFonts w:hint="eastAsia"/>
        </w:rPr>
        <w:t>”供应商，可根据客户需求，拟订相关人员技术培训计划，以保证为本项目采购单位及使用群体提供最大的技术支持服务：</w:t>
      </w:r>
    </w:p>
    <w:p>
      <w:pPr>
        <w:pStyle w:val="6"/>
        <w:numPr>
          <w:ilvl w:val="1"/>
          <w:numId w:val="0"/>
        </w:numPr>
        <w:ind w:left="0" w:firstLine="0"/>
      </w:pPr>
      <w:bookmarkStart w:id="943" w:name="_Toc117182025"/>
      <w:bookmarkStart w:id="944" w:name="_Toc105600278"/>
      <w:bookmarkStart w:id="945" w:name="_Toc109320087"/>
      <w:bookmarkStart w:id="946" w:name="_Toc7168"/>
      <w:bookmarkStart w:id="947" w:name="_Toc118293349"/>
      <w:bookmarkStart w:id="948" w:name="_Toc106727920"/>
      <w:r>
        <w:rPr>
          <w:rFonts w:hint="eastAsia" w:cs="Times New Roman"/>
          <w:b/>
          <w:bCs/>
          <w:kern w:val="2"/>
          <w:sz w:val="28"/>
          <w:szCs w:val="28"/>
          <w:lang w:val="en-US" w:eastAsia="zh-CN" w:bidi="ar-SA"/>
        </w:rPr>
        <w:t>三</w:t>
      </w:r>
      <w:r>
        <w:rPr>
          <w:rFonts w:hint="default" w:ascii="Cambria" w:hAnsi="Cambria" w:eastAsia="微软雅黑" w:cs="Times New Roman"/>
          <w:b/>
          <w:bCs/>
          <w:kern w:val="2"/>
          <w:sz w:val="28"/>
          <w:szCs w:val="28"/>
          <w:lang w:val="en-US" w:eastAsia="zh-CN" w:bidi="ar-SA"/>
        </w:rPr>
        <w:t>、</w:t>
      </w:r>
      <w:r>
        <w:rPr>
          <w:rFonts w:hint="eastAsia"/>
        </w:rPr>
        <w:t>建立健全培训台账</w:t>
      </w:r>
      <w:bookmarkEnd w:id="943"/>
      <w:bookmarkEnd w:id="944"/>
      <w:bookmarkEnd w:id="945"/>
      <w:bookmarkEnd w:id="946"/>
      <w:bookmarkEnd w:id="947"/>
      <w:bookmarkEnd w:id="948"/>
    </w:p>
    <w:p>
      <w:pPr>
        <w:ind w:firstLine="480"/>
        <w:rPr>
          <w:rFonts w:hint="eastAsia" w:eastAsia="宋体"/>
          <w:lang w:eastAsia="zh-CN"/>
        </w:rPr>
      </w:pPr>
      <w:r>
        <w:rPr>
          <w:rFonts w:hint="eastAsia"/>
        </w:rPr>
        <w:t>（</w:t>
      </w:r>
      <w:r>
        <w:rPr>
          <w:rFonts w:hint="eastAsia"/>
          <w:lang w:val="en-US" w:eastAsia="zh-CN"/>
        </w:rPr>
        <w:t>一</w:t>
      </w:r>
      <w:r>
        <w:rPr>
          <w:rFonts w:hint="eastAsia"/>
        </w:rPr>
        <w:t>）健全电子培训台账，把所有培训过的用户分类分批建立档案，每个用户的具体情况记录详细准确：打开电脑输入培训过的人员。其相关肥料、土地、作物的数量等信息就能调出来：方便以后服务。</w:t>
      </w:r>
    </w:p>
    <w:p>
      <w:pPr>
        <w:ind w:firstLine="480"/>
        <w:rPr>
          <w:rFonts w:hint="eastAsia" w:eastAsia="宋体"/>
          <w:lang w:eastAsia="zh-CN"/>
        </w:rPr>
      </w:pPr>
      <w:r>
        <w:rPr>
          <w:rFonts w:hint="eastAsia"/>
        </w:rPr>
        <w:t>（</w:t>
      </w:r>
      <w:r>
        <w:rPr>
          <w:rFonts w:hint="eastAsia"/>
          <w:lang w:val="en-US" w:eastAsia="zh-CN"/>
        </w:rPr>
        <w:t>二</w:t>
      </w:r>
      <w:r>
        <w:rPr>
          <w:rFonts w:hint="eastAsia"/>
        </w:rPr>
        <w:t>）健全建好信息报：经常收集用户信息（种植土地、种植结构、土壤情况、施肥情况、灌溉情况等）方便给用户建档。认真收集整理用户反馈的信息并及时处理记录建档。</w:t>
      </w:r>
    </w:p>
    <w:p>
      <w:pPr>
        <w:ind w:firstLine="480"/>
      </w:pPr>
      <w:r>
        <w:rPr>
          <w:rFonts w:hint="eastAsia"/>
        </w:rPr>
        <w:t>（</w:t>
      </w:r>
      <w:r>
        <w:rPr>
          <w:rFonts w:hint="eastAsia"/>
          <w:lang w:val="en-US" w:eastAsia="zh-CN"/>
        </w:rPr>
        <w:t>三</w:t>
      </w:r>
      <w:r>
        <w:rPr>
          <w:rFonts w:hint="eastAsia"/>
        </w:rPr>
        <w:t>）把收集到的知识性信息和处理过的问题，编成信息手册发给用户学习总结。</w:t>
      </w:r>
    </w:p>
    <w:p>
      <w:pPr>
        <w:spacing w:before="0" w:after="0" w:line="240" w:lineRule="auto"/>
        <w:ind w:firstLine="0" w:firstLineChars="0"/>
        <w:jc w:val="left"/>
      </w:pPr>
      <w:r>
        <w:br w:type="page"/>
      </w:r>
    </w:p>
    <w:p>
      <w:pPr>
        <w:pStyle w:val="6"/>
        <w:numPr>
          <w:ilvl w:val="1"/>
          <w:numId w:val="0"/>
        </w:numPr>
        <w:ind w:left="0" w:firstLine="0"/>
      </w:pPr>
      <w:bookmarkStart w:id="949" w:name="_Toc109320088"/>
      <w:bookmarkStart w:id="950" w:name="_Toc2061"/>
      <w:bookmarkStart w:id="951" w:name="_Toc118293350"/>
      <w:bookmarkStart w:id="952" w:name="_Toc105600279"/>
      <w:bookmarkStart w:id="953" w:name="_Toc106727921"/>
      <w:bookmarkStart w:id="954" w:name="_Toc117182026"/>
      <w:r>
        <w:rPr>
          <w:rFonts w:hint="eastAsia" w:cs="Times New Roman"/>
          <w:b/>
          <w:bCs/>
          <w:kern w:val="2"/>
          <w:sz w:val="28"/>
          <w:szCs w:val="28"/>
          <w:lang w:val="en-US" w:eastAsia="zh-CN" w:bidi="ar-SA"/>
        </w:rPr>
        <w:t>四</w:t>
      </w:r>
      <w:r>
        <w:rPr>
          <w:rFonts w:hint="default" w:ascii="Cambria" w:hAnsi="Cambria" w:eastAsia="微软雅黑" w:cs="Times New Roman"/>
          <w:b/>
          <w:bCs/>
          <w:kern w:val="2"/>
          <w:sz w:val="28"/>
          <w:szCs w:val="28"/>
          <w:lang w:val="en-US" w:eastAsia="zh-CN" w:bidi="ar-SA"/>
        </w:rPr>
        <w:t>、</w:t>
      </w:r>
      <w:r>
        <w:rPr>
          <w:rFonts w:hint="eastAsia"/>
        </w:rPr>
        <w:t>培训地点及方式</w:t>
      </w:r>
      <w:bookmarkEnd w:id="949"/>
      <w:bookmarkEnd w:id="950"/>
      <w:bookmarkEnd w:id="951"/>
      <w:bookmarkEnd w:id="952"/>
      <w:bookmarkEnd w:id="953"/>
      <w:bookmarkEnd w:id="954"/>
    </w:p>
    <w:p>
      <w:pPr>
        <w:ind w:firstLine="480"/>
      </w:pPr>
      <w:r>
        <w:rPr>
          <w:rFonts w:hint="eastAsia"/>
        </w:rPr>
        <w:t>公司可根据用户及采购方公司可根据用户及采购方要求常年对用户进行培训，培训地点设在各村委或田间地头等方便的地方，利用手提电脑及投影仪等方式，由公司农艺师对肥料的特性、土壤、病虫害等相关知识进行现场培训，做到人手一份资料及一份小报或一份信息手册等，方便用户记忆。</w:t>
      </w:r>
    </w:p>
    <w:p>
      <w:pPr>
        <w:pStyle w:val="6"/>
        <w:numPr>
          <w:ilvl w:val="1"/>
          <w:numId w:val="0"/>
        </w:numPr>
        <w:ind w:left="0" w:firstLine="0"/>
      </w:pPr>
      <w:bookmarkStart w:id="955" w:name="_Toc118293351"/>
      <w:bookmarkStart w:id="956" w:name="_Toc105600280"/>
      <w:bookmarkStart w:id="957" w:name="_Toc3478"/>
      <w:bookmarkStart w:id="958" w:name="_Toc117182027"/>
      <w:bookmarkStart w:id="959" w:name="_Toc106727923"/>
      <w:bookmarkStart w:id="960" w:name="_Toc109320089"/>
      <w:r>
        <w:rPr>
          <w:rFonts w:hint="eastAsia" w:cs="Times New Roman"/>
          <w:b/>
          <w:bCs/>
          <w:kern w:val="2"/>
          <w:sz w:val="28"/>
          <w:szCs w:val="28"/>
          <w:lang w:val="en-US" w:eastAsia="zh-CN" w:bidi="ar-SA"/>
        </w:rPr>
        <w:t>五</w:t>
      </w:r>
      <w:r>
        <w:rPr>
          <w:rFonts w:hint="default" w:ascii="Cambria" w:hAnsi="Cambria" w:eastAsia="微软雅黑" w:cs="Times New Roman"/>
          <w:b/>
          <w:bCs/>
          <w:kern w:val="2"/>
          <w:sz w:val="28"/>
          <w:szCs w:val="28"/>
          <w:lang w:val="en-US" w:eastAsia="zh-CN" w:bidi="ar-SA"/>
        </w:rPr>
        <w:t>、</w:t>
      </w:r>
      <w:r>
        <w:rPr>
          <w:rFonts w:hint="eastAsia"/>
        </w:rPr>
        <w:t>培训内容</w:t>
      </w:r>
      <w:bookmarkEnd w:id="955"/>
      <w:bookmarkEnd w:id="956"/>
      <w:bookmarkEnd w:id="957"/>
      <w:bookmarkEnd w:id="958"/>
      <w:bookmarkEnd w:id="959"/>
      <w:bookmarkEnd w:id="960"/>
    </w:p>
    <w:p>
      <w:pPr>
        <w:pStyle w:val="7"/>
        <w:numPr>
          <w:ilvl w:val="0"/>
          <w:numId w:val="0"/>
        </w:numPr>
        <w:ind w:left="0" w:firstLine="0"/>
      </w:pPr>
      <w:bookmarkStart w:id="961" w:name="_Toc105600281"/>
      <w:bookmarkStart w:id="962" w:name="_Toc118293352"/>
      <w:bookmarkStart w:id="963" w:name="_Toc7835"/>
      <w:bookmarkStart w:id="964" w:name="_Toc117182028"/>
      <w:r>
        <w:rPr>
          <w:rFonts w:hint="eastAsia"/>
          <w:lang w:eastAsia="zh-CN"/>
        </w:rPr>
        <w:t>（</w:t>
      </w:r>
      <w:r>
        <w:rPr>
          <w:rFonts w:hint="eastAsia"/>
          <w:lang w:val="en-US" w:eastAsia="zh-CN"/>
        </w:rPr>
        <w:t>一</w:t>
      </w:r>
      <w:r>
        <w:rPr>
          <w:rFonts w:hint="eastAsia"/>
          <w:lang w:eastAsia="zh-CN"/>
        </w:rPr>
        <w:t>）</w:t>
      </w:r>
      <w:r>
        <w:rPr>
          <w:rFonts w:hint="eastAsia"/>
        </w:rPr>
        <w:t>有机肥的作用</w:t>
      </w:r>
      <w:bookmarkEnd w:id="961"/>
      <w:bookmarkEnd w:id="962"/>
      <w:bookmarkEnd w:id="963"/>
      <w:bookmarkEnd w:id="964"/>
    </w:p>
    <w:p>
      <w:pPr>
        <w:ind w:firstLine="480"/>
      </w:pPr>
      <w:r>
        <w:rPr>
          <w:rFonts w:hint="eastAsia"/>
        </w:rPr>
        <w:t>以发酵加工后的有机肥料为载体，加入功能菌，加工成有机肥料。有机肥料是指一种含有益于作物生长的发酵微生物的特定有机肥料，它既具有微生物肥料的功效，又具有有机肥料的作用，应用于农业生产中，能够获得特定的肥料益。有机肥料中所加的微生物肥料种类也很多，按其成品中特定微生物的种类分为细菌类、放线菌类、真菌类；按其作用机理分为根瘤菌类、固氮菌、解磷菌类、解钾菌类；按有机肥料中所加微生物种类的数目可分为单一的有机肥料和有机-无机复混有机肥料。</w:t>
      </w:r>
    </w:p>
    <w:p>
      <w:pPr>
        <w:ind w:firstLine="482"/>
        <w:rPr>
          <w:b/>
          <w:bCs/>
        </w:rPr>
      </w:pPr>
      <w:r>
        <w:rPr>
          <w:rFonts w:hint="eastAsia"/>
          <w:b/>
          <w:bCs/>
          <w:lang w:eastAsia="zh-CN"/>
        </w:rPr>
        <w:t>（</w:t>
      </w:r>
      <w:r>
        <w:rPr>
          <w:rFonts w:hint="eastAsia"/>
          <w:b/>
          <w:bCs/>
          <w:lang w:val="en-US" w:eastAsia="zh-CN"/>
        </w:rPr>
        <w:t>一</w:t>
      </w:r>
      <w:r>
        <w:rPr>
          <w:rFonts w:hint="eastAsia"/>
          <w:b/>
          <w:bCs/>
          <w:lang w:eastAsia="zh-CN"/>
        </w:rPr>
        <w:t>）</w:t>
      </w:r>
      <w:r>
        <w:rPr>
          <w:rFonts w:hint="eastAsia"/>
          <w:b/>
          <w:bCs/>
        </w:rPr>
        <w:t>能提高产量</w:t>
      </w:r>
    </w:p>
    <w:p>
      <w:pPr>
        <w:ind w:firstLine="480"/>
      </w:pPr>
      <w:r>
        <w:rPr>
          <w:rFonts w:hint="eastAsia"/>
          <w:lang w:val="en-US" w:eastAsia="zh-CN"/>
        </w:rPr>
        <w:t>1、</w:t>
      </w:r>
      <w:r>
        <w:rPr>
          <w:rFonts w:hint="eastAsia"/>
        </w:rPr>
        <w:t>产品中的有机质含有丰富氨基酸、核糖核酸、胡敏酸、维生素、生长激素和各种活性酶，特别是胡敏酸，增强植物根部呼吸，提高细胞膜的渗透性，增强对营养物质的吸收，使作物茎杆粗壮，叶色浓绿，开花提前，座果实率高，产量自然就高；</w:t>
      </w:r>
    </w:p>
    <w:p>
      <w:pPr>
        <w:ind w:firstLine="480"/>
      </w:pPr>
      <w:r>
        <w:rPr>
          <w:rFonts w:hint="eastAsia"/>
          <w:lang w:val="en-US" w:eastAsia="zh-CN"/>
        </w:rPr>
        <w:t>2、</w:t>
      </w:r>
      <w:r>
        <w:rPr>
          <w:rFonts w:hint="eastAsia"/>
        </w:rPr>
        <w:t>在有机肥料分解过程中，产生大量CO2供植物光合作用，使粮食作物、经济作物、蔬菜类、瓜果类大幅度增产10%—20%。</w:t>
      </w:r>
    </w:p>
    <w:p>
      <w:pPr>
        <w:ind w:firstLine="482"/>
        <w:rPr>
          <w:b/>
          <w:bCs/>
        </w:rPr>
      </w:pPr>
      <w:r>
        <w:rPr>
          <w:rFonts w:hint="eastAsia"/>
          <w:b/>
          <w:bCs/>
          <w:lang w:eastAsia="zh-CN"/>
        </w:rPr>
        <w:t>（</w:t>
      </w:r>
      <w:r>
        <w:rPr>
          <w:rFonts w:hint="eastAsia"/>
          <w:b/>
          <w:bCs/>
          <w:lang w:val="en-US" w:eastAsia="zh-CN"/>
        </w:rPr>
        <w:t>二</w:t>
      </w:r>
      <w:r>
        <w:rPr>
          <w:rFonts w:hint="eastAsia"/>
          <w:b/>
          <w:bCs/>
          <w:lang w:eastAsia="zh-CN"/>
        </w:rPr>
        <w:t>）</w:t>
      </w:r>
      <w:r>
        <w:rPr>
          <w:rFonts w:hint="eastAsia"/>
          <w:b/>
          <w:bCs/>
        </w:rPr>
        <w:t>能提高农产品品质</w:t>
      </w:r>
    </w:p>
    <w:p>
      <w:pPr>
        <w:ind w:firstLine="480"/>
      </w:pPr>
      <w:r>
        <w:rPr>
          <w:rFonts w:hint="eastAsia"/>
        </w:rPr>
        <w:t>产品中的活性菌可促进农作物中硝酸盐的转化，减少农产品硝酸盐的积累。与施用化学肥料相比，可使产品中硝酸盐含量降低20—30%，蔬菜硝酸盐含量平均降低48.3--87.7%，氮、磷、钾含量提高5--20%，VC含量提高30—40%，可溶性糖可提高1—4度。糖增酸减，产品滋味甘美、保鲜时间长、耐储存。果品色泽鲜艳、个头整齐、成熟集中，提早上市时间。</w:t>
      </w:r>
    </w:p>
    <w:p>
      <w:pPr>
        <w:ind w:firstLine="482"/>
        <w:rPr>
          <w:b/>
          <w:bCs/>
        </w:rPr>
      </w:pPr>
      <w:r>
        <w:rPr>
          <w:rFonts w:hint="eastAsia"/>
          <w:b/>
          <w:bCs/>
          <w:lang w:eastAsia="zh-CN"/>
        </w:rPr>
        <w:t>（</w:t>
      </w:r>
      <w:r>
        <w:rPr>
          <w:rFonts w:hint="eastAsia"/>
          <w:b/>
          <w:bCs/>
          <w:lang w:val="en-US" w:eastAsia="zh-CN"/>
        </w:rPr>
        <w:t>三</w:t>
      </w:r>
      <w:r>
        <w:rPr>
          <w:rFonts w:hint="eastAsia"/>
          <w:b/>
          <w:bCs/>
          <w:lang w:eastAsia="zh-CN"/>
        </w:rPr>
        <w:t>）</w:t>
      </w:r>
      <w:r>
        <w:rPr>
          <w:rFonts w:hint="eastAsia"/>
          <w:b/>
          <w:bCs/>
        </w:rPr>
        <w:t>能抗病防虫</w:t>
      </w:r>
    </w:p>
    <w:p>
      <w:pPr>
        <w:ind w:firstLine="480"/>
      </w:pPr>
      <w:r>
        <w:rPr>
          <w:rFonts w:hint="eastAsia"/>
          <w:lang w:val="en-US" w:eastAsia="zh-CN"/>
        </w:rPr>
        <w:t>1、</w:t>
      </w:r>
      <w:r>
        <w:rPr>
          <w:rFonts w:hint="eastAsia"/>
        </w:rPr>
        <w:t>产品经过无害化处理，把有机废弃物中大量病菌虫卵全部杀死，防止病菌传播和虫害滋生，尤其对花叶病、黑胫病、炭疽病的防治效果好；</w:t>
      </w:r>
    </w:p>
    <w:p>
      <w:pPr>
        <w:ind w:firstLine="480"/>
      </w:pPr>
      <w:r>
        <w:rPr>
          <w:rFonts w:hint="eastAsia"/>
          <w:lang w:val="en-US" w:eastAsia="zh-CN"/>
        </w:rPr>
        <w:t>2、</w:t>
      </w:r>
      <w:r>
        <w:rPr>
          <w:rFonts w:hint="eastAsia"/>
        </w:rPr>
        <w:t>活性菌中革兰氏阳性放线菌利用光合细菌中的氨基酸、氮素等作为基质，产生出各种抗生物质、维生素及酶，可以直接抑制病原菌；三是产品活性菌中乳酸菌具有很强的杀菌能力，能抑制有害微生物的活动。此外，促进作物根际有益微生物（EM菌）的增殖，改善作物根际生态环境，明显地降低土传病害的侵染，大大缓解连作障碍。</w:t>
      </w:r>
    </w:p>
    <w:p>
      <w:pPr>
        <w:ind w:firstLine="482"/>
        <w:rPr>
          <w:b/>
          <w:bCs/>
        </w:rPr>
      </w:pPr>
      <w:r>
        <w:rPr>
          <w:rFonts w:hint="eastAsia"/>
          <w:b/>
          <w:bCs/>
          <w:lang w:eastAsia="zh-CN"/>
        </w:rPr>
        <w:t>（</w:t>
      </w:r>
      <w:r>
        <w:rPr>
          <w:rFonts w:hint="eastAsia"/>
          <w:b/>
          <w:bCs/>
          <w:lang w:val="en-US" w:eastAsia="zh-CN"/>
        </w:rPr>
        <w:t>四</w:t>
      </w:r>
      <w:r>
        <w:rPr>
          <w:rFonts w:hint="eastAsia"/>
          <w:b/>
          <w:bCs/>
          <w:lang w:eastAsia="zh-CN"/>
        </w:rPr>
        <w:t>）</w:t>
      </w:r>
      <w:r>
        <w:rPr>
          <w:rFonts w:hint="eastAsia"/>
          <w:b/>
          <w:bCs/>
        </w:rPr>
        <w:t>能减轻土壤污染</w:t>
      </w:r>
    </w:p>
    <w:p>
      <w:pPr>
        <w:ind w:firstLine="480"/>
      </w:pPr>
      <w:r>
        <w:rPr>
          <w:rFonts w:hint="eastAsia"/>
        </w:rPr>
        <w:t>一是产品本来就利用人畜粪便、生活垃圾、丢弃饭菜、城市污泥、秸秆木灰等为原料进行发酵分解、无害化处理、移植功能活性菌加工而成，不仅变废为宝、还消灭了城乡土地和空气的面源污染。二是产品中的有机胶体吸附和螫合有毒的重金属铜、铅，砷阳离子的固定，消除土壤重金属污染。</w:t>
      </w:r>
    </w:p>
    <w:p>
      <w:pPr>
        <w:ind w:firstLine="482"/>
        <w:rPr>
          <w:b/>
          <w:bCs/>
        </w:rPr>
      </w:pPr>
      <w:r>
        <w:rPr>
          <w:rFonts w:hint="eastAsia"/>
          <w:b/>
          <w:bCs/>
          <w:lang w:eastAsia="zh-CN"/>
        </w:rPr>
        <w:t>（</w:t>
      </w:r>
      <w:r>
        <w:rPr>
          <w:rFonts w:hint="eastAsia"/>
          <w:b/>
          <w:bCs/>
          <w:lang w:val="en-US" w:eastAsia="zh-CN"/>
        </w:rPr>
        <w:t>五</w:t>
      </w:r>
      <w:r>
        <w:rPr>
          <w:rFonts w:hint="eastAsia"/>
          <w:b/>
          <w:bCs/>
          <w:lang w:eastAsia="zh-CN"/>
        </w:rPr>
        <w:t>）</w:t>
      </w:r>
      <w:r>
        <w:rPr>
          <w:rFonts w:hint="eastAsia"/>
          <w:b/>
          <w:bCs/>
        </w:rPr>
        <w:t>能提高土壤肥力</w:t>
      </w:r>
    </w:p>
    <w:p>
      <w:pPr>
        <w:ind w:firstLine="480"/>
      </w:pPr>
      <w:r>
        <w:rPr>
          <w:rFonts w:hint="eastAsia"/>
          <w:lang w:val="en-US" w:eastAsia="zh-CN"/>
        </w:rPr>
        <w:t>1、</w:t>
      </w:r>
      <w:r>
        <w:rPr>
          <w:rFonts w:hint="eastAsia"/>
        </w:rPr>
        <w:t>菌根菌以光合菌分泌的氨基酸为食饵，再加之富含固氮酶、磷酸酶，它有能力把植物根不吸收的不溶性磷提供给植物，又能与固氮菌共生，固氮能力成倍提高；</w:t>
      </w:r>
    </w:p>
    <w:p>
      <w:pPr>
        <w:ind w:firstLine="480"/>
        <w:rPr>
          <w:rFonts w:hint="eastAsia"/>
        </w:rPr>
      </w:pPr>
      <w:r>
        <w:rPr>
          <w:rFonts w:hint="eastAsia"/>
          <w:lang w:val="en-US" w:eastAsia="zh-CN"/>
        </w:rPr>
        <w:t>2、</w:t>
      </w:r>
      <w:r>
        <w:rPr>
          <w:rFonts w:hint="eastAsia"/>
        </w:rPr>
        <w:t>产品中的活性菌把植物根部的分泌物、有机物、有害气体（硫化氢等）及二氧化碳、氮等合成糖类、氨基酸类、维生素类、氮素化合物、抗病毒物质和生理活性物质等，是肥沃土壤的主力军；</w:t>
      </w:r>
    </w:p>
    <w:p>
      <w:pPr>
        <w:ind w:firstLine="480"/>
      </w:pPr>
      <w:r>
        <w:rPr>
          <w:rFonts w:hint="eastAsia"/>
          <w:lang w:val="en-US" w:eastAsia="zh-CN"/>
        </w:rPr>
        <w:t>3、</w:t>
      </w:r>
      <w:r>
        <w:rPr>
          <w:rFonts w:hint="eastAsia"/>
        </w:rPr>
        <w:t>产品有机质中本来就含有大量的氮、磷、钾和钙、镁、硫、铁、硼、锌、硒、钼等微量元素，还含有大量有机物质、腐殖酸类物质。</w:t>
      </w:r>
    </w:p>
    <w:p>
      <w:pPr>
        <w:ind w:firstLine="482"/>
        <w:rPr>
          <w:b/>
          <w:bCs/>
        </w:rPr>
      </w:pPr>
      <w:r>
        <w:rPr>
          <w:rFonts w:hint="eastAsia"/>
          <w:b/>
          <w:bCs/>
          <w:lang w:eastAsia="zh-CN"/>
        </w:rPr>
        <w:t>（</w:t>
      </w:r>
      <w:r>
        <w:rPr>
          <w:rFonts w:hint="eastAsia"/>
          <w:b/>
          <w:bCs/>
          <w:lang w:val="en-US" w:eastAsia="zh-CN"/>
        </w:rPr>
        <w:t>六</w:t>
      </w:r>
      <w:r>
        <w:rPr>
          <w:rFonts w:hint="eastAsia"/>
          <w:b/>
          <w:bCs/>
          <w:lang w:eastAsia="zh-CN"/>
        </w:rPr>
        <w:t>）</w:t>
      </w:r>
      <w:r>
        <w:rPr>
          <w:rFonts w:hint="eastAsia"/>
          <w:b/>
          <w:bCs/>
        </w:rPr>
        <w:t>能减少化肥使用量或不施用化肥</w:t>
      </w:r>
    </w:p>
    <w:p>
      <w:pPr>
        <w:ind w:firstLine="480"/>
      </w:pPr>
      <w:r>
        <w:rPr>
          <w:rFonts w:hint="eastAsia"/>
        </w:rPr>
        <w:t>那是因为产品本来就含有大量的营养元素和有机化合物，关键是产品中的活性菌有释放土壤中潜在养分的功效，对土壤中氮的转化率达到5—13.6%；对土壤中磷、钾的转化率可达到7—15.7%和8—16.6%；加上活性菌中的乳酸菌既杀灭了有害微生物，又能够急剧腐败分解秸秆、树木残体纤维为细小有机分子供作物吸收利用，施用5年后，土壤在有机质和活性菌的作用下源源不断的给植物提供营养了，化肥就可以少用或不用了。</w:t>
      </w:r>
    </w:p>
    <w:p>
      <w:pPr>
        <w:ind w:firstLine="482"/>
        <w:rPr>
          <w:b/>
          <w:bCs/>
        </w:rPr>
      </w:pPr>
      <w:r>
        <w:rPr>
          <w:rFonts w:hint="eastAsia"/>
          <w:b/>
          <w:bCs/>
          <w:lang w:eastAsia="zh-CN"/>
        </w:rPr>
        <w:t>（</w:t>
      </w:r>
      <w:r>
        <w:rPr>
          <w:rFonts w:hint="eastAsia"/>
          <w:b/>
          <w:bCs/>
          <w:lang w:val="en-US" w:eastAsia="zh-CN"/>
        </w:rPr>
        <w:t>七</w:t>
      </w:r>
      <w:r>
        <w:rPr>
          <w:rFonts w:hint="eastAsia"/>
          <w:b/>
          <w:bCs/>
          <w:lang w:eastAsia="zh-CN"/>
        </w:rPr>
        <w:t>）</w:t>
      </w:r>
      <w:r>
        <w:rPr>
          <w:rFonts w:hint="eastAsia"/>
          <w:b/>
          <w:bCs/>
        </w:rPr>
        <w:t>能改善土壤团粒结构</w:t>
      </w:r>
    </w:p>
    <w:p>
      <w:pPr>
        <w:ind w:firstLine="480"/>
        <w:rPr>
          <w:rFonts w:hint="eastAsia" w:eastAsia="宋体"/>
          <w:lang w:eastAsia="zh-CN"/>
        </w:rPr>
      </w:pPr>
      <w:r>
        <w:rPr>
          <w:rFonts w:hint="eastAsia"/>
        </w:rPr>
        <w:t>有机质中的腐殖质是土壤团聚体的主要胶结剂，有机胶体把沙土粘结成水稳性土壤团粒结构，把板结的土变成疏松状态，加之黑色有机质吸热和丰富养分，从而改善了土壤孔隙状况和水、肥、气、热状态，防涝抗旱。土壤有机质的粘性远远小于粘土的粘性，只是粘土的几分之一。一方面，它能降低粘性土壤的粘性，减少耕作阻力，提高耕作质量；另一方面它可以提高砂土的团聚性，改善其过分松散的状态。</w:t>
      </w:r>
    </w:p>
    <w:p>
      <w:pPr>
        <w:ind w:firstLine="482"/>
        <w:rPr>
          <w:b/>
          <w:bCs/>
        </w:rPr>
      </w:pPr>
      <w:r>
        <w:rPr>
          <w:rFonts w:hint="eastAsia"/>
          <w:b/>
          <w:bCs/>
          <w:lang w:eastAsia="zh-CN"/>
        </w:rPr>
        <w:t>（</w:t>
      </w:r>
      <w:r>
        <w:rPr>
          <w:rFonts w:hint="eastAsia"/>
          <w:b/>
          <w:bCs/>
          <w:lang w:val="en-US" w:eastAsia="zh-CN"/>
        </w:rPr>
        <w:t>八</w:t>
      </w:r>
      <w:r>
        <w:rPr>
          <w:rFonts w:hint="eastAsia"/>
          <w:b/>
          <w:bCs/>
          <w:lang w:eastAsia="zh-CN"/>
        </w:rPr>
        <w:t>）</w:t>
      </w:r>
      <w:r>
        <w:rPr>
          <w:rFonts w:hint="eastAsia"/>
          <w:b/>
          <w:bCs/>
        </w:rPr>
        <w:t>解除硝酸盐的危害</w:t>
      </w:r>
    </w:p>
    <w:p>
      <w:pPr>
        <w:ind w:firstLine="480"/>
      </w:pPr>
      <w:r>
        <w:rPr>
          <w:rFonts w:hint="eastAsia"/>
        </w:rPr>
        <w:t>硝酸盐的危害：</w:t>
      </w:r>
    </w:p>
    <w:p>
      <w:pPr>
        <w:ind w:firstLine="480"/>
      </w:pPr>
      <w:r>
        <w:rPr>
          <w:rFonts w:hint="eastAsia"/>
        </w:rPr>
        <w:t>硝酸盐与亚硝酸盐来源：</w:t>
      </w:r>
    </w:p>
    <w:p>
      <w:pPr>
        <w:ind w:firstLine="480"/>
      </w:pPr>
      <w:r>
        <w:rPr>
          <w:rFonts w:hint="eastAsia"/>
        </w:rPr>
        <w:t>1</w:t>
      </w:r>
      <w:r>
        <w:rPr>
          <w:rFonts w:hint="eastAsia"/>
          <w:lang w:eastAsia="zh-CN"/>
        </w:rPr>
        <w:t>、</w:t>
      </w:r>
      <w:r>
        <w:rPr>
          <w:rFonts w:hint="eastAsia"/>
        </w:rPr>
        <w:t>人工化肥：有硝酸铵、硝酸钙、硝酸钾、硝酸钠和尿素等；</w:t>
      </w:r>
    </w:p>
    <w:p>
      <w:pPr>
        <w:ind w:firstLine="480"/>
      </w:pPr>
      <w:r>
        <w:rPr>
          <w:rFonts w:hint="eastAsia"/>
        </w:rPr>
        <w:t>2</w:t>
      </w:r>
      <w:r>
        <w:rPr>
          <w:rFonts w:hint="eastAsia"/>
          <w:lang w:eastAsia="zh-CN"/>
        </w:rPr>
        <w:t>、</w:t>
      </w:r>
      <w:r>
        <w:rPr>
          <w:rFonts w:hint="eastAsia"/>
        </w:rPr>
        <w:t>生活垃圾：据测试1升生活污水自然降解产生110毫克硝酸盐；1公斤垃圾粪便堆肥自然分解产生492毫克硝酸盐；</w:t>
      </w:r>
    </w:p>
    <w:p>
      <w:pPr>
        <w:ind w:firstLine="480"/>
      </w:pPr>
      <w:r>
        <w:rPr>
          <w:rFonts w:hint="eastAsia"/>
        </w:rPr>
        <w:t>3</w:t>
      </w:r>
      <w:r>
        <w:rPr>
          <w:rFonts w:hint="eastAsia"/>
          <w:lang w:eastAsia="zh-CN"/>
        </w:rPr>
        <w:t>、</w:t>
      </w:r>
      <w:r>
        <w:rPr>
          <w:rFonts w:hint="eastAsia"/>
        </w:rPr>
        <w:t>工业排污：平均燃烧1吨煤、1千升油和1万立方米天然气可分别产生二氧化氮气体9、13与63公斤，这些二氧化氮气体经降水淋溶后可形成硝酸盐降落到地面和水体中；</w:t>
      </w:r>
    </w:p>
    <w:p>
      <w:pPr>
        <w:ind w:firstLine="480"/>
      </w:pPr>
      <w:r>
        <w:rPr>
          <w:rFonts w:hint="eastAsia"/>
        </w:rPr>
        <w:t>4</w:t>
      </w:r>
      <w:r>
        <w:rPr>
          <w:rFonts w:hint="eastAsia"/>
          <w:lang w:eastAsia="zh-CN"/>
        </w:rPr>
        <w:t>、</w:t>
      </w:r>
      <w:r>
        <w:rPr>
          <w:rFonts w:hint="eastAsia"/>
        </w:rPr>
        <w:t>食品防腐与保鲜：硝酸盐与亚硝酸盐被广泛用在肉品和鱼的防腐和保存上，以使肉制品呈现红色和香味，在每公斤肉食品中加入亚硝酸盐（一般为亚硝酸钠）5毫克以下，在一定时间内肉色观感良好；加入20毫克以上，可呈现商业上需要的稳定色彩；加入50毫克则有特殊气味。</w:t>
      </w:r>
    </w:p>
    <w:p>
      <w:pPr>
        <w:ind w:firstLine="480"/>
        <w:rPr>
          <w:rFonts w:hint="eastAsia" w:eastAsia="宋体"/>
          <w:lang w:eastAsia="zh-CN"/>
        </w:rPr>
      </w:pPr>
      <w:r>
        <w:rPr>
          <w:rFonts w:hint="eastAsia"/>
        </w:rPr>
        <w:t>5</w:t>
      </w:r>
      <w:r>
        <w:rPr>
          <w:rFonts w:hint="eastAsia"/>
          <w:lang w:eastAsia="zh-CN"/>
        </w:rPr>
        <w:t>、</w:t>
      </w:r>
      <w:r>
        <w:rPr>
          <w:rFonts w:hint="eastAsia"/>
        </w:rPr>
        <w:t>环境中化肥施用、污水灌溉、垃圾粪便、工业含氮废弃物、燃料燃烧排放的含氮废气等在自然条件下，经降水淋溶分解后形成硝酸盐，流入河、湖并渗入地下，从而造成地表水和地下水的硝酸盐污染。如污水下渗、污灌和滥施化肥可使地下水硝酸盐含量由数毫克/升剧增至400毫克/升以上（国家生活饮用水硝酸盐含量卫生标准小于88.6毫克/升，以氮计小于20毫克/升）；滥施化肥、污灌、用硝酸盐污染的水源灌溉也使农作物吸收了大量的硝酸盐类，如过分施肥所产的菠菜中每公斤干重可含亚硝酸盐达3600毫克。还有腌制的渍酸菜、经过长途运输和长期贮存的蔬菜以及隔夜的熟蔬菜不仅硝酸盐含量大量增加，而且在硝酸盐还原菌的作用下，硝酸盐被还原为亚硝酸盐。</w:t>
      </w:r>
    </w:p>
    <w:p>
      <w:pPr>
        <w:ind w:firstLine="480"/>
      </w:pPr>
      <w:r>
        <w:rPr>
          <w:rFonts w:hint="eastAsia"/>
        </w:rPr>
        <w:t>中毒机理：亚硝酸盐与人体血液作用，形成高铁血红蛋白，从而使血液失去携氧功能，使人缺氧中毒，轻者头昏、心悸、呕吐、口唇青紫，重者神志不清、抽搐、呼吸急促，抢救不及时可危及生命。</w:t>
      </w:r>
    </w:p>
    <w:p>
      <w:pPr>
        <w:ind w:firstLine="480"/>
      </w:pPr>
      <w:r>
        <w:rPr>
          <w:rFonts w:hint="eastAsia"/>
        </w:rPr>
        <w:t>癌症机理：亚硝酸盐在人体内外与仲胺类作用形成亚硝胺类，它在人体内达到一定剂量时是致癌（肝癌、胃癌、消化道癌症）、致畸、致突变的物质，可严重危害人体健康。</w:t>
      </w:r>
    </w:p>
    <w:p>
      <w:pPr>
        <w:ind w:firstLine="480"/>
      </w:pPr>
      <w:r>
        <w:rPr>
          <w:rFonts w:hint="eastAsia"/>
        </w:rPr>
        <w:t>为了防止硝酸盐与亚硝酸盐的危害，除了要科学合理地施用化肥、禁止使用污水灌溉、实行污水、垃圾与粪便无害化处理等环保措施以保护地表水与地下水源不遭受硝酸盐和亚硝酸盐污染外，还应尽量少吃腌制、熏制、腊制的鱼、肉类、香肠、腊肉、火腿、罐头食品、渍酸菜、盐腌不久的菜；不买存放过久、隔日或发蔫的蔬菜；当日买的菜当日吃完；不吃隔夜的熟蔬菜；不可将剩饭菜长久存放；不可将工业用亚硝酸盐（如亚硝酸钠）当做食盐误食。</w:t>
      </w:r>
    </w:p>
    <w:p>
      <w:pPr>
        <w:ind w:firstLine="480"/>
      </w:pPr>
      <w:r>
        <w:rPr>
          <w:rFonts w:hint="eastAsia"/>
        </w:rPr>
        <w:t>解除硝酸盐危害：</w:t>
      </w:r>
    </w:p>
    <w:p>
      <w:pPr>
        <w:ind w:firstLine="480"/>
      </w:pPr>
      <w:r>
        <w:rPr>
          <w:rFonts w:hint="eastAsia"/>
        </w:rPr>
        <w:t>硝酸盐的积累以叶菜类最为敏感（人体摄入量80%以上来自于叶菜），其余敏感程度依次为根茎菜类、花菜类、果蔬类。</w:t>
      </w:r>
    </w:p>
    <w:p>
      <w:pPr>
        <w:ind w:firstLine="480"/>
      </w:pPr>
      <w:r>
        <w:rPr>
          <w:rFonts w:hint="eastAsia"/>
        </w:rPr>
        <w:t>从施肥上降低硝酸盐积累：</w:t>
      </w:r>
    </w:p>
    <w:p>
      <w:pPr>
        <w:ind w:firstLine="480"/>
      </w:pPr>
      <w:r>
        <w:rPr>
          <w:rFonts w:hint="eastAsia"/>
        </w:rPr>
        <w:t>一是重施有机肥有机肥。不会导致蔬菜硝酸盐污染（乳酸菌降解亚硝酸盐的机理为:乳酸菌对亚硝酸盐的降解分为酶降解和酸降解两个阶段.在发酵前期,培养液pH&gt;4.5时,这期间乳酸菌对亚硝酸盐降解以酶为主;在后期,由于乳酸菌本身产酸,使培养液pH值降低,当pH&lt;4.0后,亚硝酸盐的降解主要以酸降解为主.由于乳酸杆菌产酸能力强于球菌），耐贮存，品质好，能生产出最佳的无公害蔬菜。</w:t>
      </w:r>
    </w:p>
    <w:p>
      <w:pPr>
        <w:ind w:firstLine="480"/>
      </w:pPr>
      <w:r>
        <w:rPr>
          <w:rFonts w:hint="eastAsia"/>
        </w:rPr>
        <w:t>二是不施硝态氮肥。蔬菜施用硝酸铵、硝酸钙和硝酸钾等硝酸肥，容易使蔬菜积累硝酸盐。而施用碳铵、硫酸铵、和尿素等肥料，应控制用量，并深施盖土，可减少蔬菜对硝酸盐的积累。</w:t>
      </w:r>
    </w:p>
    <w:p>
      <w:pPr>
        <w:ind w:firstLine="480"/>
      </w:pPr>
      <w:r>
        <w:rPr>
          <w:rFonts w:hint="eastAsia"/>
        </w:rPr>
        <w:t>三是夏秋施肥，夏秋季气温高，不利于积累硝酸盐，可适量地施氮肥。冬春季气温低，光照弱，硝酸盐还原酶活性下降，容易累硝酸盐，应不施或少施氮肥。</w:t>
      </w:r>
    </w:p>
    <w:p>
      <w:pPr>
        <w:ind w:firstLine="480"/>
      </w:pPr>
      <w:r>
        <w:rPr>
          <w:rFonts w:hint="eastAsia"/>
        </w:rPr>
        <w:t>四是因地施肥。肥力高，富含有机腐植质的土壤，蔬菜易积累硝酸盐，宜禁施氮肥。低肥菜地，蔬菜积累的硝酸盐较轻，可施氮肥和有机肥以培肥地力。</w:t>
      </w:r>
    </w:p>
    <w:p>
      <w:pPr>
        <w:ind w:firstLine="480"/>
      </w:pPr>
      <w:r>
        <w:rPr>
          <w:rFonts w:hint="eastAsia"/>
        </w:rPr>
        <w:t>五是早施苗肥。苗期施氮肥较好，有利于蔬菜早发、快长，降低硝酸盐含量。</w:t>
      </w:r>
    </w:p>
    <w:p>
      <w:pPr>
        <w:ind w:firstLine="480"/>
      </w:pPr>
      <w:r>
        <w:rPr>
          <w:rFonts w:hint="eastAsia"/>
        </w:rPr>
        <w:t>六是控制氮肥用量。蔬菜中硝酸盐的积累随着施肥量的增加而提高。因此，每亩施氮量应控制在纯氮15公斤内，2/3作基肥，1/3作苗肥深施。</w:t>
      </w:r>
    </w:p>
    <w:p>
      <w:pPr>
        <w:ind w:firstLine="480"/>
      </w:pPr>
      <w:r>
        <w:rPr>
          <w:rFonts w:hint="eastAsia"/>
        </w:rPr>
        <w:t>七是叶菜不施尿素叶面肥。叶面施氮肥使其直接与空气接触，铵离子易变成硝酸根离子被叶子吸收，硝酸盐积累增加，因此叶菜不宜施尿素叶面肥。</w:t>
      </w:r>
    </w:p>
    <w:p>
      <w:pPr>
        <w:ind w:firstLine="480"/>
        <w:rPr>
          <w:rFonts w:hint="eastAsia" w:eastAsia="宋体"/>
          <w:lang w:eastAsia="zh-CN"/>
        </w:rPr>
      </w:pPr>
      <w:r>
        <w:rPr>
          <w:rFonts w:hint="eastAsia"/>
        </w:rPr>
        <w:t>八是控制废水、污水淋灌废水、污水含大量重金属离子、毒物、病菌和虫卵等，直接污染蔬菜。</w:t>
      </w:r>
    </w:p>
    <w:p>
      <w:pPr>
        <w:ind w:firstLine="482"/>
        <w:rPr>
          <w:b/>
          <w:bCs/>
        </w:rPr>
      </w:pPr>
      <w:r>
        <w:rPr>
          <w:rFonts w:hint="eastAsia"/>
          <w:b/>
          <w:bCs/>
          <w:lang w:eastAsia="zh-CN"/>
        </w:rPr>
        <w:t>（</w:t>
      </w:r>
      <w:r>
        <w:rPr>
          <w:rFonts w:hint="eastAsia"/>
          <w:b/>
          <w:bCs/>
          <w:lang w:val="en-US" w:eastAsia="zh-CN"/>
        </w:rPr>
        <w:t>九</w:t>
      </w:r>
      <w:r>
        <w:rPr>
          <w:rFonts w:hint="eastAsia"/>
          <w:b/>
          <w:bCs/>
          <w:lang w:eastAsia="zh-CN"/>
        </w:rPr>
        <w:t>）</w:t>
      </w:r>
      <w:r>
        <w:rPr>
          <w:rFonts w:hint="eastAsia"/>
          <w:b/>
          <w:bCs/>
        </w:rPr>
        <w:t>有机肥的其它作用：</w:t>
      </w:r>
    </w:p>
    <w:p>
      <w:pPr>
        <w:ind w:firstLine="480"/>
        <w:rPr>
          <w:rFonts w:hint="eastAsia" w:eastAsia="宋体"/>
          <w:lang w:eastAsia="zh-CN"/>
        </w:rPr>
      </w:pPr>
      <w:r>
        <w:rPr>
          <w:rFonts w:hint="eastAsia"/>
        </w:rPr>
        <w:t>有机肥料因所含微生物的种类不同，所起作用也不同，概括起来有以下几方面作用。</w:t>
      </w:r>
    </w:p>
    <w:p>
      <w:pPr>
        <w:ind w:firstLine="480"/>
        <w:rPr>
          <w:rFonts w:hint="eastAsia" w:eastAsia="宋体"/>
          <w:lang w:eastAsia="zh-CN"/>
        </w:rPr>
      </w:pPr>
      <w:r>
        <w:rPr>
          <w:rFonts w:hint="eastAsia"/>
          <w:lang w:val="en-US" w:eastAsia="zh-CN"/>
        </w:rPr>
        <w:t>1、</w:t>
      </w:r>
      <w:r>
        <w:t>固氮作用例如根瘤和固氮菌，它们在适宜环境条件下，可以固定空气中的氮，为作物生长提供氮素营养。据估计，全球每年生物固定的氮素可达10100万吨。</w:t>
      </w:r>
    </w:p>
    <w:p>
      <w:pPr>
        <w:ind w:firstLine="480"/>
        <w:rPr>
          <w:rFonts w:hint="eastAsia" w:eastAsia="宋体"/>
          <w:lang w:eastAsia="zh-CN"/>
        </w:rPr>
      </w:pPr>
      <w:r>
        <w:rPr>
          <w:rFonts w:hint="eastAsia"/>
          <w:lang w:val="en-US" w:eastAsia="zh-CN"/>
        </w:rPr>
        <w:t>2、</w:t>
      </w:r>
      <w:r>
        <w:t>养分释放作用微生物把土壤中一些难于被作物吸收利用的物质分解转化为能被作物吸收利用的有效养分。如硅酸盐细菌不仅能分解土壤中钾长石和云母等难分解的矿物，把其中固定的钾释放出来，还能促使土壤中难溶性的磷转化为作物可以利用的形态。</w:t>
      </w:r>
    </w:p>
    <w:p>
      <w:pPr>
        <w:ind w:firstLine="480"/>
        <w:rPr>
          <w:rFonts w:hint="eastAsia" w:eastAsia="宋体"/>
          <w:lang w:eastAsia="zh-CN"/>
        </w:rPr>
      </w:pPr>
      <w:r>
        <w:rPr>
          <w:rFonts w:hint="eastAsia"/>
          <w:lang w:val="en-US" w:eastAsia="zh-CN"/>
        </w:rPr>
        <w:t>3、</w:t>
      </w:r>
      <w:r>
        <w:t>促生作用土壤中施入微生物肥料后，不仅增加了土壤中的养分含量</w:t>
      </w:r>
      <w:r>
        <w:rPr>
          <w:rFonts w:hint="eastAsia"/>
        </w:rPr>
        <w:t>，而且促进了各种维生素、酶及其它有利于作物生长物质的合成，剌激作物的生长，协助作物吸收营养。</w:t>
      </w:r>
    </w:p>
    <w:p>
      <w:pPr>
        <w:ind w:firstLine="480"/>
        <w:rPr>
          <w:rFonts w:hint="eastAsia" w:eastAsia="宋体"/>
          <w:lang w:eastAsia="zh-CN"/>
        </w:rPr>
      </w:pPr>
      <w:r>
        <w:rPr>
          <w:rFonts w:hint="eastAsia"/>
          <w:lang w:val="en-US" w:eastAsia="zh-CN"/>
        </w:rPr>
        <w:t>4、</w:t>
      </w:r>
      <w:r>
        <w:t>抗病作用土壤中接种有些微生物后，在作物根部大量繁殖，在一段时期内成为作物根际的优势菌，抑制或减少了病原微生物的繁殖机会，有的微生物还会对病原微生物产生抵抗作用。</w:t>
      </w:r>
    </w:p>
    <w:p>
      <w:pPr>
        <w:ind w:firstLine="480"/>
        <w:rPr>
          <w:rFonts w:hint="eastAsia" w:eastAsia="宋体"/>
          <w:lang w:eastAsia="zh-CN"/>
        </w:rPr>
      </w:pPr>
      <w:r>
        <w:t>微生物肥料虽然能为作物生长提供养分，并刺激和促进作物生长，但它的作用毕竟还是有限的，作物生产中主要还是靠有机肥料和化肥来提供作物生长所需的养分。</w:t>
      </w:r>
    </w:p>
    <w:p>
      <w:pPr>
        <w:ind w:firstLine="480"/>
      </w:pPr>
      <w:r>
        <w:rPr>
          <w:rFonts w:hint="eastAsia"/>
          <w:lang w:val="en-US" w:eastAsia="zh-CN"/>
        </w:rPr>
        <w:t>5、</w:t>
      </w:r>
      <w:r>
        <w:t>自然界许多原料中含有很多有益的微生物，但这些原料一旦施入土壤中，其中的微生物会被土壤中无数的微生物吃掉。因</w:t>
      </w:r>
      <w:r>
        <w:rPr>
          <w:rFonts w:hint="eastAsia"/>
        </w:rPr>
        <w:t>而，不能在土壤中稳定成活，其效果也难以表现出来。但是，如果先将有益菌种加到发酵后的发酵有机肥料里，发酵有机肥料本身是扩大培养基，从而使细菌大量增殖。</w:t>
      </w:r>
    </w:p>
    <w:p>
      <w:pPr>
        <w:ind w:firstLine="480"/>
      </w:pPr>
      <w:r>
        <w:rPr>
          <w:rFonts w:hint="eastAsia"/>
        </w:rPr>
        <w:t>这时再将微有机肥料施入土壤中，很快在土壤形成优势种群，对作物的根系能起到良好作用。发酵有机肥料对发挥微生物活性具有良好作用。</w:t>
      </w:r>
    </w:p>
    <w:p>
      <w:pPr>
        <w:pStyle w:val="7"/>
      </w:pPr>
      <w:bookmarkStart w:id="965" w:name="_Toc105600282"/>
      <w:bookmarkStart w:id="966" w:name="_Toc118293353"/>
      <w:bookmarkStart w:id="967" w:name="_Toc19100"/>
      <w:bookmarkStart w:id="968" w:name="_Toc117182029"/>
      <w:r>
        <w:rPr>
          <w:rFonts w:hint="eastAsia"/>
          <w:lang w:eastAsia="zh-CN"/>
        </w:rPr>
        <w:t>（</w:t>
      </w:r>
      <w:r>
        <w:rPr>
          <w:rFonts w:hint="eastAsia"/>
          <w:lang w:val="en-US" w:eastAsia="zh-CN"/>
        </w:rPr>
        <w:t>二</w:t>
      </w:r>
      <w:r>
        <w:rPr>
          <w:rFonts w:hint="eastAsia"/>
          <w:lang w:eastAsia="zh-CN"/>
        </w:rPr>
        <w:t>）</w:t>
      </w:r>
      <w:r>
        <w:rPr>
          <w:rFonts w:hint="eastAsia"/>
        </w:rPr>
        <w:t>有机肥的使用方法</w:t>
      </w:r>
      <w:bookmarkEnd w:id="965"/>
      <w:bookmarkEnd w:id="966"/>
      <w:bookmarkEnd w:id="967"/>
      <w:bookmarkEnd w:id="968"/>
    </w:p>
    <w:p>
      <w:pPr>
        <w:pStyle w:val="55"/>
        <w:numPr>
          <w:ilvl w:val="0"/>
          <w:numId w:val="0"/>
        </w:numPr>
        <w:ind w:firstLine="562" w:firstLineChars="200"/>
        <w:jc w:val="left"/>
        <w:rPr>
          <w:b/>
          <w:kern w:val="0"/>
        </w:rPr>
      </w:pPr>
      <w:r>
        <w:rPr>
          <w:rFonts w:hint="default" w:ascii="Wingdings" w:hAnsi="Wingdings" w:eastAsia="宋体" w:cs="Times New Roman"/>
          <w:b/>
          <w:kern w:val="0"/>
          <w:sz w:val="28"/>
          <w:szCs w:val="20"/>
          <w:lang w:val="en-US" w:eastAsia="zh-CN" w:bidi="ar-SA"/>
        </w:rPr>
        <w:t></w:t>
      </w:r>
      <w:r>
        <w:rPr>
          <w:rFonts w:hint="eastAsia"/>
          <w:b/>
          <w:kern w:val="0"/>
        </w:rPr>
        <w:t>有机肥使用方法</w:t>
      </w:r>
    </w:p>
    <w:p>
      <w:pPr>
        <w:ind w:firstLine="480"/>
        <w:rPr>
          <w:rFonts w:hint="eastAsia" w:eastAsia="宋体"/>
          <w:lang w:eastAsia="zh-CN"/>
        </w:rPr>
      </w:pPr>
      <w:r>
        <w:rPr>
          <w:rFonts w:hint="eastAsia"/>
        </w:rPr>
        <w:t>公司安排了大量资源，组织肥料使用人员对于涉及实际操作的各项知识进行了培训。主要内容如下：</w:t>
      </w:r>
    </w:p>
    <w:p>
      <w:pPr>
        <w:ind w:firstLine="480"/>
        <w:rPr>
          <w:rFonts w:hint="eastAsia" w:eastAsia="宋体"/>
          <w:lang w:eastAsia="zh-CN"/>
        </w:rPr>
      </w:pPr>
      <w:r>
        <w:rPr>
          <w:rFonts w:hint="eastAsia" w:ascii="MS Gothic" w:hAnsi="MS Gothic" w:eastAsia="MS Gothic" w:cs="MS Gothic"/>
        </w:rPr>
        <w:t>➢</w:t>
      </w:r>
      <w:r>
        <w:rPr>
          <w:rFonts w:hint="eastAsia"/>
        </w:rPr>
        <w:t>化肥的安全使用</w:t>
      </w:r>
    </w:p>
    <w:p>
      <w:pPr>
        <w:ind w:firstLine="480"/>
        <w:rPr>
          <w:rFonts w:hint="eastAsia" w:eastAsia="宋体"/>
          <w:lang w:eastAsia="zh-CN"/>
        </w:rPr>
      </w:pPr>
      <w:r>
        <w:rPr>
          <w:rFonts w:hint="eastAsia" w:ascii="MS Gothic" w:hAnsi="MS Gothic" w:eastAsia="MS Gothic" w:cs="MS Gothic"/>
        </w:rPr>
        <w:t>➢</w:t>
      </w:r>
      <w:r>
        <w:rPr>
          <w:rFonts w:hint="eastAsia"/>
        </w:rPr>
        <w:t>肥料的施用方法</w:t>
      </w:r>
    </w:p>
    <w:p>
      <w:pPr>
        <w:ind w:firstLine="482"/>
        <w:rPr>
          <w:rFonts w:hint="eastAsia" w:eastAsia="宋体"/>
          <w:b/>
          <w:bCs/>
          <w:lang w:eastAsia="zh-CN"/>
        </w:rPr>
      </w:pPr>
      <w:r>
        <w:rPr>
          <w:rFonts w:hint="eastAsia"/>
          <w:b/>
          <w:bCs/>
        </w:rPr>
        <w:t>（一）化肥的安全使用知识</w:t>
      </w:r>
    </w:p>
    <w:p>
      <w:pPr>
        <w:ind w:firstLine="480"/>
        <w:rPr>
          <w:rFonts w:hint="eastAsia" w:eastAsia="宋体"/>
          <w:lang w:eastAsia="zh-CN"/>
        </w:rPr>
      </w:pPr>
      <w:r>
        <w:t>1</w:t>
      </w:r>
      <w:r>
        <w:rPr>
          <w:rFonts w:hint="eastAsia"/>
        </w:rPr>
        <w:t>、农业生产中常用的化肥</w:t>
      </w:r>
    </w:p>
    <w:p>
      <w:pPr>
        <w:ind w:firstLine="480"/>
      </w:pPr>
      <w:r>
        <w:t>2</w:t>
      </w:r>
      <w:r>
        <w:rPr>
          <w:rFonts w:hint="eastAsia"/>
        </w:rPr>
        <w:t>、在化肥的使用过程中，了解各种化肥的成份与化学性质，避免意外事故的发生，还可以防止因化肥的不合理混用导致肥效下降效降低。</w:t>
      </w:r>
    </w:p>
    <w:p>
      <w:pPr>
        <w:ind w:firstLine="482"/>
        <w:rPr>
          <w:rFonts w:hint="eastAsia" w:eastAsia="宋体"/>
          <w:b/>
          <w:bCs/>
          <w:lang w:eastAsia="zh-CN"/>
        </w:rPr>
      </w:pPr>
      <w:r>
        <w:rPr>
          <w:rFonts w:hint="eastAsia"/>
          <w:b/>
          <w:bCs/>
          <w:lang w:eastAsia="zh-CN"/>
        </w:rPr>
        <w:t>（</w:t>
      </w:r>
      <w:r>
        <w:rPr>
          <w:rFonts w:hint="eastAsia"/>
          <w:b/>
          <w:bCs/>
        </w:rPr>
        <w:t>二</w:t>
      </w:r>
      <w:r>
        <w:rPr>
          <w:rFonts w:hint="eastAsia"/>
          <w:b/>
          <w:bCs/>
          <w:lang w:eastAsia="zh-CN"/>
        </w:rPr>
        <w:t>）</w:t>
      </w:r>
      <w:r>
        <w:rPr>
          <w:rFonts w:hint="eastAsia"/>
          <w:b/>
          <w:bCs/>
        </w:rPr>
        <w:t>肥料的施用方法</w:t>
      </w:r>
    </w:p>
    <w:tbl>
      <w:tblPr>
        <w:tblStyle w:val="56"/>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2285"/>
        <w:gridCol w:w="2561"/>
        <w:gridCol w:w="2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shd w:val="clear" w:color="auto" w:fill="FFE599" w:themeFill="accent4" w:themeFillTint="66"/>
            <w:vAlign w:val="center"/>
          </w:tcPr>
          <w:p>
            <w:pPr>
              <w:pStyle w:val="53"/>
              <w:rPr>
                <w:b/>
                <w:bCs w:val="0"/>
                <w:kern w:val="0"/>
              </w:rPr>
            </w:pPr>
          </w:p>
        </w:tc>
        <w:tc>
          <w:tcPr>
            <w:tcW w:w="2285" w:type="dxa"/>
            <w:shd w:val="clear" w:color="auto" w:fill="FFE599" w:themeFill="accent4" w:themeFillTint="66"/>
            <w:vAlign w:val="center"/>
          </w:tcPr>
          <w:p>
            <w:pPr>
              <w:pStyle w:val="53"/>
              <w:rPr>
                <w:b/>
                <w:bCs w:val="0"/>
                <w:kern w:val="0"/>
              </w:rPr>
            </w:pPr>
            <w:r>
              <w:rPr>
                <w:rFonts w:hint="eastAsia"/>
                <w:b/>
                <w:bCs w:val="0"/>
                <w:kern w:val="0"/>
              </w:rPr>
              <w:t>基肥</w:t>
            </w:r>
          </w:p>
        </w:tc>
        <w:tc>
          <w:tcPr>
            <w:tcW w:w="2561" w:type="dxa"/>
            <w:shd w:val="clear" w:color="auto" w:fill="FFE599" w:themeFill="accent4" w:themeFillTint="66"/>
            <w:vAlign w:val="center"/>
          </w:tcPr>
          <w:p>
            <w:pPr>
              <w:pStyle w:val="53"/>
              <w:rPr>
                <w:b/>
                <w:bCs w:val="0"/>
                <w:kern w:val="0"/>
              </w:rPr>
            </w:pPr>
            <w:r>
              <w:rPr>
                <w:rFonts w:hint="eastAsia"/>
                <w:b/>
                <w:bCs w:val="0"/>
                <w:kern w:val="0"/>
              </w:rPr>
              <w:t>种肥</w:t>
            </w:r>
          </w:p>
        </w:tc>
        <w:tc>
          <w:tcPr>
            <w:tcW w:w="2185" w:type="dxa"/>
            <w:shd w:val="clear" w:color="auto" w:fill="FFE599" w:themeFill="accent4" w:themeFillTint="66"/>
            <w:vAlign w:val="center"/>
          </w:tcPr>
          <w:p>
            <w:pPr>
              <w:pStyle w:val="53"/>
              <w:rPr>
                <w:rFonts w:hint="eastAsia" w:eastAsia="宋体"/>
                <w:b/>
                <w:bCs w:val="0"/>
                <w:kern w:val="0"/>
                <w:lang w:eastAsia="zh-CN"/>
              </w:rPr>
            </w:pPr>
            <w:r>
              <w:rPr>
                <w:rFonts w:hint="eastAsia"/>
                <w:b/>
                <w:bCs w:val="0"/>
                <w:kern w:val="0"/>
              </w:rPr>
              <w:t>追肥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shd w:val="clear" w:color="auto" w:fill="E2EFD9" w:themeFill="accent6" w:themeFillTint="33"/>
            <w:vAlign w:val="center"/>
          </w:tcPr>
          <w:p>
            <w:pPr>
              <w:pStyle w:val="53"/>
              <w:rPr>
                <w:b/>
                <w:bCs w:val="0"/>
                <w:kern w:val="0"/>
              </w:rPr>
            </w:pPr>
            <w:r>
              <w:rPr>
                <w:rFonts w:hint="eastAsia"/>
                <w:b/>
                <w:bCs w:val="0"/>
                <w:kern w:val="0"/>
              </w:rPr>
              <w:t>含义</w:t>
            </w:r>
          </w:p>
        </w:tc>
        <w:tc>
          <w:tcPr>
            <w:tcW w:w="2285" w:type="dxa"/>
            <w:shd w:val="clear" w:color="auto" w:fill="E2EFD9" w:themeFill="accent6" w:themeFillTint="33"/>
            <w:vAlign w:val="center"/>
          </w:tcPr>
          <w:p>
            <w:pPr>
              <w:pStyle w:val="53"/>
              <w:rPr>
                <w:kern w:val="0"/>
              </w:rPr>
            </w:pPr>
            <w:r>
              <w:rPr>
                <w:rFonts w:hint="eastAsia"/>
                <w:kern w:val="0"/>
              </w:rPr>
              <w:t>播种前或定植前施用的肥料</w:t>
            </w:r>
          </w:p>
        </w:tc>
        <w:tc>
          <w:tcPr>
            <w:tcW w:w="2561" w:type="dxa"/>
            <w:shd w:val="clear" w:color="auto" w:fill="E2EFD9" w:themeFill="accent6" w:themeFillTint="33"/>
            <w:vAlign w:val="center"/>
          </w:tcPr>
          <w:p>
            <w:pPr>
              <w:pStyle w:val="53"/>
              <w:rPr>
                <w:rFonts w:hint="eastAsia" w:eastAsia="宋体"/>
                <w:kern w:val="0"/>
                <w:lang w:eastAsia="zh-CN"/>
              </w:rPr>
            </w:pPr>
            <w:r>
              <w:rPr>
                <w:rFonts w:hint="eastAsia"/>
                <w:kern w:val="0"/>
              </w:rPr>
              <w:t>满足作物苗期对养分的要求</w:t>
            </w:r>
          </w:p>
        </w:tc>
        <w:tc>
          <w:tcPr>
            <w:tcW w:w="2185" w:type="dxa"/>
            <w:shd w:val="clear" w:color="auto" w:fill="E2EFD9" w:themeFill="accent6" w:themeFillTint="33"/>
            <w:vAlign w:val="center"/>
          </w:tcPr>
          <w:p>
            <w:pPr>
              <w:pStyle w:val="53"/>
              <w:rPr>
                <w:kern w:val="0"/>
              </w:rPr>
            </w:pPr>
            <w:r>
              <w:rPr>
                <w:rFonts w:hint="eastAsia"/>
                <w:kern w:val="0"/>
              </w:rPr>
              <w:t>生长过程中施用的肥料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Align w:val="center"/>
          </w:tcPr>
          <w:p>
            <w:pPr>
              <w:pStyle w:val="53"/>
              <w:rPr>
                <w:b/>
                <w:bCs w:val="0"/>
                <w:kern w:val="0"/>
              </w:rPr>
            </w:pPr>
            <w:r>
              <w:rPr>
                <w:rFonts w:hint="eastAsia"/>
                <w:b/>
                <w:bCs w:val="0"/>
                <w:kern w:val="0"/>
              </w:rPr>
              <w:t>目的</w:t>
            </w:r>
          </w:p>
        </w:tc>
        <w:tc>
          <w:tcPr>
            <w:tcW w:w="2285" w:type="dxa"/>
            <w:vAlign w:val="center"/>
          </w:tcPr>
          <w:p>
            <w:pPr>
              <w:pStyle w:val="53"/>
              <w:rPr>
                <w:rFonts w:hint="eastAsia" w:eastAsia="宋体"/>
                <w:kern w:val="0"/>
                <w:lang w:eastAsia="zh-CN"/>
              </w:rPr>
            </w:pPr>
            <w:r>
              <w:rPr>
                <w:rFonts w:hint="eastAsia"/>
                <w:kern w:val="0"/>
              </w:rPr>
              <w:t>满足作物全生育期对养分的要求</w:t>
            </w:r>
          </w:p>
        </w:tc>
        <w:tc>
          <w:tcPr>
            <w:tcW w:w="2561" w:type="dxa"/>
            <w:vAlign w:val="center"/>
          </w:tcPr>
          <w:p>
            <w:pPr>
              <w:pStyle w:val="53"/>
              <w:rPr>
                <w:kern w:val="0"/>
              </w:rPr>
            </w:pPr>
            <w:r>
              <w:rPr>
                <w:rFonts w:hint="eastAsia"/>
                <w:kern w:val="0"/>
              </w:rPr>
              <w:t>满足作物苗期对养分的要求</w:t>
            </w:r>
          </w:p>
        </w:tc>
        <w:tc>
          <w:tcPr>
            <w:tcW w:w="2185" w:type="dxa"/>
            <w:vAlign w:val="center"/>
          </w:tcPr>
          <w:p>
            <w:pPr>
              <w:pStyle w:val="53"/>
              <w:rPr>
                <w:kern w:val="0"/>
              </w:rPr>
            </w:pPr>
            <w:r>
              <w:rPr>
                <w:rFonts w:hint="eastAsia"/>
                <w:kern w:val="0"/>
              </w:rPr>
              <w:t>满足作物各生育期对养分要求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shd w:val="clear" w:color="auto" w:fill="E2EFD9" w:themeFill="accent6" w:themeFillTint="33"/>
            <w:vAlign w:val="center"/>
          </w:tcPr>
          <w:p>
            <w:pPr>
              <w:pStyle w:val="53"/>
              <w:rPr>
                <w:b/>
                <w:bCs w:val="0"/>
                <w:kern w:val="0"/>
              </w:rPr>
            </w:pPr>
            <w:r>
              <w:rPr>
                <w:rFonts w:hint="eastAsia"/>
                <w:b/>
                <w:bCs w:val="0"/>
                <w:kern w:val="0"/>
              </w:rPr>
              <w:t>施用原则</w:t>
            </w:r>
          </w:p>
        </w:tc>
        <w:tc>
          <w:tcPr>
            <w:tcW w:w="2285" w:type="dxa"/>
            <w:shd w:val="clear" w:color="auto" w:fill="E2EFD9" w:themeFill="accent6" w:themeFillTint="33"/>
            <w:vAlign w:val="center"/>
          </w:tcPr>
          <w:p>
            <w:pPr>
              <w:pStyle w:val="53"/>
              <w:rPr>
                <w:kern w:val="0"/>
              </w:rPr>
            </w:pPr>
            <w:r>
              <w:rPr>
                <w:rFonts w:hint="eastAsia"/>
                <w:kern w:val="0"/>
              </w:rPr>
              <w:t>培肥土</w:t>
            </w:r>
            <w:r>
              <w:rPr>
                <w:kern w:val="0"/>
              </w:rPr>
              <w:t>,</w:t>
            </w:r>
            <w:r>
              <w:rPr>
                <w:rFonts w:hint="eastAsia"/>
                <w:kern w:val="0"/>
              </w:rPr>
              <w:t>供养分</w:t>
            </w:r>
          </w:p>
        </w:tc>
        <w:tc>
          <w:tcPr>
            <w:tcW w:w="2561" w:type="dxa"/>
            <w:shd w:val="clear" w:color="auto" w:fill="E2EFD9" w:themeFill="accent6" w:themeFillTint="33"/>
            <w:vAlign w:val="center"/>
          </w:tcPr>
          <w:p>
            <w:pPr>
              <w:pStyle w:val="53"/>
              <w:rPr>
                <w:kern w:val="0"/>
              </w:rPr>
            </w:pPr>
            <w:r>
              <w:rPr>
                <w:rFonts w:hint="eastAsia"/>
                <w:kern w:val="0"/>
              </w:rPr>
              <w:t>易吸收</w:t>
            </w:r>
            <w:r>
              <w:rPr>
                <w:kern w:val="0"/>
              </w:rPr>
              <w:t>,</w:t>
            </w:r>
            <w:r>
              <w:rPr>
                <w:rFonts w:hint="eastAsia"/>
                <w:kern w:val="0"/>
              </w:rPr>
              <w:t>无毒害</w:t>
            </w:r>
          </w:p>
        </w:tc>
        <w:tc>
          <w:tcPr>
            <w:tcW w:w="2185" w:type="dxa"/>
            <w:shd w:val="clear" w:color="auto" w:fill="E2EFD9" w:themeFill="accent6" w:themeFillTint="33"/>
            <w:vAlign w:val="center"/>
          </w:tcPr>
          <w:p>
            <w:pPr>
              <w:pStyle w:val="53"/>
              <w:rPr>
                <w:kern w:val="0"/>
              </w:rPr>
            </w:pPr>
            <w:r>
              <w:rPr>
                <w:rFonts w:hint="eastAsia"/>
                <w:kern w:val="0"/>
              </w:rPr>
              <w:t>促生长，不过劲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Align w:val="center"/>
          </w:tcPr>
          <w:p>
            <w:pPr>
              <w:pStyle w:val="53"/>
              <w:rPr>
                <w:b/>
                <w:bCs w:val="0"/>
                <w:kern w:val="0"/>
              </w:rPr>
            </w:pPr>
            <w:r>
              <w:rPr>
                <w:rFonts w:hint="eastAsia"/>
                <w:b/>
                <w:bCs w:val="0"/>
                <w:kern w:val="0"/>
              </w:rPr>
              <w:t>肥料种类</w:t>
            </w:r>
          </w:p>
        </w:tc>
        <w:tc>
          <w:tcPr>
            <w:tcW w:w="2285" w:type="dxa"/>
            <w:vAlign w:val="center"/>
          </w:tcPr>
          <w:p>
            <w:pPr>
              <w:pStyle w:val="53"/>
              <w:rPr>
                <w:kern w:val="0"/>
              </w:rPr>
            </w:pPr>
            <w:r>
              <w:rPr>
                <w:rFonts w:hint="eastAsia"/>
                <w:kern w:val="0"/>
              </w:rPr>
              <w:t>有机肥为主，迟效及不易失的化肥</w:t>
            </w:r>
          </w:p>
        </w:tc>
        <w:tc>
          <w:tcPr>
            <w:tcW w:w="2561" w:type="dxa"/>
            <w:vAlign w:val="center"/>
          </w:tcPr>
          <w:p>
            <w:pPr>
              <w:pStyle w:val="53"/>
              <w:rPr>
                <w:kern w:val="0"/>
              </w:rPr>
            </w:pPr>
            <w:r>
              <w:rPr>
                <w:rFonts w:hint="eastAsia"/>
                <w:kern w:val="0"/>
              </w:rPr>
              <w:t>充分腐熟的有机肥，速效化肥</w:t>
            </w:r>
          </w:p>
        </w:tc>
        <w:tc>
          <w:tcPr>
            <w:tcW w:w="2185" w:type="dxa"/>
            <w:vAlign w:val="center"/>
          </w:tcPr>
          <w:p>
            <w:pPr>
              <w:pStyle w:val="53"/>
              <w:rPr>
                <w:kern w:val="0"/>
              </w:rPr>
            </w:pPr>
            <w:r>
              <w:rPr>
                <w:rFonts w:hint="eastAsia"/>
                <w:kern w:val="0"/>
              </w:rPr>
              <w:t>化肥为主，腐熟的有机肥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shd w:val="clear" w:color="auto" w:fill="E2EFD9" w:themeFill="accent6" w:themeFillTint="33"/>
            <w:vAlign w:val="center"/>
          </w:tcPr>
          <w:p>
            <w:pPr>
              <w:pStyle w:val="53"/>
              <w:rPr>
                <w:b/>
                <w:bCs w:val="0"/>
                <w:kern w:val="0"/>
              </w:rPr>
            </w:pPr>
            <w:r>
              <w:rPr>
                <w:rFonts w:hint="eastAsia"/>
                <w:b/>
                <w:bCs w:val="0"/>
                <w:kern w:val="0"/>
              </w:rPr>
              <w:t>施用方法</w:t>
            </w:r>
          </w:p>
        </w:tc>
        <w:tc>
          <w:tcPr>
            <w:tcW w:w="2285" w:type="dxa"/>
            <w:shd w:val="clear" w:color="auto" w:fill="E2EFD9" w:themeFill="accent6" w:themeFillTint="33"/>
            <w:vAlign w:val="center"/>
          </w:tcPr>
          <w:p>
            <w:pPr>
              <w:pStyle w:val="53"/>
              <w:rPr>
                <w:kern w:val="0"/>
              </w:rPr>
            </w:pPr>
            <w:r>
              <w:rPr>
                <w:rFonts w:hint="eastAsia"/>
                <w:kern w:val="0"/>
              </w:rPr>
              <w:t>结合深耕撒施，集中施、条施、穴施</w:t>
            </w:r>
          </w:p>
        </w:tc>
        <w:tc>
          <w:tcPr>
            <w:tcW w:w="2561" w:type="dxa"/>
            <w:shd w:val="clear" w:color="auto" w:fill="E2EFD9" w:themeFill="accent6" w:themeFillTint="33"/>
            <w:vAlign w:val="center"/>
          </w:tcPr>
          <w:p>
            <w:pPr>
              <w:pStyle w:val="53"/>
              <w:rPr>
                <w:kern w:val="0"/>
              </w:rPr>
            </w:pPr>
            <w:r>
              <w:rPr>
                <w:rFonts w:hint="eastAsia"/>
                <w:kern w:val="0"/>
              </w:rPr>
              <w:t>拌种，浸种，沾秧根，穴施</w:t>
            </w:r>
          </w:p>
        </w:tc>
        <w:tc>
          <w:tcPr>
            <w:tcW w:w="2185" w:type="dxa"/>
            <w:shd w:val="clear" w:color="auto" w:fill="E2EFD9" w:themeFill="accent6" w:themeFillTint="33"/>
            <w:vAlign w:val="center"/>
          </w:tcPr>
          <w:p>
            <w:pPr>
              <w:pStyle w:val="53"/>
              <w:rPr>
                <w:rFonts w:hint="eastAsia" w:eastAsia="宋体"/>
                <w:kern w:val="0"/>
                <w:lang w:eastAsia="zh-CN"/>
              </w:rPr>
            </w:pPr>
            <w:r>
              <w:rPr>
                <w:rFonts w:hint="eastAsia"/>
                <w:kern w:val="0"/>
              </w:rPr>
              <w:t>根外追肥，条施、穴施</w:t>
            </w:r>
          </w:p>
        </w:tc>
      </w:tr>
    </w:tbl>
    <w:p>
      <w:pPr>
        <w:ind w:firstLine="482"/>
        <w:rPr>
          <w:b/>
          <w:bCs/>
        </w:rPr>
      </w:pPr>
      <w:r>
        <w:rPr>
          <w:rFonts w:hint="eastAsia"/>
          <w:b/>
          <w:bCs/>
        </w:rPr>
        <w:t>施用注意事项：</w:t>
      </w:r>
    </w:p>
    <w:p>
      <w:pPr>
        <w:ind w:firstLine="480"/>
      </w:pPr>
      <w:r>
        <w:rPr>
          <w:rFonts w:hint="eastAsia"/>
        </w:rPr>
        <w:t>（</w:t>
      </w:r>
      <w:r>
        <w:t>1）要仔细了解微生物菌剂的功能与使用条件，有针对性的使用菌剂。固氮菌只能用于具固氮能力的豆科、牧草等作物，且不同作物所适用的菌种不一样；磷细菌、硅酸盐细菌适用缓效态磷、钾含量丰富的土壤。</w:t>
      </w:r>
    </w:p>
    <w:p>
      <w:pPr>
        <w:ind w:firstLine="480"/>
        <w:rPr>
          <w:rFonts w:hint="eastAsia" w:eastAsia="宋体"/>
          <w:lang w:eastAsia="zh-CN"/>
        </w:rPr>
      </w:pPr>
      <w:r>
        <w:rPr>
          <w:rFonts w:hint="eastAsia"/>
        </w:rPr>
        <w:t>（</w:t>
      </w:r>
      <w:r>
        <w:t>2）有机肥料必须深施入土，防止阳光直接照射杀伤微生物。</w:t>
      </w:r>
    </w:p>
    <w:p>
      <w:pPr>
        <w:ind w:firstLine="480"/>
        <w:rPr>
          <w:rFonts w:hint="eastAsia" w:eastAsia="宋体"/>
          <w:lang w:eastAsia="zh-CN"/>
        </w:rPr>
      </w:pPr>
      <w:r>
        <w:t>（3）有机肥料最好集中使用在作物根部，微生物在作物根系周围形成有益生态环境，促进作物生长。</w:t>
      </w:r>
    </w:p>
    <w:p>
      <w:pPr>
        <w:ind w:firstLine="480"/>
        <w:rPr>
          <w:rFonts w:hint="eastAsia" w:eastAsia="宋体"/>
          <w:lang w:eastAsia="zh-CN"/>
        </w:rPr>
      </w:pPr>
      <w:r>
        <w:t>（4）有机肥料不宜与杀菌剂或其它农药混合使用，以免影响肥效。</w:t>
      </w:r>
    </w:p>
    <w:p>
      <w:pPr>
        <w:ind w:firstLine="480"/>
        <w:rPr>
          <w:rFonts w:hint="eastAsia" w:eastAsia="宋体"/>
          <w:lang w:eastAsia="zh-CN"/>
        </w:rPr>
      </w:pPr>
      <w:r>
        <w:t>（5）微生物肥料适宜施用的时间是清晨和傍晚或无雨阴天这样可以避免阳光中的紫外线将微生物杀死。</w:t>
      </w:r>
    </w:p>
    <w:p>
      <w:pPr>
        <w:ind w:firstLine="480"/>
        <w:rPr>
          <w:rFonts w:hint="eastAsia" w:eastAsia="宋体"/>
          <w:lang w:eastAsia="zh-CN"/>
        </w:rPr>
      </w:pPr>
      <w:r>
        <w:t>（6）微生物肥料应避免高温干旱条件下使用。施用微生物肥料时要注意温、湿度的变化，在高温干旱条件下，微生物生存和繁殖会受到影响，不能充分发挥其作用。</w:t>
      </w:r>
    </w:p>
    <w:p>
      <w:pPr>
        <w:ind w:firstLine="480"/>
        <w:rPr>
          <w:rFonts w:hint="eastAsia" w:eastAsia="宋体"/>
          <w:lang w:eastAsia="zh-CN"/>
        </w:rPr>
      </w:pPr>
      <w:r>
        <w:t>（7）微生物肥料不能长期泡在水中，在水田里施用</w:t>
      </w:r>
      <w:r>
        <w:rPr>
          <w:rFonts w:hint="eastAsia"/>
        </w:rPr>
        <w:t>应干湿灌溉，促进微生物活动。以好气性微生物为主的产品，则尽量不要用在水田。严重干旱的土壤会影响微生物的生长繁殖，微生物肥料适合的土壤含水量为</w:t>
      </w:r>
      <w:r>
        <w:t>50%-70%。</w:t>
      </w:r>
    </w:p>
    <w:p>
      <w:pPr>
        <w:ind w:firstLine="480"/>
        <w:rPr>
          <w:rFonts w:hint="eastAsia" w:eastAsia="宋体"/>
          <w:lang w:eastAsia="zh-CN"/>
        </w:rPr>
      </w:pPr>
      <w:r>
        <w:t>（8）微生物肥料可以单独施用，也可以与其他肥料混合施用。但微生物肥料应避免与未腐熟的农家肥混用。与未腐熟的有机肥混用，会因高温杀死微生物，影响肥效。同时也要注意避免与过酸过碱的肥料混合使用。</w:t>
      </w:r>
    </w:p>
    <w:p>
      <w:pPr>
        <w:ind w:firstLine="480"/>
      </w:pPr>
      <w:r>
        <w:t>（9）微生物肥料应避免与农药同时使用。化学农药都会不同程度地抑制微生物的生长和繁殖，甚至杀死微生物。不能用拌过杀虫剂、杀菌剂的工具装微生物肥料。微生物肥料不宜久放</w:t>
      </w:r>
      <w:r>
        <w:rPr>
          <w:rFonts w:hint="eastAsia"/>
        </w:rPr>
        <w:t>，拆包后要及时施用，一次用完，包装袋打开后，其他菌就可能侵入，使微生物菌群发生改变，影响其使用效果。</w:t>
      </w:r>
    </w:p>
    <w:p>
      <w:pPr>
        <w:ind w:firstLine="480"/>
        <w:rPr>
          <w:rFonts w:hint="eastAsia" w:eastAsia="宋体"/>
          <w:lang w:eastAsia="zh-CN"/>
        </w:rPr>
      </w:pPr>
      <w:r>
        <w:rPr>
          <w:rFonts w:hint="eastAsia"/>
        </w:rPr>
        <w:t>（</w:t>
      </w:r>
      <w:r>
        <w:t>10）避免盲目施用微生物肥料。微生物肥料主要是提供有益的微生物群落，而不是以提供矿质营养养分为主，因此微生物肥料不可能完全代替常用肥料。</w:t>
      </w:r>
    </w:p>
    <w:p>
      <w:pPr>
        <w:ind w:firstLine="480"/>
      </w:pPr>
      <w:r>
        <w:t>（11）注意微生物肥料的肥效条件。微生物肥料肥效的发挥既受其自身因素的影响，如肥料中所含有效菌数、活性大小等质量因素；又受到外界其他因子的制约，如土壤水分、有机质、pH值等影响，因此微生物肥料从选择到应用都应注意合理性。</w:t>
      </w:r>
    </w:p>
    <w:p>
      <w:pPr>
        <w:pStyle w:val="7"/>
      </w:pPr>
      <w:bookmarkStart w:id="969" w:name="_Toc117182030"/>
      <w:bookmarkStart w:id="970" w:name="_Toc105600283"/>
      <w:bookmarkStart w:id="971" w:name="_Toc7581"/>
      <w:bookmarkStart w:id="972" w:name="_Toc118293354"/>
      <w:r>
        <w:rPr>
          <w:rFonts w:hint="eastAsia"/>
          <w:lang w:eastAsia="zh-CN"/>
        </w:rPr>
        <w:t>（</w:t>
      </w:r>
      <w:r>
        <w:rPr>
          <w:rFonts w:hint="eastAsia"/>
          <w:lang w:val="en-US" w:eastAsia="zh-CN"/>
        </w:rPr>
        <w:t>三</w:t>
      </w:r>
      <w:r>
        <w:rPr>
          <w:rFonts w:hint="eastAsia"/>
          <w:lang w:eastAsia="zh-CN"/>
        </w:rPr>
        <w:t>）</w:t>
      </w:r>
      <w:r>
        <w:rPr>
          <w:rFonts w:hint="eastAsia"/>
        </w:rPr>
        <w:t>肥料的使用原理</w:t>
      </w:r>
      <w:bookmarkEnd w:id="969"/>
      <w:bookmarkEnd w:id="970"/>
      <w:bookmarkEnd w:id="971"/>
      <w:bookmarkEnd w:id="972"/>
    </w:p>
    <w:p>
      <w:pPr>
        <w:ind w:firstLine="562" w:firstLineChars="200"/>
        <w:rPr>
          <w:b/>
          <w:bCs/>
        </w:rPr>
      </w:pPr>
      <w:r>
        <w:rPr>
          <w:rFonts w:hint="eastAsia"/>
          <w:b/>
          <w:bCs/>
          <w:lang w:eastAsia="zh-CN"/>
        </w:rPr>
        <w:t>（</w:t>
      </w:r>
      <w:r>
        <w:rPr>
          <w:rFonts w:hint="eastAsia"/>
          <w:b/>
          <w:bCs/>
          <w:lang w:val="en-US" w:eastAsia="zh-CN"/>
        </w:rPr>
        <w:t>一</w:t>
      </w:r>
      <w:r>
        <w:rPr>
          <w:rFonts w:hint="eastAsia"/>
          <w:b/>
          <w:bCs/>
          <w:lang w:eastAsia="zh-CN"/>
        </w:rPr>
        <w:t>）</w:t>
      </w:r>
      <w:r>
        <w:rPr>
          <w:rFonts w:hint="eastAsia"/>
          <w:b/>
          <w:bCs/>
        </w:rPr>
        <w:t>养分归还学说</w:t>
      </w:r>
    </w:p>
    <w:p>
      <w:pPr>
        <w:ind w:firstLine="560" w:firstLineChars="200"/>
      </w:pPr>
      <w:r>
        <w:rPr>
          <w:rFonts w:hint="eastAsia"/>
        </w:rPr>
        <w:t>1、主要要点</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eastAsia="zh-CN"/>
        </w:rPr>
        <w:t>（</w:t>
      </w:r>
      <w:r>
        <w:rPr>
          <w:rFonts w:hint="eastAsia"/>
        </w:rPr>
        <w:t>1</w:t>
      </w:r>
      <w:r>
        <w:rPr>
          <w:rFonts w:hint="eastAsia"/>
          <w:lang w:eastAsia="zh-CN"/>
        </w:rPr>
        <w:t>）</w:t>
      </w:r>
      <w:r>
        <w:rPr>
          <w:rFonts w:hint="eastAsia"/>
        </w:rPr>
        <w:t>随着作物的每次收获必然要从土壤中去走大量养分：</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eastAsia="zh-CN"/>
        </w:rPr>
        <w:t>（</w:t>
      </w:r>
      <w:r>
        <w:rPr>
          <w:rFonts w:hint="eastAsia"/>
        </w:rPr>
        <w:t>2</w:t>
      </w:r>
      <w:r>
        <w:rPr>
          <w:rFonts w:hint="eastAsia"/>
          <w:lang w:eastAsia="zh-CN"/>
        </w:rPr>
        <w:t>）</w:t>
      </w:r>
      <w:r>
        <w:rPr>
          <w:rFonts w:hint="eastAsia"/>
        </w:rPr>
        <w:t>如果不正确的归还养分给土壤，地力必然会逐渐下降：</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eastAsia="zh-CN"/>
        </w:rPr>
        <w:t>（</w:t>
      </w:r>
      <w:r>
        <w:rPr>
          <w:rFonts w:hint="eastAsia"/>
        </w:rPr>
        <w:t>3</w:t>
      </w:r>
      <w:r>
        <w:rPr>
          <w:rFonts w:hint="eastAsia"/>
          <w:lang w:eastAsia="zh-CN"/>
        </w:rPr>
        <w:t>）</w:t>
      </w:r>
      <w:r>
        <w:rPr>
          <w:rFonts w:hint="eastAsia"/>
        </w:rPr>
        <w:t>要想恢复地力就必须归还从土壤中取走的全部东西：</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eastAsia="zh-CN"/>
        </w:rPr>
        <w:t>（</w:t>
      </w:r>
      <w:r>
        <w:rPr>
          <w:rFonts w:hint="eastAsia"/>
        </w:rPr>
        <w:t>4</w:t>
      </w:r>
      <w:r>
        <w:rPr>
          <w:rFonts w:hint="eastAsia"/>
          <w:lang w:eastAsia="zh-CN"/>
        </w:rPr>
        <w:t>）</w:t>
      </w:r>
      <w:r>
        <w:rPr>
          <w:rFonts w:hint="eastAsia"/>
        </w:rPr>
        <w:t>为了增加作物产量就必须以施肥方式补充植物从土壤中取走的养分。</w:t>
      </w:r>
    </w:p>
    <w:p>
      <w:pPr>
        <w:keepNext w:val="0"/>
        <w:keepLines w:val="0"/>
        <w:pageBreakBefore w:val="0"/>
        <w:widowControl w:val="0"/>
        <w:kinsoku/>
        <w:wordWrap/>
        <w:overflowPunct/>
        <w:topLinePunct w:val="0"/>
        <w:autoSpaceDE/>
        <w:autoSpaceDN/>
        <w:bidi w:val="0"/>
        <w:adjustRightInd w:val="0"/>
        <w:snapToGrid w:val="0"/>
        <w:ind w:left="0" w:leftChars="0" w:firstLine="562" w:firstLineChars="200"/>
        <w:textAlignment w:val="auto"/>
      </w:pPr>
      <w:r>
        <w:rPr>
          <w:rFonts w:hint="eastAsia"/>
          <w:b/>
          <w:bCs/>
        </w:rPr>
        <w:t>作用：</w:t>
      </w:r>
      <w:r>
        <w:rPr>
          <w:rFonts w:hint="eastAsia"/>
        </w:rPr>
        <w:t>保持土壤原有的基础肥力水平通过合理施肥，改良土壤，培肥地力，适应作物高产。</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通过合理施肥，改良土壤，培肥地力，适应作物高产。</w:t>
      </w:r>
    </w:p>
    <w:p>
      <w:pPr>
        <w:ind w:firstLine="560" w:firstLineChars="200"/>
        <w:rPr>
          <w:rFonts w:hint="eastAsia"/>
        </w:rPr>
      </w:pPr>
      <w:r>
        <w:rPr>
          <w:rFonts w:hint="eastAsia"/>
        </w:rPr>
        <w:t>2、同等重要律与不可替代律</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eastAsia="zh-CN"/>
        </w:rPr>
        <w:t>（</w:t>
      </w:r>
      <w:r>
        <w:rPr>
          <w:rFonts w:hint="eastAsia"/>
        </w:rPr>
        <w:t>1</w:t>
      </w:r>
      <w:r>
        <w:rPr>
          <w:rFonts w:hint="eastAsia"/>
          <w:lang w:eastAsia="zh-CN"/>
        </w:rPr>
        <w:t>）</w:t>
      </w:r>
      <w:r>
        <w:rPr>
          <w:rFonts w:hint="eastAsia"/>
        </w:rPr>
        <w:t>植物所需的16种元素在植物体内含量差别很大，但对于植物的生长发育都是同等重要的；</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eastAsia="zh-CN"/>
        </w:rPr>
        <w:t>（</w:t>
      </w:r>
      <w:r>
        <w:rPr>
          <w:rFonts w:hint="eastAsia"/>
        </w:rPr>
        <w:t>2</w:t>
      </w:r>
      <w:r>
        <w:rPr>
          <w:rFonts w:hint="eastAsia"/>
          <w:lang w:eastAsia="zh-CN"/>
        </w:rPr>
        <w:t>）</w:t>
      </w:r>
      <w:r>
        <w:rPr>
          <w:rFonts w:hint="eastAsia"/>
        </w:rPr>
        <w:t>植物缺少必须元素的任何一种只能通过补充该元素来纠正植物的缺素症状，任何元素都不能代替该元素在植物体内的特定作用。</w:t>
      </w:r>
    </w:p>
    <w:p>
      <w:pPr>
        <w:ind w:firstLine="560" w:firstLineChars="200"/>
        <w:rPr>
          <w:rFonts w:hint="eastAsia"/>
        </w:rPr>
      </w:pPr>
      <w:r>
        <w:rPr>
          <w:rFonts w:hint="eastAsia"/>
        </w:rPr>
        <w:t>3、最小养分律</w:t>
      </w:r>
    </w:p>
    <w:p>
      <w:pPr>
        <w:keepNext w:val="0"/>
        <w:keepLines w:val="0"/>
        <w:pageBreakBefore w:val="0"/>
        <w:widowControl w:val="0"/>
        <w:kinsoku/>
        <w:wordWrap/>
        <w:overflowPunct/>
        <w:topLinePunct w:val="0"/>
        <w:autoSpaceDE/>
        <w:autoSpaceDN/>
        <w:bidi w:val="0"/>
        <w:adjustRightInd w:val="0"/>
        <w:snapToGrid w:val="0"/>
        <w:ind w:left="0" w:leftChars="0" w:firstLine="562" w:firstLineChars="200"/>
        <w:textAlignment w:val="auto"/>
        <w:rPr>
          <w:b/>
          <w:bCs/>
        </w:rPr>
      </w:pPr>
      <w:r>
        <w:rPr>
          <w:rFonts w:hint="eastAsia"/>
          <w:b/>
          <w:bCs/>
        </w:rPr>
        <w:t>内容:</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植物为了生长发育需吸收各种养分，但是决定和限制作物产量的却是土壤中那个相对含量最小的营养元素，产量也在-定限度内随着这个元素含量的增减而相应的变化。</w:t>
      </w:r>
    </w:p>
    <w:p>
      <w:pPr>
        <w:keepNext w:val="0"/>
        <w:keepLines w:val="0"/>
        <w:pageBreakBefore w:val="0"/>
        <w:widowControl w:val="0"/>
        <w:kinsoku/>
        <w:wordWrap/>
        <w:overflowPunct/>
        <w:topLinePunct w:val="0"/>
        <w:autoSpaceDE/>
        <w:autoSpaceDN/>
        <w:bidi w:val="0"/>
        <w:adjustRightInd w:val="0"/>
        <w:snapToGrid w:val="0"/>
        <w:ind w:left="0" w:leftChars="0" w:firstLine="562" w:firstLineChars="200"/>
        <w:textAlignment w:val="auto"/>
        <w:rPr>
          <w:b/>
          <w:bCs/>
        </w:rPr>
      </w:pPr>
      <w:r>
        <w:rPr>
          <w:rFonts w:hint="eastAsia"/>
          <w:b/>
          <w:bCs/>
        </w:rPr>
        <w:t>要点:</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eastAsia="zh-CN"/>
        </w:rPr>
        <w:t>（</w:t>
      </w:r>
      <w:r>
        <w:rPr>
          <w:rFonts w:hint="eastAsia"/>
        </w:rPr>
        <w:t>1</w:t>
      </w:r>
      <w:r>
        <w:rPr>
          <w:rFonts w:hint="eastAsia"/>
          <w:lang w:eastAsia="zh-CN"/>
        </w:rPr>
        <w:t>）</w:t>
      </w:r>
      <w:r>
        <w:rPr>
          <w:rFonts w:hint="eastAsia"/>
        </w:rPr>
        <w:t>决定作物产量的是土壤中某种对作物来说相对含量最少而非绝对含量最少的养分。</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eastAsia="zh-CN"/>
        </w:rPr>
        <w:t>（</w:t>
      </w:r>
      <w:r>
        <w:rPr>
          <w:rFonts w:hint="eastAsia"/>
        </w:rPr>
        <w:t>2</w:t>
      </w:r>
      <w:r>
        <w:rPr>
          <w:rFonts w:hint="eastAsia"/>
          <w:lang w:eastAsia="zh-CN"/>
        </w:rPr>
        <w:t>）</w:t>
      </w:r>
      <w:r>
        <w:rPr>
          <w:rFonts w:hint="eastAsia"/>
        </w:rPr>
        <w:t>最小养分不是固定不变的，而是随条件而变的。</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eastAsia="zh-CN"/>
        </w:rPr>
        <w:t>（</w:t>
      </w:r>
      <w:r>
        <w:rPr>
          <w:rFonts w:hint="eastAsia"/>
        </w:rPr>
        <w:t>3</w:t>
      </w:r>
      <w:r>
        <w:rPr>
          <w:rFonts w:hint="eastAsia"/>
          <w:lang w:eastAsia="zh-CN"/>
        </w:rPr>
        <w:t>）</w:t>
      </w:r>
      <w:r>
        <w:rPr>
          <w:rFonts w:hint="eastAsia"/>
        </w:rPr>
        <w:t>继续增加最小养分以外的其他养分，不但难以提高产量，而且还会降低施肥的经济效益</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比如偏施氮肥能诱发番茄脐腐病和草果苦痘病。</w:t>
      </w:r>
    </w:p>
    <w:p>
      <w:pPr>
        <w:ind w:firstLine="560" w:firstLineChars="200"/>
        <w:rPr>
          <w:rFonts w:hint="eastAsia"/>
        </w:rPr>
      </w:pPr>
      <w:r>
        <w:rPr>
          <w:rFonts w:hint="eastAsia"/>
        </w:rPr>
        <w:t>4、报酬递减律</w:t>
      </w:r>
    </w:p>
    <w:p>
      <w:pPr>
        <w:keepNext w:val="0"/>
        <w:keepLines w:val="0"/>
        <w:pageBreakBefore w:val="0"/>
        <w:widowControl w:val="0"/>
        <w:kinsoku/>
        <w:wordWrap/>
        <w:overflowPunct/>
        <w:topLinePunct w:val="0"/>
        <w:autoSpaceDE/>
        <w:autoSpaceDN/>
        <w:bidi w:val="0"/>
        <w:adjustRightInd w:val="0"/>
        <w:snapToGrid w:val="0"/>
        <w:ind w:left="0" w:leftChars="0" w:firstLine="562" w:firstLineChars="200"/>
        <w:textAlignment w:val="auto"/>
        <w:rPr>
          <w:b/>
          <w:bCs/>
        </w:rPr>
      </w:pPr>
      <w:r>
        <w:rPr>
          <w:rFonts w:hint="eastAsia"/>
          <w:b/>
          <w:bCs/>
        </w:rPr>
        <w:t>内容:</w:t>
      </w:r>
    </w:p>
    <w:p>
      <w:pPr>
        <w:pStyle w:val="55"/>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560" w:firstLineChars="200"/>
        <w:textAlignment w:val="auto"/>
      </w:pPr>
      <w:r>
        <w:rPr>
          <w:rFonts w:hint="eastAsia"/>
          <w:lang w:eastAsia="zh-CN"/>
        </w:rPr>
        <w:t>（</w:t>
      </w:r>
      <w:r>
        <w:rPr>
          <w:rFonts w:hint="eastAsia"/>
          <w:lang w:val="en-US" w:eastAsia="zh-CN"/>
        </w:rPr>
        <w:t>1</w:t>
      </w:r>
      <w:r>
        <w:rPr>
          <w:rFonts w:hint="eastAsia"/>
          <w:lang w:eastAsia="zh-CN"/>
        </w:rPr>
        <w:t>）</w:t>
      </w:r>
      <w:r>
        <w:rPr>
          <w:rFonts w:hint="eastAsia"/>
        </w:rPr>
        <w:t>在其他技术条件相对稳定的前提条件下，随着施肥量的逐渐增加，作物产量也随之增加，但作物的增产量却随施肥量的增加而呈递减趋势。</w:t>
      </w:r>
    </w:p>
    <w:p>
      <w:pPr>
        <w:pStyle w:val="55"/>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560" w:firstLineChars="200"/>
        <w:textAlignment w:val="auto"/>
      </w:pPr>
      <w:r>
        <w:rPr>
          <w:rFonts w:hint="eastAsia"/>
          <w:lang w:eastAsia="zh-CN"/>
        </w:rPr>
        <w:t>（</w:t>
      </w:r>
      <w:r>
        <w:rPr>
          <w:rFonts w:hint="eastAsia"/>
          <w:lang w:val="en-US" w:eastAsia="zh-CN"/>
        </w:rPr>
        <w:t>2</w:t>
      </w:r>
      <w:r>
        <w:rPr>
          <w:rFonts w:hint="eastAsia"/>
          <w:lang w:eastAsia="zh-CN"/>
        </w:rPr>
        <w:t>）</w:t>
      </w:r>
      <w:r>
        <w:rPr>
          <w:rFonts w:hint="eastAsia"/>
        </w:rPr>
        <w:t>作物产量与施肥量不是直线增长关系，而是曲线关系。</w:t>
      </w:r>
    </w:p>
    <w:p>
      <w:pPr>
        <w:pStyle w:val="55"/>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560" w:firstLineChars="200"/>
        <w:textAlignment w:val="auto"/>
      </w:pPr>
      <w:r>
        <w:rPr>
          <w:rFonts w:hint="eastAsia"/>
          <w:lang w:eastAsia="zh-CN"/>
        </w:rPr>
        <w:t>（</w:t>
      </w:r>
      <w:r>
        <w:rPr>
          <w:rFonts w:hint="eastAsia"/>
          <w:lang w:val="en-US" w:eastAsia="zh-CN"/>
        </w:rPr>
        <w:t>3</w:t>
      </w:r>
      <w:r>
        <w:rPr>
          <w:rFonts w:hint="eastAsia"/>
          <w:lang w:eastAsia="zh-CN"/>
        </w:rPr>
        <w:t>）</w:t>
      </w:r>
      <w:r>
        <w:rPr>
          <w:rFonts w:hint="eastAsia"/>
        </w:rPr>
        <w:t>配方施肥就是根据作物对肥料的效应曲线，确定获得最大经济效益的施肥量，谋求经济合理施肥。</w:t>
      </w:r>
    </w:p>
    <w:p>
      <w:pPr>
        <w:ind w:firstLine="560" w:firstLineChars="200"/>
        <w:rPr>
          <w:rFonts w:hint="eastAsia"/>
        </w:rPr>
      </w:pPr>
      <w:r>
        <w:rPr>
          <w:rFonts w:hint="eastAsia"/>
        </w:rPr>
        <w:t>5、因子综合作用律</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其主要内容:作物丰产是影响作物生长发育的各种因子，如水分、养分、光照、温度、空气、品种以及耕作条件等综合作用的结果，其中必然有一个其主导作用的限制因子、产量也在一定程度上受该限制因子的制约。</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jc w:val="left"/>
        <w:textAlignment w:val="auto"/>
      </w:pPr>
      <w:r>
        <w:rPr>
          <w:rFonts w:hint="eastAsia"/>
        </w:rPr>
        <w:t>为了充分发挥肥料的增产作用和提高肥料的经济效益，一方面施肥措施必须与其他农业技术措施密切配合:另一方面各种养分要配合施用以使各养分元素之间比例协调，维持作物体内的营养平衡。如施肥和灌溉结合，可以同时提高肥料和灌溉的经济效益。起到“以肥调水”和“以水调肥”的良好效果</w:t>
      </w:r>
    </w:p>
    <w:p>
      <w:pPr>
        <w:ind w:firstLine="562" w:firstLineChars="200"/>
        <w:rPr>
          <w:rFonts w:hint="eastAsia"/>
          <w:b/>
          <w:bCs/>
        </w:rPr>
      </w:pPr>
      <w:r>
        <w:rPr>
          <w:rFonts w:hint="eastAsia"/>
          <w:b/>
          <w:bCs/>
          <w:lang w:eastAsia="zh-CN"/>
        </w:rPr>
        <w:t>（</w:t>
      </w:r>
      <w:r>
        <w:rPr>
          <w:rFonts w:hint="eastAsia"/>
          <w:b/>
          <w:bCs/>
          <w:lang w:val="en-US" w:eastAsia="zh-CN"/>
        </w:rPr>
        <w:t>二</w:t>
      </w:r>
      <w:r>
        <w:rPr>
          <w:rFonts w:hint="eastAsia"/>
          <w:b/>
          <w:bCs/>
          <w:lang w:eastAsia="zh-CN"/>
        </w:rPr>
        <w:t>）</w:t>
      </w:r>
      <w:r>
        <w:rPr>
          <w:rFonts w:hint="eastAsia"/>
          <w:b/>
          <w:bCs/>
        </w:rPr>
        <w:t>肥料的合理使用原则</w:t>
      </w:r>
    </w:p>
    <w:p>
      <w:pPr>
        <w:ind w:firstLine="560" w:firstLineChars="200"/>
        <w:rPr>
          <w:rFonts w:hint="eastAsia"/>
        </w:rPr>
      </w:pPr>
      <w:r>
        <w:rPr>
          <w:rFonts w:hint="eastAsia"/>
          <w:lang w:val="en-US" w:eastAsia="zh-CN"/>
        </w:rPr>
        <w:t>1、</w:t>
      </w:r>
      <w:r>
        <w:rPr>
          <w:rFonts w:hint="eastAsia"/>
        </w:rPr>
        <w:t>作物的营养特性与施肥</w:t>
      </w:r>
    </w:p>
    <w:p>
      <w:pPr>
        <w:keepNext w:val="0"/>
        <w:keepLines w:val="0"/>
        <w:pageBreakBefore w:val="0"/>
        <w:widowControl w:val="0"/>
        <w:kinsoku/>
        <w:wordWrap/>
        <w:overflowPunct/>
        <w:topLinePunct w:val="0"/>
        <w:autoSpaceDE/>
        <w:autoSpaceDN/>
        <w:bidi w:val="0"/>
        <w:adjustRightInd w:val="0"/>
        <w:snapToGrid w:val="0"/>
        <w:ind w:left="0" w:leftChars="0" w:firstLine="562" w:firstLineChars="200"/>
        <w:textAlignment w:val="auto"/>
        <w:rPr>
          <w:b/>
          <w:bCs/>
        </w:rPr>
      </w:pPr>
      <w:r>
        <w:rPr>
          <w:rFonts w:hint="eastAsia"/>
          <w:b/>
          <w:bCs/>
          <w:lang w:eastAsia="zh-CN"/>
        </w:rPr>
        <w:t>（</w:t>
      </w:r>
      <w:r>
        <w:rPr>
          <w:rFonts w:hint="eastAsia"/>
          <w:b/>
          <w:bCs/>
          <w:lang w:val="en-US" w:eastAsia="zh-CN"/>
        </w:rPr>
        <w:t>1</w:t>
      </w:r>
      <w:r>
        <w:rPr>
          <w:rFonts w:hint="eastAsia"/>
          <w:b/>
          <w:bCs/>
          <w:lang w:eastAsia="zh-CN"/>
        </w:rPr>
        <w:t>）</w:t>
      </w:r>
      <w:r>
        <w:rPr>
          <w:rFonts w:hint="eastAsia"/>
          <w:b/>
          <w:bCs/>
        </w:rPr>
        <w:t>作物必需的营养元素</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植物生长发育都需要16种必需的营养元素，即破、氢、氧、氮、磷、钾、钙、铁、破、铁、硼、锰、铜、锌、铝和氯，这是共性。每种元素在植物体内都有自己的生理功能，不能被其他元素所代替，具有同等重要性。任何.种元素缺乏都会阻碍作物生长发育，严重时甚至不能完成其生命周期。因此，在生产实践中，必须满足作物对各种营养元素的需要，对于作物来说，每一种元素都是其需要的肥料。</w:t>
      </w:r>
    </w:p>
    <w:p>
      <w:pPr>
        <w:keepNext w:val="0"/>
        <w:keepLines w:val="0"/>
        <w:pageBreakBefore w:val="0"/>
        <w:widowControl w:val="0"/>
        <w:kinsoku/>
        <w:wordWrap/>
        <w:overflowPunct/>
        <w:topLinePunct w:val="0"/>
        <w:autoSpaceDE/>
        <w:autoSpaceDN/>
        <w:bidi w:val="0"/>
        <w:adjustRightInd w:val="0"/>
        <w:snapToGrid w:val="0"/>
        <w:ind w:left="0" w:leftChars="0" w:firstLine="562" w:firstLineChars="200"/>
        <w:textAlignment w:val="auto"/>
        <w:rPr>
          <w:b/>
          <w:bCs/>
        </w:rPr>
      </w:pPr>
      <w:r>
        <w:rPr>
          <w:rFonts w:hint="eastAsia"/>
          <w:b/>
          <w:bCs/>
          <w:lang w:eastAsia="zh-CN"/>
        </w:rPr>
        <w:t>（</w:t>
      </w:r>
      <w:r>
        <w:rPr>
          <w:rFonts w:hint="eastAsia"/>
          <w:b/>
          <w:bCs/>
          <w:lang w:val="en-US" w:eastAsia="zh-CN"/>
        </w:rPr>
        <w:t>2</w:t>
      </w:r>
      <w:r>
        <w:rPr>
          <w:rFonts w:hint="eastAsia"/>
          <w:b/>
          <w:bCs/>
          <w:lang w:eastAsia="zh-CN"/>
        </w:rPr>
        <w:t>）</w:t>
      </w:r>
      <w:r>
        <w:rPr>
          <w:rFonts w:hint="eastAsia"/>
          <w:b/>
          <w:bCs/>
        </w:rPr>
        <w:t>作物对营养元素需求的特殊性</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有一些作物除了需要的16种元素外，还需要其他的有益元素，如:</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硅是水稻生长发育不可缺少的元素，所以水稻需要硅肥；钠对糖用甜菜及某些蔬菜的生长有良好的促进作用；钴是豆科植物共生固氮所必需的；喜酸性土壤的茶树体中含有较多的铝，土壤中活性铝低时茶树生长不良。</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不同作物对营养元素需求的比例也不同。如:块基块根类作物需要较多的钾；互科植物对磷、钟的需要量比般作物多，同时也是喜钙作物；叶用蔬菜、茶、桑等叶用作物需要较多的氮；棉、麻等纤维作物则需要较多的氯；油菜、甜菜需要较多的硼；而马铃薯、葡萄、柑橘等忌氯作物则不应施含氯化肥。</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各种作物对营养元素需求的形态也不同。比如说，水稻喜欢铵态氮肥，蔬菜喜欢硝态氮肥。</w:t>
      </w:r>
    </w:p>
    <w:p>
      <w:pPr>
        <w:keepNext w:val="0"/>
        <w:keepLines w:val="0"/>
        <w:pageBreakBefore w:val="0"/>
        <w:widowControl w:val="0"/>
        <w:kinsoku/>
        <w:wordWrap/>
        <w:overflowPunct/>
        <w:topLinePunct w:val="0"/>
        <w:autoSpaceDE/>
        <w:autoSpaceDN/>
        <w:bidi w:val="0"/>
        <w:adjustRightInd w:val="0"/>
        <w:snapToGrid w:val="0"/>
        <w:ind w:left="0" w:leftChars="0" w:firstLine="562" w:firstLineChars="200"/>
        <w:textAlignment w:val="auto"/>
        <w:rPr>
          <w:b/>
          <w:bCs/>
        </w:rPr>
      </w:pPr>
      <w:r>
        <w:rPr>
          <w:rFonts w:hint="eastAsia"/>
          <w:b/>
          <w:bCs/>
          <w:lang w:eastAsia="zh-CN"/>
        </w:rPr>
        <w:t>（</w:t>
      </w:r>
      <w:r>
        <w:rPr>
          <w:rFonts w:hint="eastAsia"/>
          <w:b/>
          <w:bCs/>
          <w:lang w:val="en-US" w:eastAsia="zh-CN"/>
        </w:rPr>
        <w:t>3</w:t>
      </w:r>
      <w:r>
        <w:rPr>
          <w:rFonts w:hint="eastAsia"/>
          <w:b/>
          <w:bCs/>
          <w:lang w:eastAsia="zh-CN"/>
        </w:rPr>
        <w:t>）</w:t>
      </w:r>
      <w:r>
        <w:rPr>
          <w:rFonts w:hint="eastAsia"/>
          <w:b/>
          <w:bCs/>
        </w:rPr>
        <w:t>作物营养需求的阶段性</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作物的营养期中，有两个关键时期:</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1</w:t>
      </w:r>
      <w:r>
        <w:rPr>
          <w:rFonts w:hint="eastAsia"/>
          <w:lang w:eastAsia="zh-CN"/>
        </w:rPr>
        <w:t>）</w:t>
      </w:r>
      <w:r>
        <w:rPr>
          <w:rFonts w:hint="eastAsia"/>
        </w:rPr>
        <w:t>作物营养临界期</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此时期是作物对某种养分需求十分迫切，养分元素缺乏、</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过多或者养分元素间比例失调对作物生长发育产生严重影响的时期。在作物营养临界期，作物对养分要求的数量并不多，但很迫切，如果在作物营养临界期发生营养障碍，即使以后恢复正常营养，也难以挽回损失。一般地，作物在生长初期对外界环境比较敏感，所以作物营养临界期多出现在生育前期。</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2）作物营养最大效率期</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即某种养分对作物能发挥最大增产效率的时期。一般在作物生长旺盛的时期，作物吸收能力最强，对养分的需求量和吸收量都很多，施肥的增产效果也最为显著。</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例如，作物氮素营养最大效率期；小麦在拔节至抽穗期；玉米在大喇叭口至抽雄初期；棉花在开花至盛铃期。</w:t>
      </w:r>
    </w:p>
    <w:p>
      <w:pPr>
        <w:keepNext w:val="0"/>
        <w:keepLines w:val="0"/>
        <w:pageBreakBefore w:val="0"/>
        <w:widowControl w:val="0"/>
        <w:kinsoku/>
        <w:wordWrap/>
        <w:overflowPunct/>
        <w:topLinePunct w:val="0"/>
        <w:autoSpaceDE/>
        <w:autoSpaceDN/>
        <w:bidi w:val="0"/>
        <w:adjustRightInd w:val="0"/>
        <w:snapToGrid w:val="0"/>
        <w:ind w:left="0" w:leftChars="0" w:firstLine="562" w:firstLineChars="200"/>
        <w:textAlignment w:val="auto"/>
        <w:rPr>
          <w:b/>
          <w:bCs/>
        </w:rPr>
      </w:pPr>
      <w:r>
        <w:rPr>
          <w:rFonts w:hint="eastAsia"/>
          <w:b/>
          <w:bCs/>
          <w:lang w:eastAsia="zh-CN"/>
        </w:rPr>
        <w:t>（</w:t>
      </w:r>
      <w:r>
        <w:rPr>
          <w:rFonts w:hint="eastAsia"/>
          <w:b/>
          <w:bCs/>
          <w:lang w:val="en-US" w:eastAsia="zh-CN"/>
        </w:rPr>
        <w:t>4</w:t>
      </w:r>
      <w:r>
        <w:rPr>
          <w:rFonts w:hint="eastAsia"/>
          <w:b/>
          <w:bCs/>
          <w:lang w:eastAsia="zh-CN"/>
        </w:rPr>
        <w:t>）</w:t>
      </w:r>
      <w:r>
        <w:rPr>
          <w:rFonts w:hint="eastAsia"/>
          <w:b/>
          <w:bCs/>
        </w:rPr>
        <w:t>作物的根部营养特点</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大多数植物的根系部分在离地0~40厘米以内，按照根系分布的特点，在施肥中深、浅结合，有利于作物吸收养分和充分发挥肥效。如小麦、水稻根系主要分布在0-</w:t>
      </w:r>
      <w:r>
        <w:t>20</w:t>
      </w:r>
      <w:r>
        <w:rPr>
          <w:rFonts w:hint="eastAsia"/>
        </w:rPr>
        <w:t>厘米的土层内，而棉花的根系却多分布在0-</w:t>
      </w:r>
      <w:r>
        <w:t>40</w:t>
      </w:r>
      <w:r>
        <w:rPr>
          <w:rFonts w:hint="eastAsia"/>
        </w:rPr>
        <w:t>厘米的土层中，因此，小麦和水稻的基肥就应比棉花施得浅一些。</w:t>
      </w:r>
    </w:p>
    <w:p>
      <w:pPr>
        <w:keepNext w:val="0"/>
        <w:keepLines w:val="0"/>
        <w:pageBreakBefore w:val="0"/>
        <w:widowControl w:val="0"/>
        <w:kinsoku/>
        <w:wordWrap/>
        <w:overflowPunct/>
        <w:topLinePunct w:val="0"/>
        <w:autoSpaceDE/>
        <w:autoSpaceDN/>
        <w:bidi w:val="0"/>
        <w:adjustRightInd w:val="0"/>
        <w:snapToGrid w:val="0"/>
        <w:ind w:left="0" w:leftChars="0" w:firstLine="562" w:firstLineChars="200"/>
        <w:textAlignment w:val="auto"/>
        <w:rPr>
          <w:b/>
          <w:bCs/>
        </w:rPr>
      </w:pPr>
      <w:r>
        <w:rPr>
          <w:rFonts w:hint="eastAsia"/>
          <w:b/>
          <w:bCs/>
          <w:lang w:eastAsia="zh-CN"/>
        </w:rPr>
        <w:t>（</w:t>
      </w:r>
      <w:r>
        <w:rPr>
          <w:rFonts w:hint="eastAsia"/>
          <w:b/>
          <w:bCs/>
          <w:lang w:val="en-US" w:eastAsia="zh-CN"/>
        </w:rPr>
        <w:t>5</w:t>
      </w:r>
      <w:r>
        <w:rPr>
          <w:rFonts w:hint="eastAsia"/>
          <w:b/>
          <w:bCs/>
          <w:lang w:eastAsia="zh-CN"/>
        </w:rPr>
        <w:t>）</w:t>
      </w:r>
      <w:r>
        <w:rPr>
          <w:rFonts w:hint="eastAsia"/>
          <w:b/>
          <w:bCs/>
        </w:rPr>
        <w:t>作物的根外营养特点</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植物除通过根系吸收养分外，还可以通过叶部吸收养分。</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作物根外营养，一是可以防止养分在土壤中被固定，如铜、锰、铁、锌等，叶面喷施效果更好；</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二叶部对养分吸收和转化比根部快，能及时满足植物对养分的需要，尤其是在根部营养受阻的情况下</w:t>
      </w:r>
      <w:r>
        <w:rPr>
          <w:rFonts w:hint="eastAsia"/>
          <w:lang w:eastAsia="zh-CN"/>
        </w:rPr>
        <w:t>（</w:t>
      </w:r>
      <w:r>
        <w:rPr>
          <w:rFonts w:hint="eastAsia"/>
        </w:rPr>
        <w:t>如长期水淹、干旱等</w:t>
      </w:r>
      <w:r>
        <w:rPr>
          <w:rFonts w:hint="eastAsia"/>
          <w:lang w:eastAsia="zh-CN"/>
        </w:rPr>
        <w:t>）</w:t>
      </w:r>
      <w:r>
        <w:rPr>
          <w:rFonts w:hint="eastAsia"/>
        </w:rPr>
        <w:t>，通过叶部营养进行及时补教；</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三在作物生长后期，根系由于衰老而吸收能力下降，通过叶部营养能有效的促进灌浆和籽粒饱满而增产。</w:t>
      </w:r>
    </w:p>
    <w:p>
      <w:pPr>
        <w:ind w:firstLine="560" w:firstLineChars="200"/>
        <w:rPr>
          <w:rFonts w:hint="eastAsia"/>
        </w:rPr>
      </w:pPr>
      <w:r>
        <w:rPr>
          <w:rFonts w:hint="eastAsia"/>
          <w:lang w:val="en-US" w:eastAsia="zh-CN"/>
        </w:rPr>
        <w:t>2、</w:t>
      </w:r>
      <w:r>
        <w:rPr>
          <w:rFonts w:hint="eastAsia"/>
        </w:rPr>
        <w:t>土壤条件与合理施肥</w:t>
      </w:r>
    </w:p>
    <w:p>
      <w:pPr>
        <w:keepNext w:val="0"/>
        <w:keepLines w:val="0"/>
        <w:pageBreakBefore w:val="0"/>
        <w:widowControl w:val="0"/>
        <w:kinsoku/>
        <w:wordWrap/>
        <w:overflowPunct/>
        <w:topLinePunct w:val="0"/>
        <w:autoSpaceDE/>
        <w:autoSpaceDN/>
        <w:bidi w:val="0"/>
        <w:adjustRightInd w:val="0"/>
        <w:snapToGrid w:val="0"/>
        <w:ind w:left="0" w:leftChars="0" w:firstLine="562" w:firstLineChars="200"/>
        <w:textAlignment w:val="auto"/>
        <w:rPr>
          <w:b/>
          <w:bCs/>
        </w:rPr>
      </w:pPr>
      <w:r>
        <w:rPr>
          <w:rFonts w:hint="eastAsia"/>
          <w:b/>
          <w:bCs/>
          <w:lang w:eastAsia="zh-CN"/>
        </w:rPr>
        <w:t>（</w:t>
      </w:r>
      <w:r>
        <w:rPr>
          <w:rFonts w:hint="eastAsia"/>
          <w:b/>
          <w:bCs/>
          <w:lang w:val="en-US" w:eastAsia="zh-CN"/>
        </w:rPr>
        <w:t>1</w:t>
      </w:r>
      <w:r>
        <w:rPr>
          <w:rFonts w:hint="eastAsia"/>
          <w:b/>
          <w:bCs/>
          <w:lang w:eastAsia="zh-CN"/>
        </w:rPr>
        <w:t>）</w:t>
      </w:r>
      <w:r>
        <w:rPr>
          <w:rFonts w:hint="eastAsia"/>
          <w:b/>
          <w:bCs/>
        </w:rPr>
        <w:t>土壤养分含量</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由于成土条件及耕作措施复杂多样，土壤养分含量差异很大。有关统计资料说明，我国耕地约有1/3缺乏有机质，普遍缺氮、缺磷耕地面积占67%，缺钾面积达467万公顷，另外还有许多耕地缺乏锌、硼、钼等微量元素。</w:t>
      </w:r>
    </w:p>
    <w:p>
      <w:pPr>
        <w:keepNext w:val="0"/>
        <w:keepLines w:val="0"/>
        <w:pageBreakBefore w:val="0"/>
        <w:widowControl w:val="0"/>
        <w:kinsoku/>
        <w:wordWrap/>
        <w:overflowPunct/>
        <w:topLinePunct w:val="0"/>
        <w:autoSpaceDE/>
        <w:autoSpaceDN/>
        <w:bidi w:val="0"/>
        <w:adjustRightInd w:val="0"/>
        <w:snapToGrid w:val="0"/>
        <w:ind w:left="0" w:leftChars="0" w:firstLine="562" w:firstLineChars="200"/>
        <w:textAlignment w:val="auto"/>
        <w:rPr>
          <w:b/>
          <w:bCs/>
        </w:rPr>
      </w:pPr>
      <w:r>
        <w:rPr>
          <w:rFonts w:hint="eastAsia"/>
          <w:b/>
          <w:bCs/>
          <w:lang w:eastAsia="zh-CN"/>
        </w:rPr>
        <w:t>（</w:t>
      </w:r>
      <w:r>
        <w:rPr>
          <w:rFonts w:hint="eastAsia"/>
          <w:b/>
          <w:bCs/>
          <w:lang w:val="en-US" w:eastAsia="zh-CN"/>
        </w:rPr>
        <w:t>2</w:t>
      </w:r>
      <w:r>
        <w:rPr>
          <w:rFonts w:hint="eastAsia"/>
          <w:b/>
          <w:bCs/>
          <w:lang w:eastAsia="zh-CN"/>
        </w:rPr>
        <w:t>）</w:t>
      </w:r>
      <w:r>
        <w:rPr>
          <w:rFonts w:hint="eastAsia"/>
          <w:b/>
          <w:bCs/>
        </w:rPr>
        <w:t>土壤保肥性和供肥性</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质地黏重的土壤，吸附和保存养分的能力强，保肥性能好，但供肥性能差；砂质土壤质地粗，黏粒矿物含量少，本身所含养分又少，加上容易漏水漏肥，保肥、供肥性均差:只有壤质土，黏粒含量适中，保肥和供肥性较好，能协调地供给植物营养成分。</w:t>
      </w:r>
    </w:p>
    <w:p>
      <w:pPr>
        <w:keepNext w:val="0"/>
        <w:keepLines w:val="0"/>
        <w:pageBreakBefore w:val="0"/>
        <w:widowControl w:val="0"/>
        <w:kinsoku/>
        <w:wordWrap/>
        <w:overflowPunct/>
        <w:topLinePunct w:val="0"/>
        <w:autoSpaceDE/>
        <w:autoSpaceDN/>
        <w:bidi w:val="0"/>
        <w:adjustRightInd w:val="0"/>
        <w:snapToGrid w:val="0"/>
        <w:ind w:left="0" w:leftChars="0" w:firstLine="562" w:firstLineChars="200"/>
        <w:textAlignment w:val="auto"/>
        <w:rPr>
          <w:b/>
          <w:bCs/>
        </w:rPr>
      </w:pPr>
      <w:r>
        <w:rPr>
          <w:rFonts w:hint="eastAsia"/>
          <w:b/>
          <w:bCs/>
          <w:lang w:eastAsia="zh-CN"/>
        </w:rPr>
        <w:t>（</w:t>
      </w:r>
      <w:r>
        <w:rPr>
          <w:rFonts w:hint="eastAsia"/>
          <w:b/>
          <w:bCs/>
          <w:lang w:val="en-US" w:eastAsia="zh-CN"/>
        </w:rPr>
        <w:t>3</w:t>
      </w:r>
      <w:r>
        <w:rPr>
          <w:rFonts w:hint="eastAsia"/>
          <w:b/>
          <w:bCs/>
          <w:lang w:eastAsia="zh-CN"/>
        </w:rPr>
        <w:t>）</w:t>
      </w:r>
      <w:r>
        <w:rPr>
          <w:rFonts w:hint="eastAsia"/>
          <w:b/>
          <w:bCs/>
        </w:rPr>
        <w:t>土壤酸碱性与土壤养分有效性</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土壤酸碱性可以从两个方面影响土壤养分的有效性。一方面是直接影响作物的生长及其对养分的吸收，过酸或过碱的土壤都不利于作物生长；在酸性条件下，作物吸收阴离子多于阳离子</w:t>
      </w:r>
      <w:r>
        <w:rPr>
          <w:rFonts w:hint="eastAsia"/>
          <w:lang w:eastAsia="zh-CN"/>
        </w:rPr>
        <w:t>（</w:t>
      </w:r>
      <w:r>
        <w:rPr>
          <w:rFonts w:hint="eastAsia"/>
        </w:rPr>
        <w:t>氮、磷的吸收</w:t>
      </w:r>
      <w:r>
        <w:rPr>
          <w:rFonts w:hint="eastAsia"/>
          <w:lang w:eastAsia="zh-CN"/>
        </w:rPr>
        <w:t>）</w:t>
      </w:r>
      <w:r>
        <w:rPr>
          <w:rFonts w:hint="eastAsia"/>
        </w:rPr>
        <w:t>;在碱性条件下，作物吸收阳离子多于阴离子</w:t>
      </w:r>
      <w:r>
        <w:rPr>
          <w:rFonts w:hint="eastAsia"/>
          <w:lang w:eastAsia="zh-CN"/>
        </w:rPr>
        <w:t>（</w:t>
      </w:r>
      <w:r>
        <w:rPr>
          <w:rFonts w:hint="eastAsia"/>
        </w:rPr>
        <w:t>氮、钾及微量元素的吸收</w:t>
      </w:r>
      <w:r>
        <w:rPr>
          <w:rFonts w:hint="eastAsia"/>
          <w:lang w:eastAsia="zh-CN"/>
        </w:rPr>
        <w:t>）</w:t>
      </w:r>
      <w:r>
        <w:rPr>
          <w:rFonts w:hint="eastAsia"/>
        </w:rPr>
        <w:t>。</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另一方面，土壤的酸碱度影响微生物活动和养分的溶解和沉淀作用，进而影响养分的有效性。微生物的影响指的是氮，因为土壤中的氮般是有机态的，需要经过微生物分解才能被植物充分利用，因此微生物受到影响则氨的利用也就会受到影响。</w:t>
      </w:r>
    </w:p>
    <w:p>
      <w:pPr>
        <w:keepNext w:val="0"/>
        <w:keepLines w:val="0"/>
        <w:pageBreakBefore w:val="0"/>
        <w:widowControl w:val="0"/>
        <w:kinsoku/>
        <w:wordWrap/>
        <w:overflowPunct/>
        <w:topLinePunct w:val="0"/>
        <w:autoSpaceDE/>
        <w:autoSpaceDN/>
        <w:bidi w:val="0"/>
        <w:adjustRightInd w:val="0"/>
        <w:snapToGrid w:val="0"/>
        <w:ind w:left="0" w:leftChars="0" w:firstLine="562" w:firstLineChars="200"/>
        <w:textAlignment w:val="auto"/>
        <w:rPr>
          <w:b/>
          <w:bCs/>
        </w:rPr>
      </w:pPr>
      <w:r>
        <w:rPr>
          <w:rFonts w:hint="eastAsia"/>
          <w:b/>
          <w:bCs/>
          <w:lang w:eastAsia="zh-CN"/>
        </w:rPr>
        <w:t>（</w:t>
      </w:r>
      <w:r>
        <w:rPr>
          <w:rFonts w:hint="eastAsia"/>
          <w:b/>
          <w:bCs/>
          <w:lang w:val="en-US" w:eastAsia="zh-CN"/>
        </w:rPr>
        <w:t>4</w:t>
      </w:r>
      <w:r>
        <w:rPr>
          <w:rFonts w:hint="eastAsia"/>
          <w:b/>
          <w:bCs/>
          <w:lang w:eastAsia="zh-CN"/>
        </w:rPr>
        <w:t>）</w:t>
      </w:r>
      <w:r>
        <w:rPr>
          <w:rFonts w:hint="eastAsia"/>
          <w:b/>
          <w:bCs/>
        </w:rPr>
        <w:t>土壤的通气性与土壤养分的有效性土壤的通气性</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一方面直接影响作物根系和微生物的呼吸作用，另一方面也影响各种物质的存在形态。一般土壤通气状况良好，击壤有效养分增多:反之，土壤通气不良，是有些界分被还原或使有机物分解产生某些有毒物质，影响作物生长。</w:t>
      </w:r>
    </w:p>
    <w:p>
      <w:pPr>
        <w:ind w:firstLine="560" w:firstLineChars="200"/>
        <w:rPr>
          <w:rFonts w:hint="eastAsia"/>
        </w:rPr>
      </w:pPr>
      <w:r>
        <w:rPr>
          <w:rFonts w:hint="eastAsia"/>
          <w:lang w:val="en-US" w:eastAsia="zh-CN"/>
        </w:rPr>
        <w:t>3、</w:t>
      </w:r>
      <w:r>
        <w:rPr>
          <w:rFonts w:hint="eastAsia"/>
        </w:rPr>
        <w:t>气候条件与合理施肥</w:t>
      </w:r>
    </w:p>
    <w:p>
      <w:pPr>
        <w:keepNext w:val="0"/>
        <w:keepLines w:val="0"/>
        <w:pageBreakBefore w:val="0"/>
        <w:widowControl w:val="0"/>
        <w:kinsoku/>
        <w:wordWrap/>
        <w:overflowPunct/>
        <w:topLinePunct w:val="0"/>
        <w:autoSpaceDE/>
        <w:autoSpaceDN/>
        <w:bidi w:val="0"/>
        <w:adjustRightInd w:val="0"/>
        <w:snapToGrid w:val="0"/>
        <w:ind w:left="0" w:leftChars="0" w:firstLine="562" w:firstLineChars="200"/>
        <w:textAlignment w:val="auto"/>
        <w:rPr>
          <w:b/>
          <w:bCs/>
        </w:rPr>
      </w:pPr>
      <w:r>
        <w:rPr>
          <w:rFonts w:hint="eastAsia"/>
          <w:b/>
          <w:bCs/>
          <w:lang w:eastAsia="zh-CN"/>
        </w:rPr>
        <w:t>（</w:t>
      </w:r>
      <w:r>
        <w:rPr>
          <w:rFonts w:hint="eastAsia"/>
          <w:b/>
          <w:bCs/>
          <w:lang w:val="en-US" w:eastAsia="zh-CN"/>
        </w:rPr>
        <w:t>1</w:t>
      </w:r>
      <w:r>
        <w:rPr>
          <w:rFonts w:hint="eastAsia"/>
          <w:b/>
          <w:bCs/>
          <w:lang w:eastAsia="zh-CN"/>
        </w:rPr>
        <w:t>）</w:t>
      </w:r>
      <w:r>
        <w:rPr>
          <w:rFonts w:hint="eastAsia"/>
          <w:b/>
          <w:bCs/>
        </w:rPr>
        <w:t>光照</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光照对作物吸收、利用养分的影响主要表现在:一是提供能源，作物吸收养分需要消耗能量，这些能量来自于光合作用；二是提供原料，作物体内吸收NH3在同化时需要有机酸作为原料，当光照不足时，有机酸形成少，从而导致NH3在体内不能及时转化而积累，严重时甚至发生氨中毒。三是激活酶。</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在光照不足时，应控制氮肥的施用量，以避免发生氨中毒。</w:t>
      </w:r>
    </w:p>
    <w:p>
      <w:pPr>
        <w:keepNext w:val="0"/>
        <w:keepLines w:val="0"/>
        <w:pageBreakBefore w:val="0"/>
        <w:widowControl w:val="0"/>
        <w:kinsoku/>
        <w:wordWrap/>
        <w:overflowPunct/>
        <w:topLinePunct w:val="0"/>
        <w:autoSpaceDE/>
        <w:autoSpaceDN/>
        <w:bidi w:val="0"/>
        <w:adjustRightInd w:val="0"/>
        <w:snapToGrid w:val="0"/>
        <w:ind w:left="0" w:leftChars="0" w:firstLine="562" w:firstLineChars="200"/>
        <w:textAlignment w:val="auto"/>
        <w:rPr>
          <w:b/>
          <w:bCs/>
        </w:rPr>
      </w:pPr>
      <w:r>
        <w:rPr>
          <w:rFonts w:hint="eastAsia"/>
          <w:b/>
          <w:bCs/>
          <w:lang w:eastAsia="zh-CN"/>
        </w:rPr>
        <w:t>（</w:t>
      </w:r>
      <w:r>
        <w:rPr>
          <w:rFonts w:hint="eastAsia"/>
          <w:b/>
          <w:bCs/>
          <w:lang w:val="en-US" w:eastAsia="zh-CN"/>
        </w:rPr>
        <w:t>2</w:t>
      </w:r>
      <w:r>
        <w:rPr>
          <w:rFonts w:hint="eastAsia"/>
          <w:b/>
          <w:bCs/>
          <w:lang w:eastAsia="zh-CN"/>
        </w:rPr>
        <w:t>）</w:t>
      </w:r>
      <w:r>
        <w:rPr>
          <w:rFonts w:hint="eastAsia"/>
          <w:b/>
          <w:bCs/>
        </w:rPr>
        <w:t>温度</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由于温度影响作物光合作用和呼吸作用并影响植物生理代谢所产生的能量，所以温度首先影响作物根系对养分的吸收能力；另外，温度也影响土壤养分的活化和扩散速度。</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温度对作物吸收氮、磷、钾都有很强的影响。</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对寒冷地区的冬季作物在施肥上要与农家肥、草木灰肥相结合，可以增强植株抗寒力和提高作物产量。</w:t>
      </w:r>
    </w:p>
    <w:p>
      <w:pPr>
        <w:keepNext w:val="0"/>
        <w:keepLines w:val="0"/>
        <w:pageBreakBefore w:val="0"/>
        <w:widowControl w:val="0"/>
        <w:kinsoku/>
        <w:wordWrap/>
        <w:overflowPunct/>
        <w:topLinePunct w:val="0"/>
        <w:autoSpaceDE/>
        <w:autoSpaceDN/>
        <w:bidi w:val="0"/>
        <w:adjustRightInd w:val="0"/>
        <w:snapToGrid w:val="0"/>
        <w:ind w:left="0" w:leftChars="0" w:firstLine="562" w:firstLineChars="200"/>
        <w:textAlignment w:val="auto"/>
        <w:rPr>
          <w:b/>
          <w:bCs/>
        </w:rPr>
      </w:pPr>
      <w:r>
        <w:rPr>
          <w:rFonts w:hint="eastAsia"/>
          <w:b/>
          <w:bCs/>
          <w:lang w:eastAsia="zh-CN"/>
        </w:rPr>
        <w:t>（</w:t>
      </w:r>
      <w:r>
        <w:rPr>
          <w:rFonts w:hint="eastAsia"/>
          <w:b/>
          <w:bCs/>
          <w:lang w:val="en-US" w:eastAsia="zh-CN"/>
        </w:rPr>
        <w:t>3</w:t>
      </w:r>
      <w:r>
        <w:rPr>
          <w:rFonts w:hint="eastAsia"/>
          <w:b/>
          <w:bCs/>
          <w:lang w:eastAsia="zh-CN"/>
        </w:rPr>
        <w:t>）</w:t>
      </w:r>
      <w:r>
        <w:rPr>
          <w:rFonts w:hint="eastAsia"/>
          <w:b/>
          <w:bCs/>
        </w:rPr>
        <w:t>降水</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降水影响土壤水分状况。土壤水分是化肥溶解和有机肥矿化的必要条件，土壤水分必须依靠水分通过扩散和质流的方式向根表迁移并被作物吸收利用。</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rPr>
        <w:t>干旱地区和干旱季节，要采取保墒措施，加强根部对养分的吸收。雨天和雨季则不宜多施肥料。</w:t>
      </w:r>
    </w:p>
    <w:p>
      <w:pPr>
        <w:ind w:firstLine="560" w:firstLineChars="200"/>
        <w:rPr>
          <w:rFonts w:hint="eastAsia"/>
        </w:rPr>
      </w:pPr>
      <w:r>
        <w:rPr>
          <w:rFonts w:hint="eastAsia"/>
          <w:lang w:val="en-US" w:eastAsia="zh-CN"/>
        </w:rPr>
        <w:t>4、</w:t>
      </w:r>
      <w:r>
        <w:rPr>
          <w:rFonts w:hint="eastAsia"/>
        </w:rPr>
        <w:t>轮作制度中肥料的合理分配</w:t>
      </w:r>
    </w:p>
    <w:p>
      <w:pPr>
        <w:keepNext w:val="0"/>
        <w:keepLines w:val="0"/>
        <w:pageBreakBefore w:val="0"/>
        <w:widowControl w:val="0"/>
        <w:kinsoku/>
        <w:wordWrap/>
        <w:overflowPunct/>
        <w:topLinePunct w:val="0"/>
        <w:autoSpaceDE/>
        <w:autoSpaceDN/>
        <w:bidi w:val="0"/>
        <w:adjustRightInd w:val="0"/>
        <w:snapToGrid w:val="0"/>
        <w:ind w:left="0" w:leftChars="0" w:firstLine="562" w:firstLineChars="200"/>
        <w:textAlignment w:val="auto"/>
        <w:rPr>
          <w:b/>
          <w:bCs/>
        </w:rPr>
      </w:pPr>
      <w:r>
        <w:rPr>
          <w:rFonts w:hint="eastAsia"/>
          <w:b/>
          <w:bCs/>
          <w:lang w:eastAsia="zh-CN"/>
        </w:rPr>
        <w:t>（</w:t>
      </w:r>
      <w:r>
        <w:rPr>
          <w:rFonts w:hint="eastAsia"/>
          <w:b/>
          <w:bCs/>
          <w:lang w:val="en-US" w:eastAsia="zh-CN"/>
        </w:rPr>
        <w:t>1</w:t>
      </w:r>
      <w:r>
        <w:rPr>
          <w:rFonts w:hint="eastAsia"/>
          <w:b/>
          <w:bCs/>
          <w:lang w:eastAsia="zh-CN"/>
        </w:rPr>
        <w:t>）</w:t>
      </w:r>
      <w:r>
        <w:rPr>
          <w:rFonts w:hint="eastAsia"/>
          <w:b/>
          <w:bCs/>
        </w:rPr>
        <w:t>轮作制度中肥料合理分析的原则</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val="en-US" w:eastAsia="zh-CN"/>
        </w:rPr>
        <w:t>1）</w:t>
      </w:r>
      <w:r>
        <w:rPr>
          <w:rFonts w:hint="eastAsia"/>
        </w:rPr>
        <w:t>统筹兼顾，保证重点。不同作物，不同施肥方法及用量</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val="en-US" w:eastAsia="zh-CN"/>
        </w:rPr>
        <w:t>2）</w:t>
      </w:r>
      <w:r>
        <w:rPr>
          <w:rFonts w:hint="eastAsia"/>
        </w:rPr>
        <w:t>培肥地力，用养结合。适当安排豆科植物与其他作物轮作</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val="en-US" w:eastAsia="zh-CN"/>
        </w:rPr>
        <w:t>3）</w:t>
      </w:r>
      <w:r>
        <w:rPr>
          <w:rFonts w:hint="eastAsia"/>
        </w:rPr>
        <w:t>降低生产成本，增加效益。</w:t>
      </w:r>
    </w:p>
    <w:p>
      <w:pPr>
        <w:keepNext w:val="0"/>
        <w:keepLines w:val="0"/>
        <w:pageBreakBefore w:val="0"/>
        <w:widowControl w:val="0"/>
        <w:kinsoku/>
        <w:wordWrap/>
        <w:overflowPunct/>
        <w:topLinePunct w:val="0"/>
        <w:autoSpaceDE/>
        <w:autoSpaceDN/>
        <w:bidi w:val="0"/>
        <w:adjustRightInd w:val="0"/>
        <w:snapToGrid w:val="0"/>
        <w:ind w:left="0" w:leftChars="0" w:firstLine="562" w:firstLineChars="200"/>
        <w:textAlignment w:val="auto"/>
        <w:rPr>
          <w:b/>
          <w:bCs/>
        </w:rPr>
      </w:pPr>
      <w:r>
        <w:rPr>
          <w:rFonts w:hint="eastAsia"/>
          <w:b/>
          <w:bCs/>
          <w:lang w:eastAsia="zh-CN"/>
        </w:rPr>
        <w:t>（</w:t>
      </w:r>
      <w:r>
        <w:rPr>
          <w:rFonts w:hint="eastAsia"/>
          <w:b/>
          <w:bCs/>
          <w:lang w:val="en-US" w:eastAsia="zh-CN"/>
        </w:rPr>
        <w:t>2</w:t>
      </w:r>
      <w:r>
        <w:rPr>
          <w:rFonts w:hint="eastAsia"/>
          <w:b/>
          <w:bCs/>
          <w:lang w:eastAsia="zh-CN"/>
        </w:rPr>
        <w:t>）</w:t>
      </w:r>
      <w:r>
        <w:rPr>
          <w:rFonts w:hint="eastAsia"/>
          <w:b/>
          <w:bCs/>
        </w:rPr>
        <w:t>轮作制度中肥料合理分配的依据</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val="en-US" w:eastAsia="zh-CN"/>
        </w:rPr>
        <w:t>1）</w:t>
      </w:r>
      <w:r>
        <w:rPr>
          <w:rFonts w:hint="eastAsia"/>
        </w:rPr>
        <w:t>禾谷类粮食作物，如小麦、玉米、水稻、谷子、高粱等，这些作物对氮，磷肥的反应都较好，因此，多数地区增施氮、磷肥科均有明显的增产效果。.</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val="en-US" w:eastAsia="zh-CN"/>
        </w:rPr>
        <w:t>2）</w:t>
      </w:r>
      <w:r>
        <w:rPr>
          <w:rFonts w:hint="eastAsia"/>
        </w:rPr>
        <w:t>棉花、油菜等经济作物，它们对养分需要量比禾谷类作物多，除了适量施用氨肥外，它们对磷、钾肥科的反应也很敏感。在适施氮肥的基础里，施用磷、钾能明显提高产品质量和改善品质。</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val="en-US" w:eastAsia="zh-CN"/>
        </w:rPr>
        <w:t>3）</w:t>
      </w:r>
      <w:r>
        <w:rPr>
          <w:rFonts w:hint="eastAsia"/>
        </w:rPr>
        <w:t>豆科作物和豆科绿肥作物，这些作物能通过固氮作用为自身及其他作物提供一定量的氮素，因而它不仅可以减少耕层土壤氮素消耗，而且还可以增加耕层土壤氮素含量。但豆科作物对磷敏感，应增施磷肥</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pPr>
      <w:r>
        <w:rPr>
          <w:rFonts w:hint="eastAsia"/>
          <w:lang w:val="en-US" w:eastAsia="zh-CN"/>
        </w:rPr>
        <w:t>4）</w:t>
      </w:r>
      <w:r>
        <w:rPr>
          <w:rFonts w:hint="eastAsia"/>
        </w:rPr>
        <w:t>蔬菜作物，蔬菜作物种类繁多，营养特性各异，但一般的蔬菜作物对养分需求量大，吸肥能力强，对钾、钙及微量元素需求较多。不同种类的蔬菜作物中，叶菜类需氮多，根菜类需磷、钾多，果菜类需氮、磷多。</w:t>
      </w:r>
    </w:p>
    <w:p>
      <w:pPr>
        <w:spacing w:before="0" w:after="0" w:line="240" w:lineRule="auto"/>
        <w:ind w:firstLine="0" w:firstLineChars="0"/>
        <w:jc w:val="left"/>
      </w:pPr>
      <w:r>
        <w:br w:type="page"/>
      </w:r>
    </w:p>
    <w:p>
      <w:pPr>
        <w:pStyle w:val="7"/>
      </w:pPr>
      <w:bookmarkStart w:id="973" w:name="_Toc118293355"/>
      <w:bookmarkStart w:id="974" w:name="_Toc105600284"/>
      <w:bookmarkStart w:id="975" w:name="_Toc771"/>
      <w:bookmarkStart w:id="976" w:name="_Toc117182031"/>
      <w:r>
        <w:rPr>
          <w:rFonts w:hint="eastAsia"/>
          <w:lang w:eastAsia="zh-CN"/>
        </w:rPr>
        <w:t>（</w:t>
      </w:r>
      <w:r>
        <w:rPr>
          <w:rFonts w:hint="eastAsia"/>
          <w:lang w:val="en-US" w:eastAsia="zh-CN"/>
        </w:rPr>
        <w:t>四</w:t>
      </w:r>
      <w:r>
        <w:rPr>
          <w:rFonts w:hint="eastAsia"/>
          <w:lang w:eastAsia="zh-CN"/>
        </w:rPr>
        <w:t>）</w:t>
      </w:r>
      <w:r>
        <w:rPr>
          <w:rFonts w:hint="eastAsia"/>
        </w:rPr>
        <w:t>肥料合理使用的方法与技术</w:t>
      </w:r>
      <w:bookmarkEnd w:id="973"/>
      <w:bookmarkEnd w:id="974"/>
      <w:bookmarkEnd w:id="975"/>
      <w:bookmarkEnd w:id="976"/>
    </w:p>
    <w:p>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b/>
          <w:bCs/>
        </w:rPr>
      </w:pPr>
      <w:r>
        <w:rPr>
          <w:rFonts w:hint="eastAsia"/>
          <w:b/>
          <w:bCs/>
        </w:rPr>
        <w:t>（一）基肥的施用技术</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rPr>
        <w:t>1、基肥的重要性</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rPr>
        <w:t>基肥一般是在作物播种前或定植前结合土壤深耕而施用的肥料。施用基肥方面能为作物全发育期生长提供养分，另一方面又具有培肥和改良土壤的作用，为作物的生长发育创造良好的土壤环境。</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rPr>
        <w:t>2、基肥施用技术</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rPr>
        <w:t>一般地，基肥施用量占作物全生育期施肥量的绝大部分，为了达到培肥和改良土壤的目的，基肥应以有机肥为主，结合配施缓效性和速效性肥料，结合深耕撒施，集中施、条施、穴施。另外，根据土壤和作物情况，还应在基肥中添加微量元素肥料，如油菜、棉花基施硼肥能起到良好增产作用。</w:t>
      </w:r>
    </w:p>
    <w:p>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rFonts w:hint="eastAsia"/>
          <w:b/>
          <w:bCs/>
        </w:rPr>
      </w:pPr>
      <w:r>
        <w:rPr>
          <w:rFonts w:hint="eastAsia"/>
          <w:b/>
          <w:bCs/>
          <w:lang w:eastAsia="zh-CN"/>
        </w:rPr>
        <w:t>（</w:t>
      </w:r>
      <w:r>
        <w:rPr>
          <w:rFonts w:hint="eastAsia"/>
          <w:b/>
          <w:bCs/>
        </w:rPr>
        <w:t>二</w:t>
      </w:r>
      <w:r>
        <w:rPr>
          <w:rFonts w:hint="eastAsia"/>
          <w:b/>
          <w:bCs/>
          <w:lang w:eastAsia="zh-CN"/>
        </w:rPr>
        <w:t>）</w:t>
      </w:r>
      <w:r>
        <w:rPr>
          <w:rFonts w:hint="eastAsia"/>
          <w:b/>
          <w:bCs/>
        </w:rPr>
        <w:t>种肥的施用技术</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rPr>
        <w:t>1、种肥的重要性</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rPr>
        <w:t>种肥是为满足作物苗期养分的需要，在播种或定植时施在种子或幼苗附近的肥料。其目的就是供给作物生长发自初期所需要的养分。</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rPr>
        <w:t>种肥的施用效果决定于土壤、施肥水平及栽培技术等因素。因为肥料与种子相距较近，故对肥料种类、用量要把握好，否则易引起烧种、烂种，造成缺苗断垄。</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rPr>
        <w:t>2、种肥施用技术</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rPr>
        <w:t>过酸、过碱、吸湿性强、含有毒副成分的肥料均不宜作种肥。。氨肥以硫酸铵作种肥效果最好，磷肥以过磷酸钙作种肥为宜。</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rPr>
        <w:t>微量元素肥料中的硫酸锌、硫酸锰、铝酸铰等一般都可以作种肥，但要严格控制用量:研酸、硼砂均不宣作种肥。</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rPr>
        <w:t>主要的施用方法主要有拌种，浸种，沾秧根，穴施等。</w:t>
      </w:r>
    </w:p>
    <w:p>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rFonts w:hint="eastAsia"/>
          <w:b/>
          <w:bCs/>
        </w:rPr>
      </w:pPr>
      <w:r>
        <w:rPr>
          <w:rFonts w:hint="eastAsia"/>
          <w:b/>
          <w:bCs/>
          <w:lang w:eastAsia="zh-CN"/>
        </w:rPr>
        <w:t>（</w:t>
      </w:r>
      <w:r>
        <w:rPr>
          <w:rFonts w:hint="eastAsia"/>
          <w:b/>
          <w:bCs/>
        </w:rPr>
        <w:t>三</w:t>
      </w:r>
      <w:r>
        <w:rPr>
          <w:rFonts w:hint="eastAsia"/>
          <w:b/>
          <w:bCs/>
          <w:lang w:eastAsia="zh-CN"/>
        </w:rPr>
        <w:t>）</w:t>
      </w:r>
      <w:r>
        <w:rPr>
          <w:rFonts w:hint="eastAsia"/>
          <w:b/>
          <w:bCs/>
        </w:rPr>
        <w:t>追肥的施用技术</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rPr>
        <w:t>1、追肥的重要性</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rPr>
        <w:t>追肥是在作物生长发育期间，为满足作物不同生育期对养分的特殊要求，以补充基肥不足而施用的肥料。</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rPr>
        <w:t>2、追肥方法</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rPr>
        <w:t>宜作追肥的肥料有速效性化肥及腐熟的人类尿等，如氮肥有尿素、硝酸铵、硝酸钙、碳酸氢铵等:磷肥有过磷酸钙;以及速效性的复合肥如磷酸二铵等。</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rPr>
        <w:t>追肥的方法有条施</w:t>
      </w:r>
      <w:r>
        <w:rPr>
          <w:rFonts w:hint="eastAsia"/>
          <w:lang w:eastAsia="zh-CN"/>
        </w:rPr>
        <w:t>（</w:t>
      </w:r>
      <w:r>
        <w:rPr>
          <w:rFonts w:hint="eastAsia"/>
        </w:rPr>
        <w:t>沟施</w:t>
      </w:r>
      <w:r>
        <w:rPr>
          <w:rFonts w:hint="eastAsia"/>
          <w:lang w:eastAsia="zh-CN"/>
        </w:rPr>
        <w:t>）</w:t>
      </w:r>
      <w:r>
        <w:rPr>
          <w:rFonts w:hint="eastAsia"/>
        </w:rPr>
        <w:t>、穴施、深施覆土和结合灌水表层撒施等。追施速效性氮肥时，在旱地上宜采用条施</w:t>
      </w:r>
      <w:r>
        <w:rPr>
          <w:rFonts w:hint="eastAsia"/>
          <w:lang w:eastAsia="zh-CN"/>
        </w:rPr>
        <w:t>（</w:t>
      </w:r>
      <w:r>
        <w:rPr>
          <w:rFonts w:hint="eastAsia"/>
        </w:rPr>
        <w:t>沟施</w:t>
      </w:r>
      <w:r>
        <w:rPr>
          <w:rFonts w:hint="eastAsia"/>
          <w:lang w:eastAsia="zh-CN"/>
        </w:rPr>
        <w:t>）</w:t>
      </w:r>
      <w:r>
        <w:rPr>
          <w:rFonts w:hint="eastAsia"/>
        </w:rPr>
        <w:t>或穴施，然后覆土压盖:在水田上宜深施，同时避免大水漫灌。些密植的作物，如小麦、水稻、谷子及部分蔬菜封垄后，可将肥料撒于作物间并进行灌水:在旱作区，常在下雨时或雨前把尿素等性质稳定的化肥撒在作物行间，也是种有效的追肥方法。</w:t>
      </w:r>
    </w:p>
    <w:p>
      <w:pPr>
        <w:keepNext w:val="0"/>
        <w:keepLines w:val="0"/>
        <w:pageBreakBefore w:val="0"/>
        <w:widowControl w:val="0"/>
        <w:kinsoku/>
        <w:wordWrap/>
        <w:overflowPunct/>
        <w:topLinePunct w:val="0"/>
        <w:autoSpaceDE/>
        <w:autoSpaceDN/>
        <w:bidi w:val="0"/>
        <w:adjustRightInd w:val="0"/>
        <w:snapToGrid w:val="0"/>
        <w:ind w:firstLine="562" w:firstLineChars="200"/>
        <w:textAlignment w:val="auto"/>
        <w:rPr>
          <w:rFonts w:hint="eastAsia"/>
          <w:b/>
          <w:bCs/>
        </w:rPr>
      </w:pPr>
      <w:r>
        <w:rPr>
          <w:rFonts w:hint="eastAsia"/>
          <w:b/>
          <w:bCs/>
          <w:lang w:eastAsia="zh-CN"/>
        </w:rPr>
        <w:t>（</w:t>
      </w:r>
      <w:r>
        <w:rPr>
          <w:rFonts w:hint="eastAsia"/>
          <w:b/>
          <w:bCs/>
        </w:rPr>
        <w:t>四</w:t>
      </w:r>
      <w:r>
        <w:rPr>
          <w:rFonts w:hint="eastAsia"/>
          <w:b/>
          <w:bCs/>
          <w:lang w:eastAsia="zh-CN"/>
        </w:rPr>
        <w:t>）</w:t>
      </w:r>
      <w:r>
        <w:rPr>
          <w:rFonts w:hint="eastAsia"/>
          <w:b/>
          <w:bCs/>
        </w:rPr>
        <w:t>叶面肥喷施技术</w:t>
      </w:r>
    </w:p>
    <w:p>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r>
        <w:rPr>
          <w:rFonts w:hint="eastAsia"/>
        </w:rPr>
        <w:t>为了提高叶面喷施的效果，可以在喷施时混合少量的“湿润剂”，如中性肥皂或洗涤剂，浓度一般为0.1%~0.2%;尿素也是易渗入叶内的肥料，可以将尿素与其他肥料混合喷施，能提高叶面喷施效果。.叶面喷施一般选在晴天、无风天的早晨或傍晚。</w:t>
      </w:r>
    </w:p>
    <w:p>
      <w:pPr>
        <w:pStyle w:val="52"/>
      </w:pPr>
      <w:r>
        <w:drawing>
          <wp:inline distT="0" distB="0" distL="0" distR="0">
            <wp:extent cx="4610100" cy="2244090"/>
            <wp:effectExtent l="0" t="0" r="0" b="3810"/>
            <wp:docPr id="141" name="图片 14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表格&#10;&#10;描述已自动生成"/>
                    <pic:cNvPicPr>
                      <a:picLocks noChangeAspect="1"/>
                    </pic:cNvPicPr>
                  </pic:nvPicPr>
                  <pic:blipFill>
                    <a:blip r:embed="rId66"/>
                    <a:stretch>
                      <a:fillRect/>
                    </a:stretch>
                  </pic:blipFill>
                  <pic:spPr>
                    <a:xfrm>
                      <a:off x="0" y="0"/>
                      <a:ext cx="4613461" cy="2246073"/>
                    </a:xfrm>
                    <a:prstGeom prst="rect">
                      <a:avLst/>
                    </a:prstGeom>
                  </pic:spPr>
                </pic:pic>
              </a:graphicData>
            </a:graphic>
          </wp:inline>
        </w:drawing>
      </w:r>
    </w:p>
    <w:p>
      <w:pPr>
        <w:ind w:firstLine="480"/>
      </w:pPr>
      <w:r>
        <w:rPr>
          <w:rFonts w:hint="eastAsia"/>
        </w:rPr>
        <w:t>尽管叶面喷施有许多优点，但在应用上有一定的局限性，尤其是作物对氮、磷、钾的需要量大，单靠叶面喷施是难以满足需要的。因此，叶面喷施只是根部施肥的补充。</w:t>
      </w:r>
    </w:p>
    <w:p>
      <w:pPr>
        <w:pStyle w:val="7"/>
      </w:pPr>
      <w:bookmarkStart w:id="977" w:name="_Toc118293356"/>
      <w:bookmarkStart w:id="978" w:name="_Toc19781"/>
      <w:bookmarkStart w:id="979" w:name="_Toc117182032"/>
      <w:bookmarkStart w:id="980" w:name="_Toc105600285"/>
      <w:r>
        <w:rPr>
          <w:rFonts w:hint="eastAsia"/>
          <w:lang w:eastAsia="zh-CN"/>
        </w:rPr>
        <w:t>（</w:t>
      </w:r>
      <w:r>
        <w:rPr>
          <w:rFonts w:hint="eastAsia"/>
          <w:lang w:val="en-US" w:eastAsia="zh-CN"/>
        </w:rPr>
        <w:t>五</w:t>
      </w:r>
      <w:r>
        <w:rPr>
          <w:rFonts w:hint="eastAsia"/>
          <w:lang w:eastAsia="zh-CN"/>
        </w:rPr>
        <w:t>）</w:t>
      </w:r>
      <w:r>
        <w:rPr>
          <w:rFonts w:hint="eastAsia"/>
        </w:rPr>
        <w:t>有机肥的种类</w:t>
      </w:r>
      <w:bookmarkEnd w:id="977"/>
      <w:bookmarkEnd w:id="978"/>
      <w:bookmarkEnd w:id="979"/>
      <w:bookmarkEnd w:id="980"/>
    </w:p>
    <w:p>
      <w:pPr>
        <w:ind w:firstLine="480"/>
      </w:pPr>
      <w:r>
        <w:rPr>
          <w:rFonts w:hint="eastAsia"/>
        </w:rPr>
        <w:t>有机肥料的范围很广，几乎包括除化肥外的所有肥料，其来源十分广泛，品种相当繁多。按有机肥料相同或相似的产生环境或施用条件，类似的性质功能和积制方法大致分为：粪尿肥、堆沤肥、秸杆肥、绿肥、土杂肥、微生物肥料等几大类。</w:t>
      </w:r>
    </w:p>
    <w:p>
      <w:pPr>
        <w:ind w:firstLine="480"/>
      </w:pPr>
      <w:r>
        <w:rPr>
          <w:rFonts w:hint="eastAsia"/>
        </w:rPr>
        <w:t>有机肥料的主要优点是几乎可向农作物提供所有营养元素和有机态养料尤其是微量无素成分较为齐全，其次是可以改良土壤，保护环境，增强土壤微生物活性。</w:t>
      </w:r>
    </w:p>
    <w:p>
      <w:pPr>
        <w:ind w:firstLine="482"/>
        <w:rPr>
          <w:rFonts w:hint="eastAsia"/>
          <w:b/>
          <w:bCs/>
        </w:rPr>
      </w:pPr>
      <w:r>
        <w:rPr>
          <w:rFonts w:hint="eastAsia"/>
          <w:b/>
          <w:bCs/>
          <w:lang w:eastAsia="zh-CN"/>
        </w:rPr>
        <w:t>（</w:t>
      </w:r>
      <w:r>
        <w:rPr>
          <w:rFonts w:hint="eastAsia"/>
          <w:b/>
          <w:bCs/>
          <w:lang w:val="en-US" w:eastAsia="zh-CN"/>
        </w:rPr>
        <w:t>一</w:t>
      </w:r>
      <w:r>
        <w:rPr>
          <w:rFonts w:hint="eastAsia"/>
          <w:b/>
          <w:bCs/>
          <w:lang w:eastAsia="zh-CN"/>
        </w:rPr>
        <w:t>）</w:t>
      </w:r>
      <w:r>
        <w:rPr>
          <w:rFonts w:hint="eastAsia"/>
          <w:b/>
          <w:bCs/>
        </w:rPr>
        <w:t>粪尿肥</w:t>
      </w:r>
    </w:p>
    <w:p>
      <w:pPr>
        <w:ind w:firstLine="482"/>
      </w:pPr>
      <w:r>
        <w:rPr>
          <w:rFonts w:hint="eastAsia"/>
        </w:rPr>
        <w:t>粪尿是人和动物的排泄物，它含有丰富的有机质，氮、磷、钾、钙、镁、硫、铁等作物需要的营养元素，及有机酸，脂肪、蛋白质及其分解物。</w:t>
      </w:r>
    </w:p>
    <w:p>
      <w:pPr>
        <w:ind w:firstLine="480"/>
      </w:pPr>
      <w:r>
        <w:rPr>
          <w:rFonts w:hint="eastAsia"/>
        </w:rPr>
        <w:t>类尿肥性质与使用方法：</w:t>
      </w:r>
    </w:p>
    <w:tbl>
      <w:tblPr>
        <w:tblStyle w:val="56"/>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773"/>
        <w:gridCol w:w="2479"/>
        <w:gridCol w:w="3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bCs/>
                <w:color w:val="000000"/>
              </w:rPr>
            </w:pPr>
            <w:r>
              <w:rPr>
                <w:rFonts w:hint="eastAsia"/>
                <w:b/>
                <w:bCs/>
                <w:color w:val="000000"/>
              </w:rPr>
              <w:t>序号</w:t>
            </w:r>
          </w:p>
        </w:tc>
        <w:tc>
          <w:tcPr>
            <w:tcW w:w="17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bCs/>
                <w:color w:val="000000"/>
              </w:rPr>
            </w:pPr>
            <w:r>
              <w:rPr>
                <w:rFonts w:hint="eastAsia"/>
                <w:b/>
                <w:bCs/>
                <w:color w:val="000000"/>
              </w:rPr>
              <w:t>类尿肥养分</w:t>
            </w:r>
          </w:p>
        </w:tc>
        <w:tc>
          <w:tcPr>
            <w:tcW w:w="247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bCs/>
                <w:color w:val="000000"/>
              </w:rPr>
            </w:pPr>
            <w:r>
              <w:rPr>
                <w:rFonts w:hint="eastAsia"/>
                <w:b/>
                <w:bCs/>
                <w:color w:val="000000"/>
              </w:rPr>
              <w:t>肥料性质</w:t>
            </w:r>
          </w:p>
        </w:tc>
        <w:tc>
          <w:tcPr>
            <w:tcW w:w="32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bCs/>
                <w:color w:val="000000"/>
              </w:rPr>
            </w:pPr>
            <w:r>
              <w:rPr>
                <w:rFonts w:hint="eastAsia"/>
                <w:b/>
                <w:bCs/>
                <w:color w:val="000000"/>
              </w:rPr>
              <w:t>使用方法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rPr>
            </w:pPr>
            <w:r>
              <w:rPr>
                <w:rFonts w:hint="default"/>
                <w:color w:val="000000"/>
                <w:lang w:val="en-US" w:eastAsia="zh-CN"/>
              </w:rPr>
              <w:t>1</w:t>
            </w:r>
          </w:p>
        </w:tc>
        <w:tc>
          <w:tcPr>
            <w:tcW w:w="17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rPr>
            </w:pPr>
            <w:r>
              <w:rPr>
                <w:rFonts w:hint="eastAsia"/>
                <w:color w:val="000000"/>
              </w:rPr>
              <w:t>人粪尿</w:t>
            </w:r>
          </w:p>
        </w:tc>
        <w:tc>
          <w:tcPr>
            <w:tcW w:w="2479"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rPr>
            </w:pPr>
            <w:r>
              <w:rPr>
                <w:rFonts w:hint="eastAsia"/>
                <w:color w:val="000000"/>
              </w:rPr>
              <w:t>尿酸性以含氮为主分解后能被作物吸收肥效快。</w:t>
            </w:r>
          </w:p>
        </w:tc>
        <w:tc>
          <w:tcPr>
            <w:tcW w:w="32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rPr>
            </w:pPr>
            <w:r>
              <w:rPr>
                <w:rFonts w:hint="eastAsia"/>
                <w:color w:val="000000"/>
              </w:rPr>
              <w:t>①腐熟后施用，作基肥、追肥或稀释10-20倍作追肥。②含有少量氯化物，不宜在忌氯作物上大量施用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rPr>
            </w:pPr>
            <w:r>
              <w:rPr>
                <w:rFonts w:hint="default"/>
                <w:color w:val="000000"/>
                <w:lang w:val="en-US" w:eastAsia="zh-CN"/>
              </w:rPr>
              <w:t>2</w:t>
            </w:r>
          </w:p>
        </w:tc>
        <w:tc>
          <w:tcPr>
            <w:tcW w:w="17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rPr>
            </w:pPr>
            <w:r>
              <w:rPr>
                <w:rFonts w:hint="eastAsia"/>
                <w:color w:val="000000"/>
              </w:rPr>
              <w:t>猪粪尿</w:t>
            </w:r>
          </w:p>
        </w:tc>
        <w:tc>
          <w:tcPr>
            <w:tcW w:w="2479"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rPr>
            </w:pPr>
            <w:r>
              <w:rPr>
                <w:rFonts w:hint="eastAsia"/>
                <w:color w:val="000000"/>
              </w:rPr>
              <w:t>尿碱性，肥分含量较高，均衡、性柔、肥效劲大而长，暖性肥。</w:t>
            </w:r>
          </w:p>
        </w:tc>
        <w:tc>
          <w:tcPr>
            <w:tcW w:w="32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rPr>
            </w:pPr>
            <w:r>
              <w:rPr>
                <w:rFonts w:hint="eastAsia"/>
                <w:color w:val="000000"/>
              </w:rPr>
              <w:t>①腐熟后施入冷凉的土壤及沙质土、粘质田以改良土壤。②作种肥，有利于幼苗生长、保墒全苗、壮苗。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rPr>
            </w:pPr>
            <w:r>
              <w:rPr>
                <w:rFonts w:hint="default"/>
                <w:color w:val="000000"/>
                <w:lang w:val="en-US" w:eastAsia="zh-CN"/>
              </w:rPr>
              <w:t>3</w:t>
            </w:r>
          </w:p>
        </w:tc>
        <w:tc>
          <w:tcPr>
            <w:tcW w:w="17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rPr>
            </w:pPr>
            <w:r>
              <w:rPr>
                <w:rFonts w:hint="eastAsia"/>
                <w:color w:val="000000"/>
              </w:rPr>
              <w:t>牛粪尿</w:t>
            </w:r>
          </w:p>
        </w:tc>
        <w:tc>
          <w:tcPr>
            <w:tcW w:w="2479"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rPr>
            </w:pPr>
            <w:r>
              <w:rPr>
                <w:rFonts w:hint="eastAsia"/>
                <w:color w:val="000000"/>
              </w:rPr>
              <w:t>尿碱性，粪质细、含水多、腐烂慢、发酵湿度低，冷性肥。</w:t>
            </w:r>
          </w:p>
        </w:tc>
        <w:tc>
          <w:tcPr>
            <w:tcW w:w="32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rPr>
            </w:pPr>
            <w:r>
              <w:rPr>
                <w:rFonts w:hint="eastAsia"/>
                <w:color w:val="000000"/>
              </w:rPr>
              <w:t>①腐熟后用作基肥，施于冷浸烂泥田肥效较差。②叶菜类蔬菜拌腐熟牛粪播种，效果较好。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rPr>
            </w:pPr>
            <w:r>
              <w:rPr>
                <w:rFonts w:hint="default"/>
                <w:color w:val="000000"/>
                <w:lang w:val="en-US" w:eastAsia="zh-CN"/>
              </w:rPr>
              <w:t>4</w:t>
            </w:r>
          </w:p>
        </w:tc>
        <w:tc>
          <w:tcPr>
            <w:tcW w:w="17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rPr>
            </w:pPr>
            <w:r>
              <w:rPr>
                <w:rFonts w:hint="eastAsia"/>
                <w:color w:val="000000"/>
              </w:rPr>
              <w:t>马粪尿</w:t>
            </w:r>
          </w:p>
        </w:tc>
        <w:tc>
          <w:tcPr>
            <w:tcW w:w="2479"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rPr>
            </w:pPr>
            <w:r>
              <w:rPr>
                <w:rFonts w:hint="eastAsia"/>
                <w:color w:val="000000"/>
              </w:rPr>
              <w:t>尿碱性，粪疏松多孔，肥效短，热性肥。</w:t>
            </w:r>
          </w:p>
        </w:tc>
        <w:tc>
          <w:tcPr>
            <w:tcW w:w="32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rPr>
            </w:pPr>
            <w:r>
              <w:rPr>
                <w:rFonts w:hint="eastAsia"/>
                <w:color w:val="000000"/>
              </w:rPr>
              <w:t>①马粪中含有纤维素分解细菌，用作堆肥材料可加速堆肥腐烂。②用作冬植蔬菜育苗保温肥最好。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rPr>
            </w:pPr>
            <w:r>
              <w:rPr>
                <w:rFonts w:hint="default"/>
                <w:color w:val="000000"/>
                <w:lang w:val="en-US" w:eastAsia="zh-CN"/>
              </w:rPr>
              <w:t>5</w:t>
            </w:r>
          </w:p>
        </w:tc>
        <w:tc>
          <w:tcPr>
            <w:tcW w:w="17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rPr>
            </w:pPr>
            <w:r>
              <w:rPr>
                <w:rFonts w:hint="eastAsia"/>
                <w:color w:val="000000"/>
              </w:rPr>
              <w:t>羊粪尿</w:t>
            </w:r>
          </w:p>
        </w:tc>
        <w:tc>
          <w:tcPr>
            <w:tcW w:w="2479"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rPr>
            </w:pPr>
            <w:r>
              <w:rPr>
                <w:rFonts w:hint="eastAsia"/>
                <w:color w:val="000000"/>
              </w:rPr>
              <w:t>尿碱性，养分含量高，分解快，热性肥。</w:t>
            </w:r>
          </w:p>
        </w:tc>
        <w:tc>
          <w:tcPr>
            <w:tcW w:w="32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rPr>
            </w:pPr>
            <w:r>
              <w:rPr>
                <w:rFonts w:hint="eastAsia"/>
                <w:color w:val="000000"/>
              </w:rPr>
              <w:t>①圈内积存，不能露晒，随出随施随盖土。②与猪、牛粪混合堆肥、肥效长、平稳。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rPr>
            </w:pPr>
            <w:r>
              <w:rPr>
                <w:rFonts w:hint="default"/>
                <w:color w:val="000000"/>
                <w:lang w:val="en-US" w:eastAsia="zh-CN"/>
              </w:rPr>
              <w:t>6</w:t>
            </w:r>
          </w:p>
        </w:tc>
        <w:tc>
          <w:tcPr>
            <w:tcW w:w="17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rPr>
            </w:pPr>
            <w:r>
              <w:rPr>
                <w:rFonts w:hint="eastAsia"/>
                <w:color w:val="000000"/>
              </w:rPr>
              <w:t>鸡粪尿</w:t>
            </w:r>
          </w:p>
        </w:tc>
        <w:tc>
          <w:tcPr>
            <w:tcW w:w="2479"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rPr>
            </w:pPr>
            <w:r>
              <w:rPr>
                <w:rFonts w:hint="eastAsia"/>
                <w:color w:val="000000"/>
              </w:rPr>
              <w:t>新鲜粪中的氮主要为尿酸盐类，不能直接为作物吸收，迟效肥。</w:t>
            </w:r>
          </w:p>
        </w:tc>
        <w:tc>
          <w:tcPr>
            <w:tcW w:w="32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rPr>
            </w:pPr>
            <w:r>
              <w:rPr>
                <w:rFonts w:hint="eastAsia"/>
                <w:color w:val="000000"/>
              </w:rPr>
              <w:t>①不宜新鲜使用，腐熟后可作基肥，追肥、种肥。②宜干燥贮存，否则易发生高温，使氮素遭受损失。</w:t>
            </w:r>
          </w:p>
        </w:tc>
      </w:tr>
    </w:tbl>
    <w:p>
      <w:pPr>
        <w:ind w:firstLine="482"/>
        <w:rPr>
          <w:rFonts w:hint="eastAsia"/>
          <w:b/>
          <w:bCs/>
        </w:rPr>
      </w:pPr>
      <w:r>
        <w:rPr>
          <w:rFonts w:hint="eastAsia"/>
          <w:b/>
          <w:bCs/>
          <w:lang w:eastAsia="zh-CN"/>
        </w:rPr>
        <w:t>（</w:t>
      </w:r>
      <w:r>
        <w:rPr>
          <w:rFonts w:hint="eastAsia"/>
          <w:b/>
          <w:bCs/>
          <w:lang w:val="en-US" w:eastAsia="zh-CN"/>
        </w:rPr>
        <w:t>二</w:t>
      </w:r>
      <w:r>
        <w:rPr>
          <w:rFonts w:hint="eastAsia"/>
          <w:b/>
          <w:bCs/>
          <w:lang w:eastAsia="zh-CN"/>
        </w:rPr>
        <w:t>）</w:t>
      </w:r>
      <w:r>
        <w:rPr>
          <w:rFonts w:hint="eastAsia"/>
          <w:b/>
          <w:bCs/>
        </w:rPr>
        <w:t>堆沤肥</w:t>
      </w:r>
    </w:p>
    <w:p>
      <w:pPr>
        <w:ind w:firstLine="482"/>
        <w:rPr>
          <w:rFonts w:hint="eastAsia" w:eastAsia="宋体"/>
          <w:lang w:eastAsia="zh-CN"/>
        </w:rPr>
      </w:pPr>
      <w:r>
        <w:rPr>
          <w:rFonts w:hint="eastAsia"/>
        </w:rPr>
        <w:t>堆沤肥包括厩肥、堆肥和沤肥是我国农业生产上的重要有机肥源，堆沤肥养分丰富，不但具有有机肥的所有优点，而且施用堆沤肥的有利于环境保护。</w:t>
      </w:r>
    </w:p>
    <w:p>
      <w:pPr>
        <w:ind w:firstLine="482"/>
      </w:pPr>
      <w:r>
        <w:rPr>
          <w:rFonts w:hint="eastAsia"/>
          <w:b/>
          <w:bCs/>
        </w:rPr>
        <w:t>1、厩肥</w:t>
      </w:r>
      <w:r>
        <w:rPr>
          <w:rFonts w:hint="eastAsia"/>
        </w:rPr>
        <w:t>厩肥是牲畜粪尿与垫料混合堆沤腐解而成的有机肥料。厩肥的腐熟程度决定肥料的性质与养分含量，腐熟程度较差的厩肥可作基肥，不宜作追肥和种肥，半腐熟厩肥适宜于用作生长周期较长的作物之播前府肥，完全腐熟的厩肥基本上是速效性的，可作追肥和种肥，相对于土壤而言，半腐熟的厩肥深施于砂质土壤上，完全腐熟厩肥宜施在粘质土壤上。</w:t>
      </w:r>
    </w:p>
    <w:p>
      <w:pPr>
        <w:ind w:firstLine="482"/>
      </w:pPr>
      <w:r>
        <w:rPr>
          <w:rFonts w:hint="eastAsia"/>
          <w:b/>
          <w:bCs/>
        </w:rPr>
        <w:t>2、堆肥</w:t>
      </w:r>
      <w:r>
        <w:rPr>
          <w:rFonts w:hint="eastAsia"/>
        </w:rPr>
        <w:t>堆肥是利用作物秸秆、落叶、杂草、泥土、垃圾、生活污水及人粪尿，家畜粪尿等各种有机物和适量的石灰混合堆积腐熟而成的肥料。堆肥材料来源广泛，肥效好，是我国农村普遍积制施用的有机肥料。</w:t>
      </w:r>
    </w:p>
    <w:p>
      <w:pPr>
        <w:ind w:firstLine="482"/>
        <w:rPr>
          <w:rFonts w:hint="eastAsia" w:eastAsia="宋体"/>
          <w:lang w:eastAsia="zh-CN"/>
        </w:rPr>
      </w:pPr>
      <w:r>
        <w:rPr>
          <w:b/>
          <w:bCs/>
        </w:rPr>
        <w:t>3</w:t>
      </w:r>
      <w:r>
        <w:rPr>
          <w:rFonts w:hint="eastAsia"/>
          <w:b/>
          <w:bCs/>
        </w:rPr>
        <w:t>、沤肥</w:t>
      </w:r>
      <w:r>
        <w:rPr>
          <w:rFonts w:hint="eastAsia"/>
        </w:rPr>
        <w:t>沤肥是以作物枯秆、绿肥、青草、草皮等植物残体为主，混以垃圾、粪尿、泥土等，在常温、淹水的条件下沤制成的肥料。堆沤肥中的机质有嫌气条件下分解养分不易挥发，且形成的速效养分多被泥土吸附，不易流失，肥效长而稳。</w:t>
      </w:r>
    </w:p>
    <w:p>
      <w:pPr>
        <w:keepNext/>
        <w:ind w:firstLine="482"/>
        <w:rPr>
          <w:b/>
          <w:bCs/>
        </w:rPr>
      </w:pPr>
      <w:r>
        <w:rPr>
          <w:rFonts w:hint="eastAsia"/>
          <w:b/>
          <w:bCs/>
        </w:rPr>
        <w:t>堆沤肥性质和使用方法</w:t>
      </w:r>
    </w:p>
    <w:tbl>
      <w:tblPr>
        <w:tblStyle w:val="62"/>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701"/>
        <w:gridCol w:w="2268"/>
        <w:gridCol w:w="3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tcBorders>
            <w:vAlign w:val="center"/>
          </w:tcPr>
          <w:p>
            <w:pPr>
              <w:spacing w:before="0" w:after="0"/>
              <w:ind w:firstLine="0" w:firstLineChars="0"/>
              <w:jc w:val="center"/>
              <w:rPr>
                <w:b w:val="0"/>
                <w:bCs w:val="0"/>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序号</w:t>
            </w:r>
          </w:p>
        </w:tc>
        <w:tc>
          <w:tcPr>
            <w:tcW w:w="1701" w:type="dxa"/>
            <w:tcBorders>
              <w:top w:val="single" w:color="auto" w:sz="4" w:space="0"/>
              <w:bottom w:val="single" w:color="auto" w:sz="4" w:space="0"/>
            </w:tcBorders>
            <w:vAlign w:val="center"/>
          </w:tcPr>
          <w:p>
            <w:pPr>
              <w:spacing w:before="0" w:after="0"/>
              <w:ind w:firstLine="0" w:firstLineChars="0"/>
              <w:jc w:val="center"/>
              <w:rPr>
                <w:b w:val="0"/>
                <w:bCs w:val="0"/>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肥料养分</w:t>
            </w:r>
          </w:p>
        </w:tc>
        <w:tc>
          <w:tcPr>
            <w:tcW w:w="2268" w:type="dxa"/>
            <w:tcBorders>
              <w:top w:val="single" w:color="auto" w:sz="4" w:space="0"/>
              <w:bottom w:val="single" w:color="auto" w:sz="4" w:space="0"/>
            </w:tcBorders>
            <w:vAlign w:val="center"/>
          </w:tcPr>
          <w:p>
            <w:pPr>
              <w:spacing w:before="0" w:after="0"/>
              <w:ind w:firstLine="0" w:firstLineChars="0"/>
              <w:jc w:val="center"/>
              <w:rPr>
                <w:b w:val="0"/>
                <w:bCs w:val="0"/>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肥料性质</w:t>
            </w:r>
          </w:p>
        </w:tc>
        <w:tc>
          <w:tcPr>
            <w:tcW w:w="3629" w:type="dxa"/>
            <w:tcBorders>
              <w:top w:val="single" w:color="auto" w:sz="4" w:space="0"/>
              <w:bottom w:val="single" w:color="auto" w:sz="4" w:space="0"/>
              <w:right w:val="single" w:color="auto" w:sz="4" w:space="0"/>
            </w:tcBorders>
            <w:vAlign w:val="center"/>
          </w:tcPr>
          <w:p>
            <w:pPr>
              <w:spacing w:before="0" w:after="0"/>
              <w:ind w:firstLine="0" w:firstLineChars="0"/>
              <w:jc w:val="center"/>
              <w:rPr>
                <w:b w:val="0"/>
                <w:bCs w:val="0"/>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使用方法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Borders>
              <w:top w:val="single" w:color="auto" w:sz="4" w:space="0"/>
            </w:tcBorders>
            <w:shd w:val="clear" w:color="auto" w:fill="E2EFD9" w:themeFill="accent6" w:themeFillTint="33"/>
            <w:vAlign w:val="center"/>
          </w:tcPr>
          <w:p>
            <w:pPr>
              <w:spacing w:before="0" w:after="0"/>
              <w:ind w:firstLine="0" w:firstLineChars="0"/>
              <w:jc w:val="center"/>
              <w:rPr>
                <w:b w:val="0"/>
                <w:bCs w:val="0"/>
                <w:kern w:val="0"/>
              </w:rPr>
            </w:pPr>
            <w:r>
              <w:rPr>
                <w:rFonts w:hint="eastAsia"/>
                <w:b/>
                <w:bCs/>
                <w:kern w:val="0"/>
              </w:rPr>
              <w:t>1</w:t>
            </w:r>
          </w:p>
        </w:tc>
        <w:tc>
          <w:tcPr>
            <w:tcW w:w="1701" w:type="dxa"/>
            <w:tcBorders>
              <w:top w:val="single" w:color="auto" w:sz="4" w:space="0"/>
            </w:tcBorders>
            <w:shd w:val="clear" w:color="auto" w:fill="E2EFD9" w:themeFill="accent6" w:themeFillTint="33"/>
            <w:vAlign w:val="center"/>
          </w:tcPr>
          <w:p>
            <w:pPr>
              <w:spacing w:before="0" w:after="0"/>
              <w:ind w:firstLine="0" w:firstLineChars="0"/>
              <w:jc w:val="center"/>
              <w:rPr>
                <w:kern w:val="0"/>
              </w:rPr>
            </w:pPr>
            <w:r>
              <w:rPr>
                <w:rFonts w:hint="eastAsia"/>
                <w:kern w:val="0"/>
              </w:rPr>
              <w:t>猪厩肥</w:t>
            </w:r>
          </w:p>
        </w:tc>
        <w:tc>
          <w:tcPr>
            <w:tcW w:w="2268" w:type="dxa"/>
            <w:tcBorders>
              <w:top w:val="single" w:color="auto" w:sz="4" w:space="0"/>
            </w:tcBorders>
            <w:shd w:val="clear" w:color="auto" w:fill="E2EFD9" w:themeFill="accent6" w:themeFillTint="33"/>
            <w:vAlign w:val="center"/>
          </w:tcPr>
          <w:p>
            <w:pPr>
              <w:spacing w:before="0" w:after="0"/>
              <w:ind w:firstLine="0" w:firstLineChars="0"/>
              <w:jc w:val="center"/>
              <w:rPr>
                <w:kern w:val="0"/>
              </w:rPr>
            </w:pPr>
            <w:r>
              <w:rPr>
                <w:rFonts w:hint="eastAsia"/>
                <w:kern w:val="0"/>
              </w:rPr>
              <w:t>有机质含量高迟效后劲长</w:t>
            </w:r>
          </w:p>
        </w:tc>
        <w:tc>
          <w:tcPr>
            <w:tcW w:w="3629" w:type="dxa"/>
            <w:tcBorders>
              <w:top w:val="single" w:color="auto" w:sz="4" w:space="0"/>
            </w:tcBorders>
            <w:shd w:val="clear" w:color="auto" w:fill="E2EFD9" w:themeFill="accent6" w:themeFillTint="33"/>
            <w:vAlign w:val="center"/>
          </w:tcPr>
          <w:p>
            <w:pPr>
              <w:spacing w:before="0" w:after="0"/>
              <w:ind w:firstLine="0" w:firstLineChars="0"/>
              <w:jc w:val="center"/>
              <w:rPr>
                <w:kern w:val="0"/>
              </w:rPr>
            </w:pPr>
            <w:r>
              <w:rPr>
                <w:rFonts w:hint="eastAsia"/>
                <w:kern w:val="0"/>
              </w:rPr>
              <w:t>①猪圈土粪多作底肥或捣碎后作种肥；②宜施入沙土、粘土改良土壤。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spacing w:before="0" w:after="0"/>
              <w:ind w:firstLine="0" w:firstLineChars="0"/>
              <w:jc w:val="center"/>
              <w:rPr>
                <w:b w:val="0"/>
                <w:bCs w:val="0"/>
                <w:kern w:val="0"/>
              </w:rPr>
            </w:pPr>
            <w:r>
              <w:rPr>
                <w:rFonts w:hint="eastAsia"/>
                <w:b/>
                <w:bCs/>
                <w:kern w:val="0"/>
              </w:rPr>
              <w:t>2</w:t>
            </w:r>
          </w:p>
        </w:tc>
        <w:tc>
          <w:tcPr>
            <w:tcW w:w="1701" w:type="dxa"/>
            <w:vAlign w:val="center"/>
          </w:tcPr>
          <w:p>
            <w:pPr>
              <w:spacing w:before="0" w:after="0"/>
              <w:ind w:firstLine="0" w:firstLineChars="0"/>
              <w:jc w:val="center"/>
              <w:rPr>
                <w:kern w:val="0"/>
              </w:rPr>
            </w:pPr>
            <w:r>
              <w:rPr>
                <w:rFonts w:hint="eastAsia"/>
                <w:kern w:val="0"/>
              </w:rPr>
              <w:t>牛厩肥、羊厩肥、马厩肥、土粪、一般堆肥</w:t>
            </w:r>
          </w:p>
        </w:tc>
        <w:tc>
          <w:tcPr>
            <w:tcW w:w="2268" w:type="dxa"/>
            <w:vAlign w:val="center"/>
          </w:tcPr>
          <w:p>
            <w:pPr>
              <w:spacing w:before="0" w:after="0"/>
              <w:ind w:firstLine="0" w:firstLineChars="0"/>
              <w:jc w:val="center"/>
              <w:rPr>
                <w:rFonts w:hint="eastAsia" w:eastAsia="宋体"/>
                <w:kern w:val="0"/>
                <w:lang w:eastAsia="zh-CN"/>
              </w:rPr>
            </w:pPr>
            <w:r>
              <w:rPr>
                <w:rFonts w:hint="eastAsia"/>
                <w:kern w:val="0"/>
              </w:rPr>
              <w:t>有机质含量较高，肥效较好</w:t>
            </w:r>
          </w:p>
        </w:tc>
        <w:tc>
          <w:tcPr>
            <w:tcW w:w="3629" w:type="dxa"/>
            <w:vAlign w:val="center"/>
          </w:tcPr>
          <w:p>
            <w:pPr>
              <w:spacing w:before="0" w:after="0"/>
              <w:ind w:firstLine="0" w:firstLineChars="0"/>
              <w:jc w:val="center"/>
              <w:rPr>
                <w:kern w:val="0"/>
              </w:rPr>
            </w:pPr>
            <w:r>
              <w:rPr>
                <w:rFonts w:hint="eastAsia"/>
                <w:kern w:val="0"/>
              </w:rPr>
              <w:t>①田头沤肥多用作基肥；②堆肥多用作腐肥、种肥或追肥。</w:t>
            </w:r>
          </w:p>
        </w:tc>
      </w:tr>
    </w:tbl>
    <w:p>
      <w:pPr>
        <w:ind w:firstLine="482"/>
        <w:rPr>
          <w:rFonts w:hint="eastAsia"/>
          <w:b/>
          <w:bCs/>
          <w:lang w:eastAsia="zh-CN"/>
        </w:rPr>
      </w:pPr>
      <w:r>
        <w:rPr>
          <w:rFonts w:hint="eastAsia"/>
          <w:b/>
          <w:bCs/>
          <w:lang w:eastAsia="zh-CN"/>
        </w:rPr>
        <w:t>（</w:t>
      </w:r>
      <w:r>
        <w:rPr>
          <w:rFonts w:hint="eastAsia"/>
          <w:b/>
          <w:bCs/>
          <w:lang w:val="en-US" w:eastAsia="zh-CN"/>
        </w:rPr>
        <w:t>三</w:t>
      </w:r>
      <w:r>
        <w:rPr>
          <w:rFonts w:hint="eastAsia"/>
          <w:b/>
          <w:bCs/>
          <w:lang w:eastAsia="zh-CN"/>
        </w:rPr>
        <w:t>）</w:t>
      </w:r>
    </w:p>
    <w:p>
      <w:pPr>
        <w:ind w:firstLine="482"/>
      </w:pPr>
      <w:r>
        <w:rPr>
          <w:rFonts w:hint="eastAsia"/>
          <w:b/>
          <w:bCs/>
        </w:rPr>
        <w:t>秸秆肥</w:t>
      </w:r>
      <w:r>
        <w:rPr>
          <w:rFonts w:hint="eastAsia"/>
        </w:rPr>
        <w:t>秸秆是农作物的副产品，其中含有相当数量的营养元素。当作物收获后，将秸秆直接归不定期于土壤，有改善土壤物理，化学和生物学性状，提高土壤肥力，增加作物产量的作用。秸秆来源广泛，数量的巨大，据统计作物秸秆提供的养分约占我国有机肥总养分的13%—19%。</w:t>
      </w:r>
    </w:p>
    <w:p>
      <w:pPr>
        <w:ind w:firstLine="482"/>
        <w:rPr>
          <w:b/>
          <w:bCs/>
        </w:rPr>
      </w:pPr>
      <w:r>
        <w:rPr>
          <w:rFonts w:hint="eastAsia"/>
          <w:b/>
          <w:bCs/>
        </w:rPr>
        <w:t>秸秆肥的养分和使用方法</w:t>
      </w:r>
    </w:p>
    <w:tbl>
      <w:tblPr>
        <w:tblStyle w:val="63"/>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1755"/>
        <w:gridCol w:w="2059"/>
        <w:gridCol w:w="3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85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b w:val="0"/>
                <w:bCs w:val="0"/>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序号</w:t>
            </w:r>
          </w:p>
        </w:tc>
        <w:tc>
          <w:tcPr>
            <w:tcW w:w="17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b w:val="0"/>
                <w:bCs w:val="0"/>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肥料养分</w:t>
            </w:r>
          </w:p>
        </w:tc>
        <w:tc>
          <w:tcPr>
            <w:tcW w:w="205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b w:val="0"/>
                <w:bCs w:val="0"/>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肥料性质</w:t>
            </w:r>
          </w:p>
        </w:tc>
        <w:tc>
          <w:tcPr>
            <w:tcW w:w="362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b w:val="0"/>
                <w:bCs w:val="0"/>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使用方法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b w:val="0"/>
                <w:bCs w:val="0"/>
                <w:color w:val="000000"/>
                <w:kern w:val="0"/>
              </w:rPr>
            </w:pPr>
            <w:r>
              <w:rPr>
                <w:rFonts w:hint="eastAsia"/>
                <w:b/>
                <w:bCs/>
                <w:color w:val="000000"/>
                <w:kern w:val="0"/>
              </w:rPr>
              <w:t>1</w:t>
            </w:r>
          </w:p>
        </w:tc>
        <w:tc>
          <w:tcPr>
            <w:tcW w:w="17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r>
              <w:rPr>
                <w:rFonts w:hint="eastAsia"/>
                <w:color w:val="000000"/>
                <w:kern w:val="0"/>
              </w:rPr>
              <w:t>稻杆、麦杆、玉米杆</w:t>
            </w:r>
          </w:p>
        </w:tc>
        <w:tc>
          <w:tcPr>
            <w:tcW w:w="205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r>
              <w:rPr>
                <w:rFonts w:hint="eastAsia"/>
                <w:color w:val="000000"/>
                <w:kern w:val="0"/>
              </w:rPr>
              <w:t>稻杆、麦杆、玉米杆较粗硬、纤维多、腐烂分解慢，而绿肥、豆类茎杆等腐烂较快，后劲长，能培肥，疏松土壤。</w:t>
            </w:r>
          </w:p>
        </w:tc>
        <w:tc>
          <w:tcPr>
            <w:tcW w:w="362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r>
              <w:rPr>
                <w:rFonts w:hint="eastAsia"/>
                <w:color w:val="000000"/>
                <w:kern w:val="0"/>
              </w:rPr>
              <w:t>①可将玉米杆切断作垫栏用，沤制厩肥施用；②绿肥、豆杆可翻压畦底作基肥或堆沤腐熟后施用；③稻草还田宜加施适量肥料增效剂、速效氮肥以加速腐烂。</w:t>
            </w:r>
          </w:p>
        </w:tc>
      </w:tr>
    </w:tbl>
    <w:p>
      <w:pPr>
        <w:ind w:firstLine="482"/>
        <w:rPr>
          <w:rFonts w:hint="eastAsia"/>
          <w:b/>
          <w:bCs/>
        </w:rPr>
      </w:pPr>
      <w:r>
        <w:rPr>
          <w:rFonts w:hint="eastAsia"/>
          <w:b/>
          <w:bCs/>
          <w:lang w:eastAsia="zh-CN"/>
        </w:rPr>
        <w:t>（</w:t>
      </w:r>
      <w:r>
        <w:rPr>
          <w:rFonts w:hint="eastAsia"/>
          <w:b/>
          <w:bCs/>
          <w:lang w:val="en-US" w:eastAsia="zh-CN"/>
        </w:rPr>
        <w:t>四</w:t>
      </w:r>
      <w:r>
        <w:rPr>
          <w:rFonts w:hint="eastAsia"/>
          <w:b/>
          <w:bCs/>
          <w:lang w:eastAsia="zh-CN"/>
        </w:rPr>
        <w:t>）</w:t>
      </w:r>
      <w:r>
        <w:rPr>
          <w:rFonts w:hint="eastAsia"/>
          <w:b/>
          <w:bCs/>
        </w:rPr>
        <w:t>绿肥</w:t>
      </w:r>
    </w:p>
    <w:p>
      <w:pPr>
        <w:ind w:firstLine="482"/>
      </w:pPr>
      <w:r>
        <w:rPr>
          <w:rFonts w:hint="eastAsia"/>
        </w:rPr>
        <w:t>凡以植物的绿色部分耕翻入土壤当作肥料的均称绿肥。绿肥分野生和栽培两种。</w:t>
      </w:r>
    </w:p>
    <w:p>
      <w:pPr>
        <w:ind w:firstLine="480"/>
      </w:pPr>
      <w:r>
        <w:rPr>
          <w:rFonts w:hint="eastAsia"/>
        </w:rPr>
        <w:t>下面主要介绍栽培绿肥。栽培绿肥主要是豆科作物，其中有紫云英、蚕豆、大豆、荷兰豆等。这些植物根部有根瘤，能固定大气的氮供生长利用，根系对其他营养元素的吸收能力也很强，生长快。把绿肥耕入土壤后分解也快，为极好的肥料来源，还能致良土壤。绿肥品种繁多，适应性强，各种土壤都可以种植和施用。绿肥是很好的堆肥材料，也常作基肥在播种或定植前2周翻压入土中，搁置，用后淹水并添加肥料增效剂，以便中和绿肥分解过程中产生的有机酸。</w:t>
      </w:r>
    </w:p>
    <w:p>
      <w:pPr>
        <w:ind w:firstLine="482"/>
        <w:rPr>
          <w:b/>
          <w:bCs/>
        </w:rPr>
      </w:pPr>
      <w:r>
        <w:rPr>
          <w:rFonts w:hint="eastAsia"/>
          <w:b/>
          <w:bCs/>
        </w:rPr>
        <w:t>绿肥的养分和使用方法</w:t>
      </w:r>
    </w:p>
    <w:tbl>
      <w:tblPr>
        <w:tblStyle w:val="63"/>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1890"/>
        <w:gridCol w:w="2265"/>
        <w:gridCol w:w="2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b w:val="0"/>
                <w:bCs w:val="0"/>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序号</w:t>
            </w:r>
          </w:p>
        </w:tc>
        <w:tc>
          <w:tcPr>
            <w:tcW w:w="189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b w:val="0"/>
                <w:bCs w:val="0"/>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绿肥养分</w:t>
            </w:r>
          </w:p>
        </w:tc>
        <w:tc>
          <w:tcPr>
            <w:tcW w:w="226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b w:val="0"/>
                <w:bCs w:val="0"/>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绿肥性质</w:t>
            </w:r>
          </w:p>
        </w:tc>
        <w:tc>
          <w:tcPr>
            <w:tcW w:w="29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b w:val="0"/>
                <w:bCs w:val="0"/>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使用方法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b w:val="0"/>
                <w:bCs w:val="0"/>
                <w:color w:val="000000"/>
                <w:kern w:val="0"/>
              </w:rPr>
            </w:pPr>
            <w:r>
              <w:rPr>
                <w:rFonts w:hint="eastAsia"/>
                <w:b/>
                <w:bCs/>
                <w:color w:val="000000"/>
                <w:kern w:val="0"/>
              </w:rPr>
              <w:t>1</w:t>
            </w:r>
          </w:p>
        </w:tc>
        <w:tc>
          <w:tcPr>
            <w:tcW w:w="189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r>
              <w:rPr>
                <w:rFonts w:hint="eastAsia"/>
                <w:color w:val="000000"/>
                <w:kern w:val="0"/>
              </w:rPr>
              <w:t>紫云英</w:t>
            </w:r>
          </w:p>
        </w:tc>
        <w:tc>
          <w:tcPr>
            <w:tcW w:w="226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r>
              <w:rPr>
                <w:rFonts w:hint="eastAsia"/>
                <w:color w:val="000000"/>
                <w:kern w:val="0"/>
              </w:rPr>
              <w:t>含氮丰富鲜嫩多汁分解容易但肥劲短促</w:t>
            </w:r>
          </w:p>
        </w:tc>
        <w:tc>
          <w:tcPr>
            <w:tcW w:w="29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rFonts w:hint="eastAsia" w:eastAsia="宋体"/>
                <w:color w:val="000000"/>
                <w:kern w:val="0"/>
                <w:lang w:eastAsia="zh-CN"/>
              </w:rPr>
            </w:pPr>
            <w:r>
              <w:rPr>
                <w:rFonts w:hint="eastAsia"/>
                <w:color w:val="000000"/>
                <w:kern w:val="0"/>
              </w:rPr>
              <w:t>①在种植前</w:t>
            </w:r>
            <w:r>
              <w:rPr>
                <w:color w:val="000000"/>
                <w:kern w:val="0"/>
              </w:rPr>
              <w:t>10-15</w:t>
            </w:r>
            <w:r>
              <w:rPr>
                <w:rFonts w:hint="eastAsia"/>
                <w:color w:val="000000"/>
                <w:kern w:val="0"/>
              </w:rPr>
              <w:t>天割断绿肥，翻入土中沤烂，作基肥苕子、黄花苜蓿豌豆②切碎鲜茎叶，堆沤后可作基肥。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b w:val="0"/>
                <w:bCs w:val="0"/>
                <w:color w:val="000000"/>
                <w:kern w:val="0"/>
              </w:rPr>
            </w:pPr>
            <w:r>
              <w:rPr>
                <w:rFonts w:hint="eastAsia"/>
                <w:b/>
                <w:bCs/>
                <w:color w:val="000000"/>
                <w:kern w:val="0"/>
              </w:rPr>
              <w:t>2</w:t>
            </w:r>
          </w:p>
        </w:tc>
        <w:tc>
          <w:tcPr>
            <w:tcW w:w="189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r>
              <w:rPr>
                <w:rFonts w:hint="eastAsia"/>
                <w:color w:val="000000"/>
                <w:kern w:val="0"/>
              </w:rPr>
              <w:t>蚕豆、油茶、田菁</w:t>
            </w:r>
          </w:p>
        </w:tc>
        <w:tc>
          <w:tcPr>
            <w:tcW w:w="226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r>
              <w:rPr>
                <w:rFonts w:hint="eastAsia"/>
                <w:color w:val="000000"/>
                <w:kern w:val="0"/>
              </w:rPr>
              <w:t>含氮丰富，茎叶较粗硬，施入旱地、田水分较少。故分解腐烂较慢，但后劲较长是旱地，水田的好绿肥。</w:t>
            </w:r>
          </w:p>
        </w:tc>
        <w:tc>
          <w:tcPr>
            <w:tcW w:w="29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r>
              <w:rPr>
                <w:rFonts w:hint="eastAsia"/>
                <w:color w:val="000000"/>
                <w:kern w:val="0"/>
              </w:rPr>
              <w:t>①主要作基肥，也可堆沤腐烂后作追肥；②砚碎鲜茎叶直接施在畦底部20-30厘米处作基肥；③砚断后与农家肥堆沤后施用。</w:t>
            </w:r>
          </w:p>
        </w:tc>
      </w:tr>
    </w:tbl>
    <w:p>
      <w:pPr>
        <w:ind w:firstLine="482"/>
        <w:rPr>
          <w:rFonts w:hint="eastAsia"/>
          <w:b/>
          <w:bCs/>
        </w:rPr>
      </w:pPr>
      <w:r>
        <w:rPr>
          <w:rFonts w:hint="eastAsia"/>
          <w:b/>
          <w:bCs/>
          <w:lang w:eastAsia="zh-CN"/>
        </w:rPr>
        <w:t>（</w:t>
      </w:r>
      <w:r>
        <w:rPr>
          <w:rFonts w:hint="eastAsia"/>
          <w:b/>
          <w:bCs/>
          <w:lang w:val="en-US" w:eastAsia="zh-CN"/>
        </w:rPr>
        <w:t>五</w:t>
      </w:r>
      <w:r>
        <w:rPr>
          <w:rFonts w:hint="eastAsia"/>
          <w:b/>
          <w:bCs/>
          <w:lang w:eastAsia="zh-CN"/>
        </w:rPr>
        <w:t>）</w:t>
      </w:r>
      <w:r>
        <w:rPr>
          <w:rFonts w:hint="eastAsia"/>
          <w:b/>
          <w:bCs/>
        </w:rPr>
        <w:t>土杂肥</w:t>
      </w:r>
    </w:p>
    <w:p>
      <w:pPr>
        <w:ind w:firstLine="482"/>
      </w:pPr>
      <w:r>
        <w:rPr>
          <w:rFonts w:hint="eastAsia"/>
        </w:rPr>
        <w:t>土杂肥是我国传统的农家肥料，来源广，种类多，主要有肥土，泥肥，灰肥，屠宰废弃物等。</w:t>
      </w:r>
    </w:p>
    <w:p>
      <w:pPr>
        <w:ind w:firstLine="480"/>
      </w:pPr>
      <w:r>
        <w:rPr>
          <w:rFonts w:hint="eastAsia"/>
        </w:rPr>
        <w:t>1、肥土是指熏土、炕土、硝土等泥质肥土。肥土属于微碱性，是速效、热性肥料，宜在冬季作基肥或保温肥使用。</w:t>
      </w:r>
    </w:p>
    <w:p>
      <w:pPr>
        <w:ind w:firstLine="480"/>
        <w:rPr>
          <w:rFonts w:hint="eastAsia" w:eastAsia="宋体"/>
          <w:lang w:eastAsia="zh-CN"/>
        </w:rPr>
      </w:pPr>
      <w:r>
        <w:t>2</w:t>
      </w:r>
      <w:r>
        <w:rPr>
          <w:rFonts w:hint="eastAsia"/>
        </w:rPr>
        <w:t>、泥肥是地表细土，无机盐，有机物等沉积于沟、湖、河、塘、海底部与水生动物及其排泄物一起腐烂分解融合形成的肥活淤泥。泥肥分解程度较差，属缓效性肥料，可直接施入土壤，可作基肥、追肥，也可用作沤制草塘泥的材料。</w:t>
      </w:r>
    </w:p>
    <w:p>
      <w:pPr>
        <w:ind w:firstLine="480"/>
        <w:rPr>
          <w:rFonts w:hint="eastAsia" w:eastAsia="宋体"/>
          <w:lang w:eastAsia="zh-CN"/>
        </w:rPr>
      </w:pPr>
      <w:r>
        <w:t>3</w:t>
      </w:r>
      <w:r>
        <w:rPr>
          <w:rFonts w:hint="eastAsia"/>
        </w:rPr>
        <w:t>、草木灰植物体燃烧后留下的灰分统称为草木灰。草木灰中无机养分含量丰富，养分中经钾和钙的会含量最多，磷次之。因此，将草木灰当作钾肥施用。</w:t>
      </w:r>
    </w:p>
    <w:p>
      <w:pPr>
        <w:ind w:firstLine="480"/>
        <w:rPr>
          <w:rFonts w:hint="eastAsia" w:eastAsia="宋体"/>
          <w:lang w:eastAsia="zh-CN"/>
        </w:rPr>
      </w:pPr>
      <w:r>
        <w:t>4</w:t>
      </w:r>
      <w:r>
        <w:rPr>
          <w:rFonts w:hint="eastAsia"/>
        </w:rPr>
        <w:t>、屠宰废弃物作肥料使用的屠宰废弃物是指屠宰畜禽时，从畜禽肠胃洗刷下来的粪便、废血，以及畜禽碎蹄角，毛发和废水的混合物。将这些废弃物只存起来，妥当处理，既可改善环境，又可以作肥料使用。屠宰场废弃物属迟效性肥料，不能直接施用，一般先与厩肥混合堆沤，待腐熟后作基肥用。</w:t>
      </w:r>
    </w:p>
    <w:p>
      <w:pPr>
        <w:ind w:firstLine="482"/>
      </w:pPr>
      <w:r>
        <w:rPr>
          <w:rFonts w:hint="eastAsia"/>
          <w:b/>
          <w:bCs/>
        </w:rPr>
        <w:t>土杂肥的养分和使用方</w:t>
      </w:r>
      <w:r>
        <w:rPr>
          <w:rFonts w:hint="eastAsia"/>
        </w:rPr>
        <w:t>法</w:t>
      </w:r>
    </w:p>
    <w:tbl>
      <w:tblPr>
        <w:tblStyle w:val="63"/>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103"/>
        <w:gridCol w:w="2205"/>
        <w:gridCol w:w="3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8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b w:val="0"/>
                <w:bCs w:val="0"/>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序号</w:t>
            </w:r>
          </w:p>
        </w:tc>
        <w:tc>
          <w:tcPr>
            <w:tcW w:w="21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b w:val="0"/>
                <w:bCs w:val="0"/>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土杂肥养分</w:t>
            </w:r>
          </w:p>
        </w:tc>
        <w:tc>
          <w:tcPr>
            <w:tcW w:w="22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b w:val="0"/>
                <w:bCs w:val="0"/>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土杂肥性质</w:t>
            </w:r>
          </w:p>
        </w:tc>
        <w:tc>
          <w:tcPr>
            <w:tcW w:w="314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b w:val="0"/>
                <w:bCs w:val="0"/>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使用方法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5"/>
              <w:numPr>
                <w:ilvl w:val="0"/>
                <w:numId w:val="0"/>
              </w:numPr>
              <w:spacing w:before="0" w:after="0"/>
              <w:ind w:left="0" w:firstLine="420" w:firstLineChars="0"/>
              <w:jc w:val="center"/>
              <w:rPr>
                <w:b w:val="0"/>
                <w:bCs w:val="0"/>
                <w:color w:val="000000"/>
                <w:kern w:val="0"/>
              </w:rPr>
            </w:pPr>
            <w:r>
              <w:rPr>
                <w:rFonts w:hint="default" w:ascii="Times New Roman" w:hAnsi="Times New Roman" w:eastAsia="宋体" w:cs="Times New Roman"/>
                <w:b w:val="0"/>
                <w:bCs w:val="0"/>
                <w:color w:val="000000"/>
                <w:kern w:val="0"/>
                <w:sz w:val="28"/>
                <w:szCs w:val="20"/>
                <w:lang w:val="en-US" w:eastAsia="zh-CN" w:bidi="ar-SA"/>
              </w:rPr>
              <w:t>1</w:t>
            </w:r>
          </w:p>
        </w:tc>
        <w:tc>
          <w:tcPr>
            <w:tcW w:w="21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r>
              <w:rPr>
                <w:rFonts w:hint="eastAsia"/>
                <w:color w:val="000000"/>
                <w:kern w:val="0"/>
              </w:rPr>
              <w:t>熏土</w:t>
            </w:r>
          </w:p>
        </w:tc>
        <w:tc>
          <w:tcPr>
            <w:tcW w:w="22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r>
              <w:rPr>
                <w:rFonts w:hint="eastAsia"/>
                <w:color w:val="000000"/>
                <w:kern w:val="0"/>
              </w:rPr>
              <w:t>微碱性含较多硝态氮速效热性肥</w:t>
            </w:r>
          </w:p>
        </w:tc>
        <w:tc>
          <w:tcPr>
            <w:tcW w:w="314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r>
              <w:rPr>
                <w:rFonts w:hint="eastAsia"/>
                <w:color w:val="000000"/>
                <w:kern w:val="0"/>
              </w:rPr>
              <w:t>①施前防止雨淋以免降低肥效.②土硝宜用作基肥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5"/>
              <w:numPr>
                <w:ilvl w:val="0"/>
                <w:numId w:val="0"/>
              </w:numPr>
              <w:spacing w:before="0" w:after="0"/>
              <w:ind w:left="0" w:firstLine="420" w:firstLineChars="0"/>
              <w:jc w:val="center"/>
              <w:rPr>
                <w:b w:val="0"/>
                <w:bCs w:val="0"/>
                <w:color w:val="000000"/>
                <w:kern w:val="0"/>
              </w:rPr>
            </w:pPr>
            <w:r>
              <w:rPr>
                <w:rFonts w:hint="default" w:ascii="Times New Roman" w:hAnsi="Times New Roman" w:eastAsia="宋体" w:cs="Times New Roman"/>
                <w:b w:val="0"/>
                <w:bCs w:val="0"/>
                <w:color w:val="000000"/>
                <w:kern w:val="0"/>
                <w:sz w:val="28"/>
                <w:szCs w:val="20"/>
                <w:lang w:val="en-US" w:eastAsia="zh-CN" w:bidi="ar-SA"/>
              </w:rPr>
              <w:t>2</w:t>
            </w:r>
          </w:p>
        </w:tc>
        <w:tc>
          <w:tcPr>
            <w:tcW w:w="21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r>
              <w:rPr>
                <w:rFonts w:hint="eastAsia"/>
                <w:color w:val="000000"/>
                <w:kern w:val="0"/>
              </w:rPr>
              <w:t>土硝、塘泥</w:t>
            </w:r>
          </w:p>
        </w:tc>
        <w:tc>
          <w:tcPr>
            <w:tcW w:w="22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r>
              <w:rPr>
                <w:rFonts w:hint="eastAsia"/>
                <w:color w:val="000000"/>
                <w:kern w:val="0"/>
              </w:rPr>
              <w:t>养分全，性质稳定，但速效养分含量低，属迟效肥</w:t>
            </w:r>
          </w:p>
        </w:tc>
        <w:tc>
          <w:tcPr>
            <w:tcW w:w="314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r>
              <w:rPr>
                <w:rFonts w:hint="eastAsia"/>
                <w:color w:val="000000"/>
                <w:kern w:val="0"/>
              </w:rPr>
              <w:t>①宜施入沙地，以改良土壤；②冬前起泥，晒干打细，作底肥；③用作基肥，可挑鲜泥，并配合施速效性肥料。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5"/>
              <w:numPr>
                <w:ilvl w:val="0"/>
                <w:numId w:val="0"/>
              </w:numPr>
              <w:spacing w:before="0" w:after="0"/>
              <w:ind w:left="0" w:firstLine="420" w:firstLineChars="0"/>
              <w:jc w:val="center"/>
              <w:rPr>
                <w:b w:val="0"/>
                <w:bCs w:val="0"/>
                <w:color w:val="000000"/>
                <w:kern w:val="0"/>
              </w:rPr>
            </w:pPr>
            <w:r>
              <w:rPr>
                <w:rFonts w:hint="default" w:ascii="Times New Roman" w:hAnsi="Times New Roman" w:eastAsia="宋体" w:cs="Times New Roman"/>
                <w:b w:val="0"/>
                <w:bCs w:val="0"/>
                <w:color w:val="000000"/>
                <w:kern w:val="0"/>
                <w:sz w:val="28"/>
                <w:szCs w:val="20"/>
                <w:lang w:val="en-US" w:eastAsia="zh-CN" w:bidi="ar-SA"/>
              </w:rPr>
              <w:t>3</w:t>
            </w:r>
          </w:p>
        </w:tc>
        <w:tc>
          <w:tcPr>
            <w:tcW w:w="21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r>
              <w:rPr>
                <w:rFonts w:hint="eastAsia"/>
                <w:color w:val="000000"/>
                <w:kern w:val="0"/>
              </w:rPr>
              <w:t>沟泥、河泥湖泥、草木</w:t>
            </w:r>
          </w:p>
        </w:tc>
        <w:tc>
          <w:tcPr>
            <w:tcW w:w="22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r>
              <w:rPr>
                <w:rFonts w:hint="eastAsia"/>
                <w:color w:val="000000"/>
                <w:kern w:val="0"/>
              </w:rPr>
              <w:t>碱性，有效成分主要是钾，并含有较多的钙和磷，以及少量的硼、锰等微量元素为速效肥。</w:t>
            </w:r>
          </w:p>
        </w:tc>
        <w:tc>
          <w:tcPr>
            <w:tcW w:w="314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r>
              <w:rPr>
                <w:rFonts w:hint="eastAsia"/>
                <w:color w:val="000000"/>
                <w:kern w:val="0"/>
              </w:rPr>
              <w:t>①适用于酸性土，粘质土；②宜与农家肥混合作盖种肥及保温肥；③适于喜钾忌氯作物，如黄豆等。用于其它作物则病虫害较少。④不宜与人粪尿混存。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5"/>
              <w:numPr>
                <w:ilvl w:val="0"/>
                <w:numId w:val="0"/>
              </w:numPr>
              <w:spacing w:before="0" w:after="0"/>
              <w:ind w:left="0" w:firstLine="420" w:firstLineChars="0"/>
              <w:jc w:val="center"/>
              <w:rPr>
                <w:b w:val="0"/>
                <w:bCs w:val="0"/>
                <w:color w:val="000000"/>
                <w:kern w:val="0"/>
              </w:rPr>
            </w:pPr>
            <w:r>
              <w:rPr>
                <w:rFonts w:hint="default" w:ascii="Times New Roman" w:hAnsi="Times New Roman" w:eastAsia="宋体" w:cs="Times New Roman"/>
                <w:b w:val="0"/>
                <w:bCs w:val="0"/>
                <w:color w:val="000000"/>
                <w:kern w:val="0"/>
                <w:sz w:val="28"/>
                <w:szCs w:val="20"/>
                <w:lang w:val="en-US" w:eastAsia="zh-CN" w:bidi="ar-SA"/>
              </w:rPr>
              <w:t>4</w:t>
            </w:r>
          </w:p>
        </w:tc>
        <w:tc>
          <w:tcPr>
            <w:tcW w:w="21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rFonts w:hint="eastAsia" w:eastAsia="宋体"/>
                <w:color w:val="000000"/>
                <w:kern w:val="0"/>
                <w:lang w:eastAsia="zh-CN"/>
              </w:rPr>
            </w:pPr>
            <w:r>
              <w:rPr>
                <w:rFonts w:hint="eastAsia"/>
                <w:color w:val="000000"/>
                <w:kern w:val="0"/>
              </w:rPr>
              <w:t>木灰、草灰、稻草灰、麦杆灰、兽蹄</w:t>
            </w:r>
          </w:p>
        </w:tc>
        <w:tc>
          <w:tcPr>
            <w:tcW w:w="22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r>
              <w:rPr>
                <w:rFonts w:hint="eastAsia"/>
                <w:color w:val="000000"/>
                <w:kern w:val="0"/>
              </w:rPr>
              <w:t>养分含量高，不易腐熟</w:t>
            </w:r>
          </w:p>
        </w:tc>
        <w:tc>
          <w:tcPr>
            <w:tcW w:w="314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0" w:after="0"/>
              <w:ind w:firstLine="0" w:firstLineChars="0"/>
              <w:jc w:val="center"/>
              <w:rPr>
                <w:color w:val="000000"/>
                <w:kern w:val="0"/>
              </w:rPr>
            </w:pPr>
            <w:r>
              <w:rPr>
                <w:rFonts w:hint="eastAsia"/>
                <w:color w:val="000000"/>
                <w:kern w:val="0"/>
              </w:rPr>
              <w:t>宜作基肥，肥效长，用量不宜过多。宜与堆肥、厩肥一起堆积腐熟后作基肥。</w:t>
            </w:r>
          </w:p>
        </w:tc>
      </w:tr>
    </w:tbl>
    <w:p>
      <w:pPr>
        <w:ind w:firstLine="482"/>
        <w:rPr>
          <w:rFonts w:hint="eastAsia"/>
          <w:b/>
          <w:bCs/>
        </w:rPr>
      </w:pPr>
      <w:r>
        <w:rPr>
          <w:rFonts w:hint="eastAsia"/>
          <w:b/>
          <w:bCs/>
          <w:lang w:eastAsia="zh-CN"/>
        </w:rPr>
        <w:t>（</w:t>
      </w:r>
      <w:r>
        <w:rPr>
          <w:rFonts w:hint="eastAsia"/>
          <w:b/>
          <w:bCs/>
          <w:lang w:val="en-US" w:eastAsia="zh-CN"/>
        </w:rPr>
        <w:t>六</w:t>
      </w:r>
      <w:r>
        <w:rPr>
          <w:rFonts w:hint="eastAsia"/>
          <w:b/>
          <w:bCs/>
          <w:lang w:eastAsia="zh-CN"/>
        </w:rPr>
        <w:t>）</w:t>
      </w:r>
      <w:r>
        <w:rPr>
          <w:rFonts w:hint="eastAsia"/>
          <w:b/>
          <w:bCs/>
        </w:rPr>
        <w:t>微生物肥料是指含有活性微生物的特定制品</w:t>
      </w:r>
    </w:p>
    <w:p>
      <w:pPr>
        <w:ind w:firstLine="482"/>
      </w:pPr>
      <w:r>
        <w:rPr>
          <w:rFonts w:hint="eastAsia"/>
        </w:rPr>
        <w:t>应用于农业生产中，能够获得特定的肥料效应。将微生物肥料用在种子、土壤上，可增进土壤肥力，协助植物吸收营养，增强植物抗病及抗旱能力，节约能源，降低生产成本减少环境污染。</w:t>
      </w:r>
    </w:p>
    <w:p>
      <w:pPr>
        <w:ind w:firstLine="480"/>
      </w:pPr>
      <w:r>
        <w:rPr>
          <w:rFonts w:hint="eastAsia"/>
        </w:rPr>
        <w:t>微生物肥料的种类很多，按其作用机理分为根瘤菌肥料，固氮菌肥料，磷细菌肥料，硅酸盐细菌肥料。</w:t>
      </w:r>
    </w:p>
    <w:p>
      <w:pPr>
        <w:ind w:firstLine="480"/>
      </w:pPr>
      <w:r>
        <w:rPr>
          <w:rFonts w:hint="eastAsia"/>
          <w:lang w:val="en-US" w:eastAsia="zh-CN"/>
        </w:rPr>
        <w:t>1、</w:t>
      </w:r>
      <w:r>
        <w:rPr>
          <w:rFonts w:hint="eastAsia"/>
        </w:rPr>
        <w:t>根瘤菌肥料根瘤菌肥料是指用于豆科作物接种，使豆科作物结瘤。固氮的接种剂。当豆科植物种子萌发时，根系分泌的一些物质对根瘤菌有强烈的刺激作用。根瘤菌大量繁殖，聚集在根的周围，形成根瘤。根瘤菌的寄主则不停地把根瘤固定的氮素转化，运输供自身利用。</w:t>
      </w:r>
    </w:p>
    <w:p>
      <w:pPr>
        <w:ind w:firstLine="480"/>
      </w:pPr>
      <w:r>
        <w:rPr>
          <w:rFonts w:hint="eastAsia"/>
          <w:lang w:eastAsia="zh-CN"/>
        </w:rPr>
        <w:t>（</w:t>
      </w:r>
      <w:r>
        <w:rPr>
          <w:rFonts w:hint="eastAsia"/>
          <w:lang w:val="en-US" w:eastAsia="zh-CN"/>
        </w:rPr>
        <w:t>1</w:t>
      </w:r>
      <w:r>
        <w:rPr>
          <w:rFonts w:hint="eastAsia"/>
          <w:lang w:eastAsia="zh-CN"/>
        </w:rPr>
        <w:t>）</w:t>
      </w:r>
      <w:r>
        <w:rPr>
          <w:rFonts w:hint="eastAsia"/>
        </w:rPr>
        <w:t>使用方法：根瘤菌肥多用于拌种，即在豆科作物种植之前将根瘤菌肥料拌在种子上经促进共生固氮，达到增产的目的。根瘤菌与钼肥结合使用效果更好。使用时，每667m2用5—10g钼酸铝直接拌种或与根瘤菌有肥合用。</w:t>
      </w:r>
    </w:p>
    <w:p>
      <w:pPr>
        <w:ind w:firstLine="480"/>
      </w:pPr>
      <w:r>
        <w:rPr>
          <w:rFonts w:hint="eastAsia"/>
          <w:lang w:eastAsia="zh-CN"/>
        </w:rPr>
        <w:t>（</w:t>
      </w:r>
      <w:r>
        <w:rPr>
          <w:rFonts w:hint="eastAsia"/>
          <w:lang w:val="en-US" w:eastAsia="zh-CN"/>
        </w:rPr>
        <w:t>2</w:t>
      </w:r>
      <w:r>
        <w:rPr>
          <w:rFonts w:hint="eastAsia"/>
          <w:lang w:eastAsia="zh-CN"/>
        </w:rPr>
        <w:t>）</w:t>
      </w:r>
      <w:r>
        <w:rPr>
          <w:rFonts w:hint="eastAsia"/>
        </w:rPr>
        <w:t>注意事项</w:t>
      </w:r>
    </w:p>
    <w:p>
      <w:pPr>
        <w:ind w:firstLine="480"/>
        <w:rPr>
          <w:rFonts w:hint="eastAsia" w:eastAsia="宋体"/>
          <w:lang w:eastAsia="zh-CN"/>
        </w:rPr>
      </w:pPr>
      <w:r>
        <w:t>1</w:t>
      </w:r>
      <w:r>
        <w:rPr>
          <w:rFonts w:hint="eastAsia"/>
        </w:rPr>
        <w:t>）根瘤菌是喜温好气型的微生物，适宜于中性至微碱性的土壤条件，应用于酸性土壤时，要加石灰调节土壤酸度。</w:t>
      </w:r>
    </w:p>
    <w:p>
      <w:pPr>
        <w:ind w:firstLine="480"/>
      </w:pPr>
      <w:r>
        <w:t>2</w:t>
      </w:r>
      <w:r>
        <w:rPr>
          <w:rFonts w:hint="eastAsia"/>
        </w:rPr>
        <w:t>）避免与速效氮肥和杀菌剂同时使用，如种子消毒，应在拌种前</w:t>
      </w:r>
      <w:r>
        <w:t>2—3</w:t>
      </w:r>
      <w:r>
        <w:rPr>
          <w:rFonts w:hint="eastAsia"/>
        </w:rPr>
        <w:t>周拌药，使菌与药有较长时间的间隔，以免影响根瘤活性。</w:t>
      </w:r>
    </w:p>
    <w:p>
      <w:pPr>
        <w:ind w:firstLine="480"/>
        <w:rPr>
          <w:rFonts w:hint="eastAsia" w:eastAsia="宋体"/>
          <w:lang w:eastAsia="zh-CN"/>
        </w:rPr>
      </w:pPr>
      <w:r>
        <w:rPr>
          <w:rFonts w:hint="eastAsia"/>
          <w:lang w:val="en-US" w:eastAsia="zh-CN"/>
        </w:rPr>
        <w:t>2、</w:t>
      </w:r>
      <w:r>
        <w:rPr>
          <w:rFonts w:hint="eastAsia"/>
        </w:rPr>
        <w:t>固氮菌肥料固氮菌肥料是以能够自由生活的固氮的微生物肥料为菌种生产出来的固氮菌肥料。</w:t>
      </w:r>
    </w:p>
    <w:p>
      <w:pPr>
        <w:ind w:firstLine="480"/>
        <w:rPr>
          <w:rFonts w:hint="eastAsia" w:eastAsia="宋体"/>
          <w:lang w:eastAsia="zh-CN"/>
        </w:rPr>
      </w:pPr>
      <w:r>
        <w:rPr>
          <w:rFonts w:hint="eastAsia"/>
          <w:lang w:eastAsia="zh-CN"/>
        </w:rPr>
        <w:t>（</w:t>
      </w:r>
      <w:r>
        <w:rPr>
          <w:rFonts w:hint="eastAsia"/>
          <w:lang w:val="en-US" w:eastAsia="zh-CN"/>
        </w:rPr>
        <w:t>1</w:t>
      </w:r>
      <w:r>
        <w:rPr>
          <w:rFonts w:hint="eastAsia"/>
          <w:lang w:eastAsia="zh-CN"/>
        </w:rPr>
        <w:t>）</w:t>
      </w:r>
      <w:r>
        <w:rPr>
          <w:rFonts w:hint="eastAsia"/>
        </w:rPr>
        <w:t>使用方法：固氮菌适用于各种作物，特别是禾本科作物和蔬菜中的叶菜类作物，可作基肥，追肥和种肥。与有机肥，磷肥、钾肥及微量元素，肥料配合施用，对固氮菌的活性有促进作用。</w:t>
      </w:r>
    </w:p>
    <w:p>
      <w:pPr>
        <w:ind w:firstLine="480"/>
        <w:rPr>
          <w:rFonts w:hint="eastAsia" w:eastAsia="宋体"/>
          <w:lang w:eastAsia="zh-CN"/>
        </w:rPr>
      </w:pPr>
      <w:r>
        <w:t>1</w:t>
      </w:r>
      <w:r>
        <w:rPr>
          <w:rFonts w:hint="eastAsia"/>
        </w:rPr>
        <w:t>）基施：与有机肥配合沟施或穴施，施后立即覆土。</w:t>
      </w:r>
    </w:p>
    <w:p>
      <w:pPr>
        <w:ind w:firstLine="480"/>
        <w:rPr>
          <w:rFonts w:hint="eastAsia" w:eastAsia="宋体"/>
          <w:lang w:eastAsia="zh-CN"/>
        </w:rPr>
      </w:pPr>
      <w:r>
        <w:t>2</w:t>
      </w:r>
      <w:r>
        <w:rPr>
          <w:rFonts w:hint="eastAsia"/>
        </w:rPr>
        <w:t>）追施：把菌肥用水调式糊状，施于作物根部，施后覆土。</w:t>
      </w:r>
    </w:p>
    <w:p>
      <w:pPr>
        <w:ind w:firstLine="480"/>
        <w:rPr>
          <w:rFonts w:hint="eastAsia" w:eastAsia="宋体"/>
          <w:lang w:eastAsia="zh-CN"/>
        </w:rPr>
      </w:pPr>
      <w:r>
        <w:t>3</w:t>
      </w:r>
      <w:r>
        <w:rPr>
          <w:rFonts w:hint="eastAsia"/>
        </w:rPr>
        <w:t>）拌种：在菌肥中加适量的水混匀，倒入种子混拌，捞出阴干即可播种。</w:t>
      </w:r>
    </w:p>
    <w:p>
      <w:pPr>
        <w:ind w:firstLine="480"/>
        <w:rPr>
          <w:rFonts w:hint="eastAsia"/>
        </w:rPr>
      </w:pPr>
      <w:r>
        <w:rPr>
          <w:rFonts w:hint="eastAsia"/>
          <w:lang w:eastAsia="zh-CN"/>
        </w:rPr>
        <w:t>（</w:t>
      </w:r>
      <w:r>
        <w:rPr>
          <w:rFonts w:hint="eastAsia"/>
          <w:lang w:val="en-US" w:eastAsia="zh-CN"/>
        </w:rPr>
        <w:t>2</w:t>
      </w:r>
      <w:r>
        <w:rPr>
          <w:rFonts w:hint="eastAsia"/>
          <w:lang w:eastAsia="zh-CN"/>
        </w:rPr>
        <w:t>）</w:t>
      </w:r>
      <w:r>
        <w:rPr>
          <w:rFonts w:hint="eastAsia"/>
        </w:rPr>
        <w:t>注意事项</w:t>
      </w:r>
    </w:p>
    <w:p>
      <w:pPr>
        <w:ind w:firstLine="480"/>
        <w:rPr>
          <w:rFonts w:hint="eastAsia" w:eastAsia="宋体"/>
          <w:lang w:eastAsia="zh-CN"/>
        </w:rPr>
      </w:pPr>
      <w:r>
        <w:t>1</w:t>
      </w:r>
      <w:r>
        <w:rPr>
          <w:rFonts w:hint="eastAsia"/>
        </w:rPr>
        <w:t>）多适用于禾本科作物及蔬菜中叶菜类作物。</w:t>
      </w:r>
    </w:p>
    <w:p>
      <w:pPr>
        <w:ind w:firstLine="480"/>
        <w:rPr>
          <w:rFonts w:hint="eastAsia" w:eastAsia="宋体"/>
          <w:lang w:eastAsia="zh-CN"/>
        </w:rPr>
      </w:pPr>
      <w:r>
        <w:t>2</w:t>
      </w:r>
      <w:r>
        <w:rPr>
          <w:rFonts w:hint="eastAsia"/>
        </w:rPr>
        <w:t>）避免与速效氮联合应用。</w:t>
      </w:r>
    </w:p>
    <w:p>
      <w:pPr>
        <w:ind w:firstLine="480"/>
        <w:rPr>
          <w:rFonts w:hint="eastAsia" w:eastAsia="宋体"/>
          <w:lang w:eastAsia="zh-CN"/>
        </w:rPr>
      </w:pPr>
      <w:r>
        <w:t>3</w:t>
      </w:r>
      <w:r>
        <w:rPr>
          <w:rFonts w:hint="eastAsia"/>
        </w:rPr>
        <w:t>）对土壤酸性反应很敏感，适宜的</w:t>
      </w:r>
      <w:r>
        <w:t>PH</w:t>
      </w:r>
      <w:r>
        <w:rPr>
          <w:rFonts w:hint="eastAsia"/>
        </w:rPr>
        <w:t>值为—。</w:t>
      </w:r>
    </w:p>
    <w:p>
      <w:pPr>
        <w:ind w:firstLine="480"/>
        <w:rPr>
          <w:rFonts w:hint="eastAsia" w:eastAsia="宋体"/>
          <w:lang w:eastAsia="zh-CN"/>
        </w:rPr>
      </w:pPr>
      <w:r>
        <w:t>4</w:t>
      </w:r>
      <w:r>
        <w:rPr>
          <w:rFonts w:hint="eastAsia"/>
        </w:rPr>
        <w:t>）当土壤湿度为田间最大持水量的</w:t>
      </w:r>
      <w:r>
        <w:t>25%—40%</w:t>
      </w:r>
      <w:r>
        <w:rPr>
          <w:rFonts w:hint="eastAsia"/>
        </w:rPr>
        <w:t>时，固氮菌开始生育，至</w:t>
      </w:r>
      <w:r>
        <w:t>60%</w:t>
      </w:r>
      <w:r>
        <w:rPr>
          <w:rFonts w:hint="eastAsia"/>
        </w:rPr>
        <w:t>时生育最旺盛。</w:t>
      </w:r>
    </w:p>
    <w:p>
      <w:pPr>
        <w:ind w:firstLine="480"/>
        <w:rPr>
          <w:rFonts w:hint="eastAsia" w:eastAsia="宋体"/>
          <w:lang w:eastAsia="zh-CN"/>
        </w:rPr>
      </w:pPr>
      <w:r>
        <w:t>5</w:t>
      </w:r>
      <w:r>
        <w:rPr>
          <w:rFonts w:hint="eastAsia"/>
        </w:rPr>
        <w:t>）固氮菌属于中温性细菌，一般在</w:t>
      </w:r>
      <w:r>
        <w:t>25—30</w:t>
      </w:r>
      <w:r>
        <w:rPr>
          <w:rFonts w:hint="eastAsia"/>
        </w:rPr>
        <w:t>℃的条件下生长最好。</w:t>
      </w:r>
    </w:p>
    <w:p>
      <w:pPr>
        <w:ind w:firstLine="480"/>
        <w:rPr>
          <w:rFonts w:hint="eastAsia" w:eastAsia="宋体"/>
          <w:lang w:eastAsia="zh-CN"/>
        </w:rPr>
      </w:pPr>
      <w:r>
        <w:rPr>
          <w:rFonts w:hint="eastAsia"/>
          <w:lang w:val="en-US" w:eastAsia="zh-CN"/>
        </w:rPr>
        <w:t>3、</w:t>
      </w:r>
      <w:r>
        <w:rPr>
          <w:rFonts w:hint="eastAsia"/>
        </w:rPr>
        <w:t>磷细菌肥料磷细菌肥料是能把土壤中难溶性的磷转化为作物能利用的有效磷素营养，又能分泌激素刺激作物生长的活体微生物制品。</w:t>
      </w:r>
    </w:p>
    <w:p>
      <w:pPr>
        <w:ind w:firstLine="480"/>
      </w:pPr>
      <w:r>
        <w:rPr>
          <w:rFonts w:hint="eastAsia"/>
          <w:lang w:eastAsia="zh-CN"/>
        </w:rPr>
        <w:t>（</w:t>
      </w:r>
      <w:r>
        <w:rPr>
          <w:rFonts w:hint="eastAsia"/>
          <w:lang w:val="en-US" w:eastAsia="zh-CN"/>
        </w:rPr>
        <w:t>1</w:t>
      </w:r>
      <w:r>
        <w:rPr>
          <w:rFonts w:hint="eastAsia"/>
          <w:lang w:eastAsia="zh-CN"/>
        </w:rPr>
        <w:t>）</w:t>
      </w:r>
      <w:r>
        <w:rPr>
          <w:rFonts w:hint="eastAsia"/>
        </w:rPr>
        <w:t>使用方法：磷细菌肥料可以作基肥，追肥和种肥，具体施用量以产品说明为准。</w:t>
      </w:r>
    </w:p>
    <w:p>
      <w:pPr>
        <w:ind w:firstLine="480"/>
        <w:rPr>
          <w:rFonts w:hint="eastAsia" w:eastAsia="宋体"/>
          <w:lang w:eastAsia="zh-CN"/>
        </w:rPr>
      </w:pPr>
      <w:r>
        <w:t>1</w:t>
      </w:r>
      <w:r>
        <w:rPr>
          <w:rFonts w:hint="eastAsia"/>
        </w:rPr>
        <w:t>）基肥：可与农家肥料混合均匀后沟施或穴施，施后立即覆土。</w:t>
      </w:r>
    </w:p>
    <w:p>
      <w:pPr>
        <w:ind w:firstLine="480"/>
        <w:rPr>
          <w:rFonts w:hint="eastAsia" w:eastAsia="宋体"/>
          <w:lang w:eastAsia="zh-CN"/>
        </w:rPr>
      </w:pPr>
      <w:r>
        <w:t>2</w:t>
      </w:r>
      <w:r>
        <w:rPr>
          <w:rFonts w:hint="eastAsia"/>
        </w:rPr>
        <w:t>）追肥：将肥液于作物开花前期追施于作物根部。</w:t>
      </w:r>
    </w:p>
    <w:p>
      <w:pPr>
        <w:ind w:firstLine="480"/>
        <w:rPr>
          <w:rFonts w:hint="eastAsia" w:eastAsia="宋体"/>
          <w:lang w:eastAsia="zh-CN"/>
        </w:rPr>
      </w:pPr>
      <w:r>
        <w:t>3</w:t>
      </w:r>
      <w:r>
        <w:rPr>
          <w:rFonts w:hint="eastAsia"/>
        </w:rPr>
        <w:t>）拌种：在磷细菌肥料内加入适量清水调成糊状，加入种子混拌后，将种子捞出待其阴干即可播种。</w:t>
      </w:r>
    </w:p>
    <w:p>
      <w:pPr>
        <w:ind w:firstLine="480"/>
      </w:pPr>
      <w:r>
        <w:rPr>
          <w:rFonts w:hint="eastAsia"/>
          <w:lang w:eastAsia="zh-CN"/>
        </w:rPr>
        <w:t>（</w:t>
      </w:r>
      <w:r>
        <w:rPr>
          <w:rFonts w:hint="eastAsia"/>
          <w:lang w:val="en-US" w:eastAsia="zh-CN"/>
        </w:rPr>
        <w:t>2</w:t>
      </w:r>
      <w:r>
        <w:rPr>
          <w:rFonts w:hint="eastAsia"/>
          <w:lang w:eastAsia="zh-CN"/>
        </w:rPr>
        <w:t>）</w:t>
      </w:r>
      <w:r>
        <w:rPr>
          <w:rFonts w:hint="eastAsia"/>
        </w:rPr>
        <w:t>注意事项</w:t>
      </w:r>
    </w:p>
    <w:p>
      <w:pPr>
        <w:ind w:firstLine="480"/>
        <w:rPr>
          <w:rFonts w:hint="eastAsia" w:eastAsia="宋体"/>
          <w:lang w:eastAsia="zh-CN"/>
        </w:rPr>
      </w:pPr>
      <w:r>
        <w:t>1</w:t>
      </w:r>
      <w:r>
        <w:rPr>
          <w:rFonts w:hint="eastAsia"/>
        </w:rPr>
        <w:t>）磷细菌肥料应用于缺磷但有机质丰富的土壤效果较佳。</w:t>
      </w:r>
    </w:p>
    <w:p>
      <w:pPr>
        <w:ind w:firstLine="480"/>
        <w:rPr>
          <w:rFonts w:hint="eastAsia" w:eastAsia="宋体"/>
          <w:lang w:eastAsia="zh-CN"/>
        </w:rPr>
      </w:pPr>
      <w:r>
        <w:t>2</w:t>
      </w:r>
      <w:r>
        <w:rPr>
          <w:rFonts w:hint="eastAsia"/>
        </w:rPr>
        <w:t>）不同类型的解磷菌种互不拮抗，可复合使用。</w:t>
      </w:r>
    </w:p>
    <w:p>
      <w:pPr>
        <w:ind w:firstLine="480"/>
        <w:rPr>
          <w:rFonts w:hint="eastAsia" w:eastAsia="宋体"/>
          <w:lang w:eastAsia="zh-CN"/>
        </w:rPr>
      </w:pPr>
      <w:r>
        <w:t>3</w:t>
      </w:r>
      <w:r>
        <w:rPr>
          <w:rFonts w:hint="eastAsia"/>
        </w:rPr>
        <w:t>）磷细菌肥料不能和农药及生理酸性肥料同时施用。</w:t>
      </w:r>
    </w:p>
    <w:p>
      <w:pPr>
        <w:ind w:firstLine="480"/>
        <w:rPr>
          <w:rFonts w:hint="eastAsia" w:eastAsia="宋体"/>
          <w:lang w:eastAsia="zh-CN"/>
        </w:rPr>
      </w:pPr>
      <w:r>
        <w:t>4</w:t>
      </w:r>
      <w:r>
        <w:rPr>
          <w:rFonts w:hint="eastAsia"/>
        </w:rPr>
        <w:t>）磷细菌的适宜温度为</w:t>
      </w:r>
      <w:r>
        <w:t>30—37</w:t>
      </w:r>
      <w:r>
        <w:rPr>
          <w:rFonts w:hint="eastAsia"/>
        </w:rPr>
        <w:t>℃，适宜的</w:t>
      </w:r>
      <w:r>
        <w:t>PH</w:t>
      </w:r>
      <w:r>
        <w:rPr>
          <w:rFonts w:hint="eastAsia"/>
        </w:rPr>
        <w:t>值为—。</w:t>
      </w:r>
    </w:p>
    <w:p>
      <w:pPr>
        <w:ind w:firstLine="480"/>
        <w:rPr>
          <w:rFonts w:hint="eastAsia" w:eastAsia="宋体"/>
          <w:lang w:eastAsia="zh-CN"/>
        </w:rPr>
      </w:pPr>
      <w:r>
        <w:rPr>
          <w:rFonts w:hint="eastAsia"/>
          <w:lang w:val="en-US" w:eastAsia="zh-CN"/>
        </w:rPr>
        <w:t>4、</w:t>
      </w:r>
      <w:r>
        <w:rPr>
          <w:rFonts w:hint="eastAsia"/>
        </w:rPr>
        <w:t>硅酸盐细菌肥料是指在土壤中通过硅酸盐细菌的生命活动，增加植物营养元素的供应量，刺激作物生长，抑制有害微生物活动，对作物有一定的增产效果的微生物制品。</w:t>
      </w:r>
    </w:p>
    <w:p>
      <w:pPr>
        <w:ind w:firstLine="480"/>
        <w:rPr>
          <w:rFonts w:hint="eastAsia" w:eastAsia="宋体"/>
          <w:lang w:eastAsia="zh-CN"/>
        </w:rPr>
      </w:pPr>
      <w:r>
        <w:rPr>
          <w:rFonts w:hint="eastAsia"/>
          <w:lang w:eastAsia="zh-CN"/>
        </w:rPr>
        <w:t>（</w:t>
      </w:r>
      <w:r>
        <w:rPr>
          <w:rFonts w:hint="eastAsia"/>
          <w:lang w:val="en-US" w:eastAsia="zh-CN"/>
        </w:rPr>
        <w:t>1</w:t>
      </w:r>
      <w:r>
        <w:rPr>
          <w:rFonts w:hint="eastAsia"/>
          <w:lang w:eastAsia="zh-CN"/>
        </w:rPr>
        <w:t>）</w:t>
      </w:r>
      <w:r>
        <w:rPr>
          <w:rFonts w:hint="eastAsia"/>
        </w:rPr>
        <w:t>使用方法：硅酸盐细菌肥料可以作基肥，追肥和拌种或蘸根用。</w:t>
      </w:r>
    </w:p>
    <w:p>
      <w:pPr>
        <w:ind w:firstLine="480"/>
        <w:rPr>
          <w:rFonts w:hint="eastAsia" w:eastAsia="宋体"/>
          <w:lang w:eastAsia="zh-CN"/>
        </w:rPr>
      </w:pPr>
      <w:r>
        <w:t>1</w:t>
      </w:r>
      <w:r>
        <w:rPr>
          <w:rFonts w:hint="eastAsia"/>
        </w:rPr>
        <w:t>）基肥：每</w:t>
      </w:r>
      <w:r>
        <w:t>667m2</w:t>
      </w:r>
      <w:r>
        <w:rPr>
          <w:rFonts w:hint="eastAsia"/>
        </w:rPr>
        <w:t>沟施或条施</w:t>
      </w:r>
      <w:r>
        <w:t>3—4kg</w:t>
      </w:r>
      <w:r>
        <w:rPr>
          <w:rFonts w:hint="eastAsia"/>
        </w:rPr>
        <w:t>，硅酸盐细菌肥料，施后覆土。若与农家肥混合施用效果更好。</w:t>
      </w:r>
    </w:p>
    <w:p>
      <w:pPr>
        <w:ind w:firstLine="480"/>
        <w:rPr>
          <w:rFonts w:hint="eastAsia" w:eastAsia="宋体"/>
          <w:lang w:eastAsia="zh-CN"/>
        </w:rPr>
      </w:pPr>
      <w:r>
        <w:t>2</w:t>
      </w:r>
      <w:r>
        <w:rPr>
          <w:rFonts w:hint="eastAsia"/>
        </w:rPr>
        <w:t>）拌种：在硅酸盐细菌肥料内加入适量的清水制成悬浊液，喷在种子上拌匀，稍干后立即播种。</w:t>
      </w:r>
    </w:p>
    <w:p>
      <w:pPr>
        <w:ind w:firstLine="480"/>
        <w:rPr>
          <w:rFonts w:hint="eastAsia" w:eastAsia="宋体"/>
          <w:lang w:eastAsia="zh-CN"/>
        </w:rPr>
      </w:pPr>
      <w:r>
        <w:t>3</w:t>
      </w:r>
      <w:r>
        <w:rPr>
          <w:rFonts w:hint="eastAsia"/>
        </w:rPr>
        <w:t>）蘸根：将硅酸盐细菌肥料与清水按</w:t>
      </w:r>
      <w:r>
        <w:t>1</w:t>
      </w:r>
      <w:r>
        <w:rPr>
          <w:rFonts w:hint="eastAsia"/>
        </w:rPr>
        <w:t>：</w:t>
      </w:r>
      <w:r>
        <w:t>5</w:t>
      </w:r>
      <w:r>
        <w:rPr>
          <w:rFonts w:hint="eastAsia"/>
        </w:rPr>
        <w:t>的比例混匀，待溶液澄清后，将水稻、蔬菜等作物的根部蘸取清液，随蘸随用，避免阳光直射。</w:t>
      </w:r>
    </w:p>
    <w:p>
      <w:pPr>
        <w:ind w:firstLine="480"/>
      </w:pPr>
      <w:r>
        <w:rPr>
          <w:rFonts w:hint="eastAsia"/>
          <w:lang w:eastAsia="zh-CN"/>
        </w:rPr>
        <w:t>（</w:t>
      </w:r>
      <w:r>
        <w:rPr>
          <w:rFonts w:hint="eastAsia"/>
          <w:lang w:val="en-US" w:eastAsia="zh-CN"/>
        </w:rPr>
        <w:t>2</w:t>
      </w:r>
      <w:r>
        <w:rPr>
          <w:rFonts w:hint="eastAsia"/>
          <w:lang w:eastAsia="zh-CN"/>
        </w:rPr>
        <w:t>）</w:t>
      </w:r>
      <w:r>
        <w:rPr>
          <w:rFonts w:hint="eastAsia"/>
        </w:rPr>
        <w:t>注意事项</w:t>
      </w:r>
    </w:p>
    <w:p>
      <w:pPr>
        <w:ind w:firstLine="480"/>
        <w:rPr>
          <w:rFonts w:hint="eastAsia" w:eastAsia="宋体"/>
          <w:lang w:eastAsia="zh-CN"/>
        </w:rPr>
      </w:pPr>
      <w:r>
        <w:t>1</w:t>
      </w:r>
      <w:r>
        <w:rPr>
          <w:rFonts w:hint="eastAsia"/>
        </w:rPr>
        <w:t>）不能与过酸、过碱的肥料混合施用。以免发生抑制作用。</w:t>
      </w:r>
    </w:p>
    <w:p>
      <w:pPr>
        <w:ind w:firstLine="480"/>
        <w:rPr>
          <w:rFonts w:hint="eastAsia" w:eastAsia="宋体"/>
          <w:lang w:eastAsia="zh-CN"/>
        </w:rPr>
      </w:pPr>
      <w:r>
        <w:t>2</w:t>
      </w:r>
      <w:r>
        <w:rPr>
          <w:rFonts w:hint="eastAsia"/>
        </w:rPr>
        <w:t>）当土壤中速效钾含量在</w:t>
      </w:r>
      <w:r>
        <w:t>26mg/kg</w:t>
      </w:r>
      <w:r>
        <w:rPr>
          <w:rFonts w:hint="eastAsia"/>
        </w:rPr>
        <w:t>以下时，不利于耐酸盐细菌的生长与解钾功能的发挥。</w:t>
      </w:r>
    </w:p>
    <w:p>
      <w:pPr>
        <w:ind w:firstLine="480"/>
      </w:pPr>
      <w:r>
        <w:rPr>
          <w:rFonts w:hint="eastAsia"/>
          <w:lang w:val="en-US" w:eastAsia="zh-CN"/>
        </w:rPr>
        <w:t>3</w:t>
      </w:r>
      <w:r>
        <w:rPr>
          <w:rFonts w:hint="eastAsia"/>
        </w:rPr>
        <w:t>）当PH值小于6时，硅酸盐细菌的活性会受到抑制。因此，在施用前施用生石灰调节土壤酸度。</w:t>
      </w:r>
    </w:p>
    <w:p>
      <w:pPr>
        <w:spacing w:before="0" w:after="0" w:line="240" w:lineRule="auto"/>
        <w:ind w:firstLine="0" w:firstLineChars="0"/>
        <w:jc w:val="left"/>
      </w:pPr>
      <w:r>
        <w:br w:type="page"/>
      </w:r>
    </w:p>
    <w:p>
      <w:pPr>
        <w:pStyle w:val="7"/>
      </w:pPr>
      <w:bookmarkStart w:id="981" w:name="_Toc117182033"/>
      <w:bookmarkStart w:id="982" w:name="_Toc105600286"/>
      <w:bookmarkStart w:id="983" w:name="_Toc118293357"/>
      <w:bookmarkStart w:id="984" w:name="_Toc32278"/>
      <w:r>
        <w:rPr>
          <w:rFonts w:hint="eastAsia"/>
          <w:lang w:eastAsia="zh-CN"/>
        </w:rPr>
        <w:t>（</w:t>
      </w:r>
      <w:r>
        <w:rPr>
          <w:rFonts w:hint="eastAsia"/>
          <w:lang w:val="en-US" w:eastAsia="zh-CN"/>
        </w:rPr>
        <w:t>六</w:t>
      </w:r>
      <w:r>
        <w:rPr>
          <w:rFonts w:hint="eastAsia"/>
          <w:lang w:eastAsia="zh-CN"/>
        </w:rPr>
        <w:t>）</w:t>
      </w:r>
      <w:r>
        <w:rPr>
          <w:rFonts w:hint="eastAsia"/>
        </w:rPr>
        <w:t>肥料的使用注意事项</w:t>
      </w:r>
      <w:bookmarkEnd w:id="981"/>
      <w:bookmarkEnd w:id="982"/>
      <w:bookmarkEnd w:id="983"/>
      <w:bookmarkEnd w:id="984"/>
    </w:p>
    <w:p>
      <w:pPr>
        <w:ind w:firstLine="482"/>
        <w:rPr>
          <w:b/>
          <w:bCs/>
        </w:rPr>
      </w:pPr>
      <w:r>
        <w:rPr>
          <w:rFonts w:hint="eastAsia"/>
          <w:b/>
          <w:bCs/>
          <w:lang w:eastAsia="zh-CN"/>
        </w:rPr>
        <w:t>（</w:t>
      </w:r>
      <w:r>
        <w:rPr>
          <w:rFonts w:hint="eastAsia"/>
          <w:b/>
          <w:bCs/>
          <w:lang w:val="en-US" w:eastAsia="zh-CN"/>
        </w:rPr>
        <w:t>一</w:t>
      </w:r>
      <w:r>
        <w:rPr>
          <w:rFonts w:hint="eastAsia"/>
          <w:b/>
          <w:bCs/>
          <w:lang w:eastAsia="zh-CN"/>
        </w:rPr>
        <w:t>）</w:t>
      </w:r>
      <w:r>
        <w:rPr>
          <w:rFonts w:hint="eastAsia"/>
          <w:b/>
          <w:bCs/>
        </w:rPr>
        <w:t>施用化学肥料需注意哪些问题</w:t>
      </w:r>
    </w:p>
    <w:p>
      <w:pPr>
        <w:ind w:firstLine="480"/>
      </w:pPr>
      <w:r>
        <w:rPr>
          <w:rFonts w:hint="eastAsia"/>
        </w:rPr>
        <w:t>1、尿素用后不宜立即浇水。尿素系易溶性肥料，移动性强，极易造成流失。旱地撒施尿素后，切忌立即浇水，也不宜在大雨前施用。</w:t>
      </w:r>
    </w:p>
    <w:p>
      <w:pPr>
        <w:ind w:firstLine="480"/>
      </w:pPr>
      <w:r>
        <w:rPr>
          <w:rFonts w:hint="eastAsia"/>
        </w:rPr>
        <w:t>2、碳铵不宜施在土壤表面。碳铵挥发性强，容易造成烧苗。因此碳铵不宜表施，最好开穴深施，施后覆土。</w:t>
      </w:r>
    </w:p>
    <w:p>
      <w:pPr>
        <w:ind w:firstLine="480"/>
      </w:pPr>
      <w:r>
        <w:rPr>
          <w:rFonts w:hint="eastAsia"/>
        </w:rPr>
        <w:t>3、碳铵不宜在温室和大棚内施用。碳铵有“气肥”之称，在温室和大棚内施用，易迅速分解为氨气。</w:t>
      </w:r>
    </w:p>
    <w:p>
      <w:pPr>
        <w:ind w:firstLine="480"/>
      </w:pPr>
      <w:r>
        <w:rPr>
          <w:rFonts w:hint="eastAsia"/>
        </w:rPr>
        <w:t>4、铵态氮化肥勿与碱性肥料混施。碳铵、硫铵、硝铵、磷铵等铵态氮化肥遇到碱性物质，会造成氮的损失。切忌与草木灰、窑灰钾肥等碱性肥料而挥发。及石灰氮等混合施用。</w:t>
      </w:r>
    </w:p>
    <w:p>
      <w:pPr>
        <w:ind w:firstLine="480"/>
      </w:pPr>
      <w:r>
        <w:rPr>
          <w:rFonts w:hint="eastAsia"/>
        </w:rPr>
        <w:t>5、硝态氮化肥勿在稻田施用。碳酸铵等硝态氮化肥解离出来的硝酸根离子，在水田易被水淋失至土壤深层而产生反硝化作用，造成氮素损失。</w:t>
      </w:r>
    </w:p>
    <w:p>
      <w:pPr>
        <w:ind w:firstLine="480"/>
      </w:pPr>
      <w:r>
        <w:rPr>
          <w:rFonts w:hint="eastAsia"/>
        </w:rPr>
        <w:t>6、硫酸铵不宜长期施用。硫酸铵属生理酸性肥料，破坏土壤物理结构。在碱性土壤中长期施用，也会因残留在土壤中硫酸根离子与钙发生反应，使土壤变得板结僵硬。</w:t>
      </w:r>
    </w:p>
    <w:p>
      <w:pPr>
        <w:ind w:firstLine="480"/>
      </w:pPr>
      <w:r>
        <w:rPr>
          <w:rFonts w:hint="eastAsia"/>
        </w:rPr>
        <w:t>7、磷肥不宜分散施用。磷的移动性较小，易被土壤吸收固定，降低肥效。施用磷肥时应减少磷肥与土壤的接触面积，最好采用沟施或穴施，集中施于作物近根处。</w:t>
      </w:r>
    </w:p>
    <w:p>
      <w:pPr>
        <w:ind w:firstLine="480"/>
      </w:pPr>
      <w:r>
        <w:rPr>
          <w:rFonts w:hint="eastAsia"/>
        </w:rPr>
        <w:t>8、钾肥不宜在作物后期施用。钾素具有能从作物基部茎叶转移到顶部细嫩部分再利用的特点，故缺钾症较氮磷表现晚。因此，钾肥应提前在作物生产前期施用，或一次性作基肥施用。</w:t>
      </w:r>
    </w:p>
    <w:p>
      <w:pPr>
        <w:ind w:firstLine="480"/>
      </w:pPr>
      <w:r>
        <w:rPr>
          <w:rFonts w:hint="eastAsia"/>
        </w:rPr>
        <w:t>9、含氯化肥忌长期单独施用，并避免在忌氯作物施用。长期单独施用氯化钾，会使土壤中氯离子积累增多，导致土壤养分结构破坏土壤酸化。在甘蔗、甜菜、西瓜等忌氯作物上施用，会降低质量和品质。</w:t>
      </w:r>
    </w:p>
    <w:p>
      <w:pPr>
        <w:ind w:firstLine="480"/>
      </w:pPr>
      <w:r>
        <w:rPr>
          <w:rFonts w:hint="eastAsia"/>
        </w:rPr>
        <w:t>10、含氮复合肥不宜大量用于豆科作物。大豆、花生、绿豆、蚕豆、豌豆、苜蓿等作物根部附近有固氮根瘤菌。如果大量施用含氮复合肥，不但造成肥料的浪费，还抑制根瘤菌的活动，降低其固氮性能。</w:t>
      </w:r>
    </w:p>
    <w:p>
      <w:pPr>
        <w:ind w:firstLine="482"/>
        <w:rPr>
          <w:b/>
          <w:bCs/>
        </w:rPr>
      </w:pPr>
      <w:r>
        <w:rPr>
          <w:rFonts w:hint="eastAsia"/>
          <w:b/>
          <w:bCs/>
          <w:lang w:eastAsia="zh-CN"/>
        </w:rPr>
        <w:t>（</w:t>
      </w:r>
      <w:r>
        <w:rPr>
          <w:rFonts w:hint="eastAsia"/>
          <w:b/>
          <w:bCs/>
          <w:lang w:val="en-US" w:eastAsia="zh-CN"/>
        </w:rPr>
        <w:t>二</w:t>
      </w:r>
      <w:r>
        <w:rPr>
          <w:rFonts w:hint="eastAsia"/>
          <w:b/>
          <w:bCs/>
          <w:lang w:eastAsia="zh-CN"/>
        </w:rPr>
        <w:t>）</w:t>
      </w:r>
      <w:r>
        <w:rPr>
          <w:rFonts w:hint="eastAsia"/>
          <w:b/>
          <w:bCs/>
        </w:rPr>
        <w:t>如何正确使用农家肥</w:t>
      </w:r>
    </w:p>
    <w:p>
      <w:pPr>
        <w:ind w:firstLine="480"/>
      </w:pPr>
      <w:r>
        <w:rPr>
          <w:rFonts w:hint="eastAsia"/>
          <w:lang w:val="en-US" w:eastAsia="zh-CN"/>
        </w:rPr>
        <w:t>1、</w:t>
      </w:r>
      <w:r>
        <w:rPr>
          <w:rFonts w:hint="eastAsia"/>
        </w:rPr>
        <w:t>堆肥：以杂草、垃圾为原料积压而成的肥料，可因地制宜使用，最好结合春、秋耕做底肥。</w:t>
      </w:r>
    </w:p>
    <w:p>
      <w:pPr>
        <w:ind w:firstLine="480"/>
      </w:pPr>
      <w:r>
        <w:rPr>
          <w:rFonts w:hint="eastAsia"/>
          <w:lang w:val="en-US" w:eastAsia="zh-CN"/>
        </w:rPr>
        <w:t>2、</w:t>
      </w:r>
      <w:r>
        <w:rPr>
          <w:rFonts w:hint="eastAsia"/>
        </w:rPr>
        <w:t>绿肥：最好做豆科作物的底肥或追肥，利用根瘤菌固氮作用来提高土壤肥力。</w:t>
      </w:r>
    </w:p>
    <w:p>
      <w:pPr>
        <w:ind w:firstLine="480"/>
      </w:pPr>
      <w:r>
        <w:rPr>
          <w:rFonts w:hint="eastAsia"/>
          <w:lang w:val="en-US" w:eastAsia="zh-CN"/>
        </w:rPr>
        <w:t>3、</w:t>
      </w:r>
      <w:r>
        <w:rPr>
          <w:rFonts w:hint="eastAsia"/>
        </w:rPr>
        <w:t>羊粪：属热性肥料，宜和猪粪混施，适用于凉性土壤和阴坡地。</w:t>
      </w:r>
    </w:p>
    <w:p>
      <w:pPr>
        <w:ind w:firstLine="480"/>
        <w:rPr>
          <w:rFonts w:hint="eastAsia" w:eastAsia="宋体"/>
          <w:lang w:eastAsia="zh-CN"/>
        </w:rPr>
      </w:pPr>
      <w:r>
        <w:rPr>
          <w:rFonts w:hint="eastAsia"/>
          <w:lang w:val="en-US" w:eastAsia="zh-CN"/>
        </w:rPr>
        <w:t>4、</w:t>
      </w:r>
      <w:r>
        <w:rPr>
          <w:rFonts w:hint="eastAsia"/>
        </w:rPr>
        <w:t>猪粪：有机质和氮、磷、钾含量较多，腐熟的猪粪可施于各种土壤，尤其适用于排水良好的热潮土壤。</w:t>
      </w:r>
    </w:p>
    <w:p>
      <w:pPr>
        <w:ind w:firstLine="480"/>
        <w:rPr>
          <w:rFonts w:hint="eastAsia" w:eastAsia="宋体"/>
          <w:lang w:eastAsia="zh-CN"/>
        </w:rPr>
      </w:pPr>
      <w:r>
        <w:rPr>
          <w:rFonts w:hint="eastAsia"/>
          <w:lang w:val="en-US" w:eastAsia="zh-CN"/>
        </w:rPr>
        <w:t>5、</w:t>
      </w:r>
      <w:r>
        <w:rPr>
          <w:rFonts w:hint="eastAsia"/>
        </w:rPr>
        <w:t>马粪：有机质、氮素、纤维素含量较高，含有高温纤维分解细菌，在堆积中发酵快，热量高，适用于湿润粘重土壤和阴坡地及板结严重的土壤。</w:t>
      </w:r>
    </w:p>
    <w:p>
      <w:pPr>
        <w:ind w:firstLine="480"/>
        <w:rPr>
          <w:rFonts w:hint="eastAsia" w:eastAsia="宋体"/>
          <w:lang w:eastAsia="zh-CN"/>
        </w:rPr>
      </w:pPr>
      <w:r>
        <w:rPr>
          <w:rFonts w:hint="eastAsia"/>
          <w:lang w:val="en-US" w:eastAsia="zh-CN"/>
        </w:rPr>
        <w:t>6、</w:t>
      </w:r>
      <w:r>
        <w:rPr>
          <w:rFonts w:hint="eastAsia"/>
        </w:rPr>
        <w:t>牛粪：是典型的凉性肥料，将牛粪晒干，掺入</w:t>
      </w:r>
      <w:r>
        <w:t>3</w:t>
      </w:r>
      <w:r>
        <w:rPr>
          <w:rFonts w:hint="eastAsia"/>
        </w:rPr>
        <w:t>－</w:t>
      </w:r>
      <w:r>
        <w:t>5</w:t>
      </w:r>
      <w:r>
        <w:rPr>
          <w:rFonts w:hint="eastAsia"/>
        </w:rPr>
        <w:t>％的木灰或磷矿粉或马粪进行堆积，可加速牛粪分解，提高肥效，最好与热性肥合使用，或施在沙壤地和阳坡地。</w:t>
      </w:r>
    </w:p>
    <w:p>
      <w:pPr>
        <w:ind w:firstLine="480"/>
        <w:rPr>
          <w:rFonts w:hint="eastAsia" w:eastAsia="宋体"/>
          <w:lang w:eastAsia="zh-CN"/>
        </w:rPr>
      </w:pPr>
      <w:r>
        <w:rPr>
          <w:rFonts w:hint="eastAsia"/>
          <w:lang w:val="en-US" w:eastAsia="zh-CN"/>
        </w:rPr>
        <w:t>7、</w:t>
      </w:r>
      <w:r>
        <w:rPr>
          <w:rFonts w:hint="eastAsia"/>
        </w:rPr>
        <w:t>人粪尿：发酵腐熟后可直接使用，也可与土掺混制成大粪土作追肥。</w:t>
      </w:r>
    </w:p>
    <w:p>
      <w:pPr>
        <w:ind w:firstLine="480"/>
      </w:pPr>
      <w:r>
        <w:rPr>
          <w:rFonts w:hint="eastAsia"/>
          <w:lang w:val="en-US" w:eastAsia="zh-CN"/>
        </w:rPr>
        <w:t>8、</w:t>
      </w:r>
      <w:r>
        <w:rPr>
          <w:rFonts w:hint="eastAsia"/>
        </w:rPr>
        <w:t>家禽肥：养分含量高，可作种肥和追肥，最适用于蔬菜。</w:t>
      </w:r>
    </w:p>
    <w:p>
      <w:pPr>
        <w:ind w:firstLine="482"/>
        <w:rPr>
          <w:rFonts w:hint="eastAsia" w:eastAsia="宋体"/>
          <w:b/>
          <w:bCs/>
          <w:lang w:eastAsia="zh-CN"/>
        </w:rPr>
      </w:pPr>
      <w:r>
        <w:rPr>
          <w:rFonts w:hint="eastAsia"/>
          <w:b/>
          <w:bCs/>
          <w:lang w:eastAsia="zh-CN"/>
        </w:rPr>
        <w:t>（</w:t>
      </w:r>
      <w:r>
        <w:rPr>
          <w:rFonts w:hint="eastAsia"/>
          <w:b/>
          <w:bCs/>
          <w:lang w:val="en-US" w:eastAsia="zh-CN"/>
        </w:rPr>
        <w:t>三</w:t>
      </w:r>
      <w:r>
        <w:rPr>
          <w:rFonts w:hint="eastAsia"/>
          <w:b/>
          <w:bCs/>
          <w:lang w:eastAsia="zh-CN"/>
        </w:rPr>
        <w:t>）</w:t>
      </w:r>
      <w:r>
        <w:rPr>
          <w:rFonts w:hint="eastAsia"/>
          <w:b/>
          <w:bCs/>
        </w:rPr>
        <w:t>为什么粪便类有机肥要充分腐熟后施用</w:t>
      </w:r>
    </w:p>
    <w:p>
      <w:pPr>
        <w:ind w:firstLine="480"/>
      </w:pPr>
      <w:r>
        <w:rPr>
          <w:rFonts w:hint="eastAsia"/>
        </w:rPr>
        <w:t>未经腐熟粪便类有机肥中，携带有大量的致病微生物和寄生性蛔虫卵施入农田后，一部分附着在作物上造成直接污染，一部分进入土壤造成间接污染。另外，未经腐熟的粪便类有机肥施入土壤后，要经过发酵后才能被作物吸收选用，一方面产生高温造成烧苗现象，别一方面还会释放氨气，使植株生长不良，因此，在施用粪便类有机肥时一定要充分腐熟。</w:t>
      </w:r>
    </w:p>
    <w:p>
      <w:pPr>
        <w:ind w:firstLine="482"/>
        <w:rPr>
          <w:b/>
          <w:bCs/>
        </w:rPr>
      </w:pPr>
      <w:r>
        <w:rPr>
          <w:rFonts w:hint="eastAsia"/>
          <w:b/>
          <w:bCs/>
          <w:lang w:eastAsia="zh-CN"/>
        </w:rPr>
        <w:t>（</w:t>
      </w:r>
      <w:r>
        <w:rPr>
          <w:rFonts w:hint="eastAsia"/>
          <w:b/>
          <w:bCs/>
          <w:lang w:val="en-US" w:eastAsia="zh-CN"/>
        </w:rPr>
        <w:t>四</w:t>
      </w:r>
      <w:r>
        <w:rPr>
          <w:rFonts w:hint="eastAsia"/>
          <w:b/>
          <w:bCs/>
          <w:lang w:eastAsia="zh-CN"/>
        </w:rPr>
        <w:t>）</w:t>
      </w:r>
      <w:r>
        <w:rPr>
          <w:rFonts w:hint="eastAsia"/>
          <w:b/>
          <w:bCs/>
        </w:rPr>
        <w:t>施用有机肥应注意那些问题</w:t>
      </w:r>
    </w:p>
    <w:p>
      <w:pPr>
        <w:ind w:firstLine="480"/>
      </w:pPr>
      <w:r>
        <w:rPr>
          <w:rFonts w:hint="eastAsia"/>
          <w:lang w:val="en-US" w:eastAsia="zh-CN"/>
        </w:rPr>
        <w:t>1、</w:t>
      </w:r>
      <w:r>
        <w:rPr>
          <w:rFonts w:hint="eastAsia"/>
        </w:rPr>
        <w:t>有机肥所含养分不是万能的。有机肥料所含养分种类较多，与养分单一的化肥相比是优点，但是它所含养分并不平衡，不能满足作物高产优质的需要。</w:t>
      </w:r>
    </w:p>
    <w:p>
      <w:pPr>
        <w:ind w:firstLine="480"/>
        <w:rPr>
          <w:rFonts w:hint="eastAsia" w:eastAsia="宋体"/>
          <w:lang w:eastAsia="zh-CN"/>
        </w:rPr>
      </w:pPr>
      <w:r>
        <w:rPr>
          <w:rFonts w:hint="eastAsia"/>
          <w:lang w:val="en-US" w:eastAsia="zh-CN"/>
        </w:rPr>
        <w:t>2、</w:t>
      </w:r>
      <w:r>
        <w:rPr>
          <w:rFonts w:hint="eastAsia"/>
        </w:rPr>
        <w:t>有机肥分解较慢，肥效较迟。有机肥虽然营养元素含量全，但含量较低，且在土壤中分解较慢，在有机肥用量不是很大的情况下，很难满足农作物对营养元素的需要。</w:t>
      </w:r>
    </w:p>
    <w:p>
      <w:pPr>
        <w:ind w:firstLine="480"/>
        <w:rPr>
          <w:rFonts w:hint="eastAsia" w:eastAsia="宋体"/>
          <w:lang w:eastAsia="zh-CN"/>
        </w:rPr>
      </w:pPr>
      <w:r>
        <w:rPr>
          <w:rFonts w:hint="eastAsia"/>
          <w:lang w:val="en-US" w:eastAsia="zh-CN"/>
        </w:rPr>
        <w:t>3、</w:t>
      </w:r>
      <w:r>
        <w:rPr>
          <w:rFonts w:hint="eastAsia"/>
        </w:rPr>
        <w:t>有机肥需经过发酵处理。许多有机肥料带有病菌、虫卵和杂草种子，有些有机肥料中有不利于作物生长的有机化合物，所以均应经过堆沤发酵、加工处理后才能施用，生粪不能下地。</w:t>
      </w:r>
    </w:p>
    <w:p>
      <w:pPr>
        <w:ind w:firstLine="480"/>
      </w:pPr>
      <w:r>
        <w:rPr>
          <w:rFonts w:hint="eastAsia"/>
          <w:lang w:val="en-US" w:eastAsia="zh-CN"/>
        </w:rPr>
        <w:t>4、</w:t>
      </w:r>
      <w:r>
        <w:rPr>
          <w:rFonts w:hint="eastAsia"/>
        </w:rPr>
        <w:t>有机肥的使用禁忌。腐熟的有机肥不宜与碱性肥料和硝态氮肥混用。</w:t>
      </w:r>
    </w:p>
    <w:p>
      <w:pPr>
        <w:ind w:firstLine="482"/>
        <w:rPr>
          <w:b/>
          <w:bCs/>
        </w:rPr>
      </w:pPr>
      <w:r>
        <w:rPr>
          <w:rFonts w:hint="eastAsia"/>
          <w:b/>
          <w:bCs/>
          <w:lang w:eastAsia="zh-CN"/>
        </w:rPr>
        <w:t>（</w:t>
      </w:r>
      <w:r>
        <w:rPr>
          <w:rFonts w:hint="eastAsia"/>
          <w:b/>
          <w:bCs/>
          <w:lang w:val="en-US" w:eastAsia="zh-CN"/>
        </w:rPr>
        <w:t>五</w:t>
      </w:r>
      <w:r>
        <w:rPr>
          <w:rFonts w:hint="eastAsia"/>
          <w:b/>
          <w:bCs/>
          <w:lang w:eastAsia="zh-CN"/>
        </w:rPr>
        <w:t>）</w:t>
      </w:r>
      <w:r>
        <w:rPr>
          <w:rFonts w:hint="eastAsia"/>
          <w:b/>
          <w:bCs/>
        </w:rPr>
        <w:t>怎样区分生物有机肥和有机肥</w:t>
      </w:r>
    </w:p>
    <w:p>
      <w:pPr>
        <w:ind w:firstLine="480"/>
      </w:pPr>
      <w:r>
        <w:rPr>
          <w:rFonts w:hint="eastAsia"/>
          <w:lang w:val="en-US" w:eastAsia="zh-CN"/>
        </w:rPr>
        <w:t>1、</w:t>
      </w:r>
      <w:r>
        <w:rPr>
          <w:rFonts w:hint="eastAsia"/>
        </w:rPr>
        <w:t>肉眼鉴别。生物有机肥在有益微生物作用下，发酵腐熟充分，外观呈褐色或黑褐色，色泽比较单一；而其他有机肥因生产操作不同，产品颜色各异，如精制有机肥为粪便原色，农家肥露天堆制，颜色变化较大。</w:t>
      </w:r>
    </w:p>
    <w:p>
      <w:pPr>
        <w:ind w:firstLine="480"/>
      </w:pPr>
      <w:r>
        <w:rPr>
          <w:rFonts w:hint="eastAsia"/>
          <w:lang w:val="en-US" w:eastAsia="zh-CN"/>
        </w:rPr>
        <w:t>2、</w:t>
      </w:r>
      <w:r>
        <w:rPr>
          <w:rFonts w:hint="eastAsia"/>
        </w:rPr>
        <w:t>水浸闻味。将不同的有机肥分别放在盛有水的杯子内，精制有机肥和农家肥因为经发酵或发酵不彻底，散发出较浓的臭味，而生物有机肥则不会发生这种现象。</w:t>
      </w:r>
    </w:p>
    <w:p>
      <w:pPr>
        <w:ind w:firstLine="482"/>
        <w:rPr>
          <w:b/>
          <w:bCs/>
        </w:rPr>
      </w:pPr>
      <w:r>
        <w:rPr>
          <w:rFonts w:hint="eastAsia"/>
          <w:b/>
          <w:bCs/>
          <w:lang w:eastAsia="zh-CN"/>
        </w:rPr>
        <w:t>（</w:t>
      </w:r>
      <w:r>
        <w:rPr>
          <w:rFonts w:hint="eastAsia"/>
          <w:b/>
          <w:bCs/>
          <w:lang w:val="en-US" w:eastAsia="zh-CN"/>
        </w:rPr>
        <w:t>六</w:t>
      </w:r>
      <w:r>
        <w:rPr>
          <w:rFonts w:hint="eastAsia"/>
          <w:b/>
          <w:bCs/>
          <w:lang w:eastAsia="zh-CN"/>
        </w:rPr>
        <w:t>）</w:t>
      </w:r>
      <w:r>
        <w:rPr>
          <w:rFonts w:hint="eastAsia"/>
          <w:b/>
          <w:bCs/>
        </w:rPr>
        <w:t>复合肥的施用方法有哪些复合肥的施用方法主要有以下几种</w:t>
      </w:r>
    </w:p>
    <w:p>
      <w:pPr>
        <w:ind w:firstLine="480"/>
        <w:rPr>
          <w:rFonts w:hint="eastAsia" w:eastAsia="宋体"/>
          <w:lang w:eastAsia="zh-CN"/>
        </w:rPr>
      </w:pPr>
      <w:r>
        <w:rPr>
          <w:rFonts w:hint="eastAsia"/>
          <w:lang w:val="en-US" w:eastAsia="zh-CN"/>
        </w:rPr>
        <w:t>1、</w:t>
      </w:r>
      <w:r>
        <w:rPr>
          <w:rFonts w:hint="eastAsia"/>
        </w:rPr>
        <w:t>做底肥施用：在播种前，整地时，撒到地表，翻到犁底，一般在耕层下</w:t>
      </w:r>
      <w:r>
        <w:t>10</w:t>
      </w:r>
      <w:r>
        <w:rPr>
          <w:rFonts w:hint="eastAsia"/>
        </w:rPr>
        <w:t>～</w:t>
      </w:r>
      <w:r>
        <w:t>20</w:t>
      </w:r>
      <w:r>
        <w:rPr>
          <w:rFonts w:hint="eastAsia"/>
        </w:rPr>
        <w:t>厘米为最好。</w:t>
      </w:r>
    </w:p>
    <w:p>
      <w:pPr>
        <w:ind w:firstLine="480"/>
        <w:rPr>
          <w:rFonts w:hint="eastAsia" w:eastAsia="宋体"/>
          <w:lang w:eastAsia="zh-CN"/>
        </w:rPr>
      </w:pPr>
      <w:r>
        <w:rPr>
          <w:rFonts w:hint="eastAsia"/>
          <w:lang w:val="en-US" w:eastAsia="zh-CN"/>
        </w:rPr>
        <w:t>2、</w:t>
      </w:r>
      <w:r>
        <w:rPr>
          <w:rFonts w:hint="eastAsia"/>
        </w:rPr>
        <w:t>做种肥施用：一定要注意种、肥隔离</w:t>
      </w:r>
      <w:r>
        <w:t>8</w:t>
      </w:r>
      <w:r>
        <w:rPr>
          <w:rFonts w:hint="eastAsia"/>
        </w:rPr>
        <w:t>～</w:t>
      </w:r>
      <w:r>
        <w:t>10</w:t>
      </w:r>
      <w:r>
        <w:rPr>
          <w:rFonts w:hint="eastAsia"/>
        </w:rPr>
        <w:t>厘米为好。</w:t>
      </w:r>
    </w:p>
    <w:p>
      <w:pPr>
        <w:ind w:firstLine="480"/>
        <w:rPr>
          <w:rFonts w:hint="eastAsia" w:eastAsia="宋体"/>
          <w:lang w:eastAsia="zh-CN"/>
        </w:rPr>
      </w:pPr>
      <w:r>
        <w:rPr>
          <w:rFonts w:hint="eastAsia"/>
          <w:lang w:val="en-US" w:eastAsia="zh-CN"/>
        </w:rPr>
        <w:t>3、</w:t>
      </w:r>
      <w:r>
        <w:rPr>
          <w:rFonts w:hint="eastAsia"/>
        </w:rPr>
        <w:t>做冲施肥用：在作物生长的后期，将肥料溶化后结合浇水，冲施效果佳。</w:t>
      </w:r>
    </w:p>
    <w:p>
      <w:pPr>
        <w:ind w:firstLine="480"/>
      </w:pPr>
      <w:r>
        <w:rPr>
          <w:rFonts w:hint="eastAsia"/>
          <w:lang w:val="en-US" w:eastAsia="zh-CN"/>
        </w:rPr>
        <w:t>4、</w:t>
      </w:r>
      <w:r>
        <w:rPr>
          <w:rFonts w:hint="eastAsia"/>
        </w:rPr>
        <w:t>作叶面肥用：复合肥按比例溶化后，取上清液在下午4点后喷洒在叶子的正反面，24小时就能吸收完，隔5～7天喷一次见效快。</w:t>
      </w:r>
    </w:p>
    <w:p>
      <w:pPr>
        <w:ind w:firstLine="482"/>
        <w:rPr>
          <w:b/>
          <w:bCs/>
        </w:rPr>
      </w:pPr>
      <w:r>
        <w:rPr>
          <w:rFonts w:hint="eastAsia"/>
          <w:b/>
          <w:bCs/>
          <w:lang w:eastAsia="zh-CN"/>
        </w:rPr>
        <w:t>（</w:t>
      </w:r>
      <w:r>
        <w:rPr>
          <w:rFonts w:hint="eastAsia"/>
          <w:b/>
          <w:bCs/>
          <w:lang w:val="en-US" w:eastAsia="zh-CN"/>
        </w:rPr>
        <w:t>七</w:t>
      </w:r>
      <w:r>
        <w:rPr>
          <w:rFonts w:hint="eastAsia"/>
          <w:b/>
          <w:bCs/>
          <w:lang w:eastAsia="zh-CN"/>
        </w:rPr>
        <w:t>）</w:t>
      </w:r>
      <w:r>
        <w:rPr>
          <w:rFonts w:hint="eastAsia"/>
          <w:b/>
          <w:bCs/>
        </w:rPr>
        <w:t>肥料混合施用需要注意哪些问题</w:t>
      </w:r>
    </w:p>
    <w:p>
      <w:pPr>
        <w:ind w:firstLine="480"/>
        <w:rPr>
          <w:rFonts w:hint="eastAsia" w:eastAsia="宋体"/>
          <w:lang w:eastAsia="zh-CN"/>
        </w:rPr>
      </w:pPr>
      <w:r>
        <w:rPr>
          <w:rFonts w:hint="eastAsia"/>
          <w:lang w:val="en-US" w:eastAsia="zh-CN"/>
        </w:rPr>
        <w:t>1、</w:t>
      </w:r>
      <w:r>
        <w:rPr>
          <w:rFonts w:hint="eastAsia"/>
        </w:rPr>
        <w:t>肥料混合后，肥料的物理性状不能变坏，为的是便于施用。</w:t>
      </w:r>
    </w:p>
    <w:p>
      <w:pPr>
        <w:ind w:firstLine="480"/>
        <w:rPr>
          <w:rFonts w:hint="eastAsia" w:eastAsia="宋体"/>
          <w:lang w:eastAsia="zh-CN"/>
        </w:rPr>
      </w:pPr>
      <w:r>
        <w:rPr>
          <w:rFonts w:hint="eastAsia"/>
          <w:lang w:val="en-US" w:eastAsia="zh-CN"/>
        </w:rPr>
        <w:t>2、</w:t>
      </w:r>
      <w:r>
        <w:rPr>
          <w:rFonts w:hint="eastAsia"/>
        </w:rPr>
        <w:t>混合后肥料中的养分不能损失。</w:t>
      </w:r>
    </w:p>
    <w:p>
      <w:pPr>
        <w:ind w:firstLine="480"/>
        <w:rPr>
          <w:rFonts w:hint="eastAsia" w:eastAsia="宋体"/>
          <w:lang w:eastAsia="zh-CN"/>
        </w:rPr>
      </w:pPr>
      <w:r>
        <w:rPr>
          <w:rFonts w:hint="eastAsia"/>
          <w:lang w:val="en-US" w:eastAsia="zh-CN"/>
        </w:rPr>
        <w:t>3、</w:t>
      </w:r>
      <w:r>
        <w:rPr>
          <w:rFonts w:hint="eastAsia"/>
        </w:rPr>
        <w:t>如果混合时肥料颗粒大小悬殊，使得肥料在贮运和施肥过程中发生颗粒大小不匀而造成养分分布不均的现象，就不能混合。</w:t>
      </w:r>
    </w:p>
    <w:p>
      <w:pPr>
        <w:ind w:firstLine="480"/>
      </w:pPr>
      <w:r>
        <w:rPr>
          <w:rFonts w:hint="eastAsia"/>
          <w:lang w:val="en-US" w:eastAsia="zh-CN"/>
        </w:rPr>
        <w:t>4、</w:t>
      </w:r>
      <w:r>
        <w:rPr>
          <w:rFonts w:hint="eastAsia"/>
        </w:rPr>
        <w:t>肥料混合后要有利于提高肥效和工效。</w:t>
      </w:r>
    </w:p>
    <w:p>
      <w:pPr>
        <w:ind w:firstLine="482"/>
        <w:rPr>
          <w:b/>
          <w:bCs/>
        </w:rPr>
      </w:pPr>
      <w:r>
        <w:rPr>
          <w:rFonts w:hint="eastAsia"/>
          <w:b/>
          <w:bCs/>
          <w:lang w:eastAsia="zh-CN"/>
        </w:rPr>
        <w:t>（</w:t>
      </w:r>
      <w:r>
        <w:rPr>
          <w:rFonts w:hint="eastAsia"/>
          <w:b/>
          <w:bCs/>
          <w:lang w:val="en-US" w:eastAsia="zh-CN"/>
        </w:rPr>
        <w:t>八</w:t>
      </w:r>
      <w:r>
        <w:rPr>
          <w:rFonts w:hint="eastAsia"/>
          <w:b/>
          <w:bCs/>
          <w:lang w:eastAsia="zh-CN"/>
        </w:rPr>
        <w:t>）</w:t>
      </w:r>
      <w:r>
        <w:rPr>
          <w:rFonts w:hint="eastAsia"/>
          <w:b/>
          <w:bCs/>
        </w:rPr>
        <w:t>微生物肥料有那些作用</w:t>
      </w:r>
    </w:p>
    <w:p>
      <w:pPr>
        <w:ind w:firstLine="480"/>
        <w:rPr>
          <w:rFonts w:hint="eastAsia" w:eastAsia="宋体"/>
          <w:lang w:eastAsia="zh-CN"/>
        </w:rPr>
      </w:pPr>
      <w:r>
        <w:rPr>
          <w:rFonts w:hint="eastAsia"/>
          <w:lang w:val="en-US" w:eastAsia="zh-CN"/>
        </w:rPr>
        <w:t>1、</w:t>
      </w:r>
      <w:r>
        <w:rPr>
          <w:rFonts w:hint="eastAsia"/>
        </w:rPr>
        <w:t>通过这些有益微生物的生命活动，固定转化空气中不能利用的分子态氮为化合态氮，解析土壤中不能利用的化合态磷、钾为可利用态的磷、钾，并可解析土壤中的</w:t>
      </w:r>
      <w:r>
        <w:t>10</w:t>
      </w:r>
      <w:r>
        <w:rPr>
          <w:rFonts w:hint="eastAsia"/>
        </w:rPr>
        <w:t>多种中、微量元素。</w:t>
      </w:r>
    </w:p>
    <w:p>
      <w:pPr>
        <w:ind w:firstLine="480"/>
        <w:rPr>
          <w:rFonts w:hint="eastAsia" w:eastAsia="宋体"/>
          <w:lang w:eastAsia="zh-CN"/>
        </w:rPr>
      </w:pPr>
      <w:r>
        <w:rPr>
          <w:rFonts w:hint="eastAsia"/>
          <w:lang w:val="en-US" w:eastAsia="zh-CN"/>
        </w:rPr>
        <w:t>2、</w:t>
      </w:r>
      <w:r>
        <w:rPr>
          <w:rFonts w:hint="eastAsia"/>
        </w:rPr>
        <w:t>通过这些有益微生物的生命活动，分泌生长素、细胞分裂素、赤霉素、吲哚酸等植物激素，促进作物生长，调控作物代谢，按遗传密码建造优质产品。</w:t>
      </w:r>
    </w:p>
    <w:p>
      <w:pPr>
        <w:ind w:firstLine="480"/>
        <w:rPr>
          <w:rFonts w:hint="eastAsia" w:eastAsia="宋体"/>
          <w:lang w:eastAsia="zh-CN"/>
        </w:rPr>
      </w:pPr>
      <w:r>
        <w:rPr>
          <w:rFonts w:hint="eastAsia"/>
          <w:lang w:val="en-US" w:eastAsia="zh-CN"/>
        </w:rPr>
        <w:t>3、</w:t>
      </w:r>
      <w:r>
        <w:rPr>
          <w:rFonts w:hint="eastAsia"/>
        </w:rPr>
        <w:t>通过有益微生物在根际大量繁殖，产生大量多糖，与植物分泌的粘液及矿物胶体、有机胶体相结合，形成土壤团粒结构，增进土壤蓄肥、保水能力。质量好的微生物肥料能促进农作物生长，改良土壤结构，改善作物产品品质和提高作物的防病、抗病能力，从而实现增产增收。</w:t>
      </w:r>
    </w:p>
    <w:p>
      <w:pPr>
        <w:ind w:firstLine="482"/>
        <w:rPr>
          <w:rFonts w:hint="eastAsia" w:eastAsia="宋体"/>
          <w:b/>
          <w:bCs/>
          <w:lang w:eastAsia="zh-CN"/>
        </w:rPr>
      </w:pPr>
      <w:r>
        <w:rPr>
          <w:rFonts w:hint="eastAsia"/>
          <w:b/>
          <w:bCs/>
          <w:lang w:eastAsia="zh-CN"/>
        </w:rPr>
        <w:t>（</w:t>
      </w:r>
      <w:r>
        <w:rPr>
          <w:rFonts w:hint="eastAsia"/>
          <w:b/>
          <w:bCs/>
          <w:lang w:val="en-US" w:eastAsia="zh-CN"/>
        </w:rPr>
        <w:t>九</w:t>
      </w:r>
      <w:r>
        <w:rPr>
          <w:rFonts w:hint="eastAsia"/>
          <w:b/>
          <w:bCs/>
          <w:lang w:eastAsia="zh-CN"/>
        </w:rPr>
        <w:t>）</w:t>
      </w:r>
      <w:r>
        <w:rPr>
          <w:rFonts w:hint="eastAsia"/>
          <w:b/>
          <w:bCs/>
        </w:rPr>
        <w:t>微生物肥料推广使用应注意哪些问题</w:t>
      </w:r>
    </w:p>
    <w:p>
      <w:pPr>
        <w:ind w:firstLine="480"/>
        <w:rPr>
          <w:rFonts w:hint="eastAsia" w:eastAsia="宋体"/>
          <w:lang w:eastAsia="zh-CN"/>
        </w:rPr>
      </w:pPr>
      <w:r>
        <w:rPr>
          <w:rFonts w:hint="eastAsia"/>
          <w:lang w:val="en-US" w:eastAsia="zh-CN"/>
        </w:rPr>
        <w:t>1、</w:t>
      </w:r>
      <w:r>
        <w:rPr>
          <w:rFonts w:hint="eastAsia"/>
        </w:rPr>
        <w:t>没有获得国家登记证的微生物肥料不能推广。</w:t>
      </w:r>
    </w:p>
    <w:p>
      <w:pPr>
        <w:ind w:firstLine="480"/>
        <w:rPr>
          <w:rFonts w:hint="eastAsia" w:eastAsia="宋体"/>
          <w:lang w:eastAsia="zh-CN"/>
        </w:rPr>
      </w:pPr>
      <w:r>
        <w:rPr>
          <w:rFonts w:hint="eastAsia"/>
          <w:lang w:val="en-US" w:eastAsia="zh-CN"/>
        </w:rPr>
        <w:t>2、</w:t>
      </w:r>
      <w:r>
        <w:rPr>
          <w:rFonts w:hint="eastAsia"/>
        </w:rPr>
        <w:t>有效活菌数达不到标准的微生物肥料不要使用。</w:t>
      </w:r>
    </w:p>
    <w:p>
      <w:pPr>
        <w:ind w:firstLine="480"/>
      </w:pPr>
      <w:r>
        <w:rPr>
          <w:rFonts w:hint="eastAsia"/>
          <w:lang w:val="en-US" w:eastAsia="zh-CN"/>
        </w:rPr>
        <w:t>3、</w:t>
      </w:r>
      <w:r>
        <w:rPr>
          <w:rFonts w:hint="eastAsia"/>
        </w:rPr>
        <w:t>存放时间超过有效期的微生物肥料不宜使用。</w:t>
      </w:r>
    </w:p>
    <w:p>
      <w:pPr>
        <w:ind w:firstLine="480"/>
      </w:pPr>
      <w:r>
        <w:rPr>
          <w:rFonts w:hint="eastAsia"/>
          <w:lang w:val="en-US" w:eastAsia="zh-CN"/>
        </w:rPr>
        <w:t>4、</w:t>
      </w:r>
      <w:r>
        <w:rPr>
          <w:rFonts w:hint="eastAsia"/>
        </w:rPr>
        <w:t>存放条件和使用方法须严格按规定办。</w:t>
      </w:r>
    </w:p>
    <w:p>
      <w:pPr>
        <w:ind w:firstLine="482"/>
        <w:rPr>
          <w:rFonts w:hint="eastAsia" w:eastAsia="宋体"/>
          <w:b/>
          <w:bCs/>
          <w:lang w:eastAsia="zh-CN"/>
        </w:rPr>
      </w:pPr>
      <w:r>
        <w:rPr>
          <w:rFonts w:hint="eastAsia"/>
          <w:b/>
          <w:bCs/>
          <w:lang w:eastAsia="zh-CN"/>
        </w:rPr>
        <w:t>（</w:t>
      </w:r>
      <w:r>
        <w:rPr>
          <w:rFonts w:hint="eastAsia"/>
          <w:b/>
          <w:bCs/>
          <w:lang w:val="en-US" w:eastAsia="zh-CN"/>
        </w:rPr>
        <w:t>十</w:t>
      </w:r>
      <w:r>
        <w:rPr>
          <w:rFonts w:hint="eastAsia"/>
          <w:b/>
          <w:bCs/>
          <w:lang w:eastAsia="zh-CN"/>
        </w:rPr>
        <w:t>）</w:t>
      </w:r>
      <w:r>
        <w:rPr>
          <w:rFonts w:hint="eastAsia"/>
          <w:b/>
          <w:bCs/>
        </w:rPr>
        <w:t>叶面喷施尿素应注意那些问题</w:t>
      </w:r>
    </w:p>
    <w:p>
      <w:pPr>
        <w:ind w:firstLine="480"/>
        <w:rPr>
          <w:rFonts w:hint="eastAsia" w:eastAsia="宋体"/>
          <w:lang w:eastAsia="zh-CN"/>
        </w:rPr>
      </w:pPr>
      <w:r>
        <w:rPr>
          <w:rFonts w:hint="eastAsia"/>
          <w:lang w:val="en-US" w:eastAsia="zh-CN"/>
        </w:rPr>
        <w:t>1、</w:t>
      </w:r>
      <w:r>
        <w:rPr>
          <w:rFonts w:hint="eastAsia"/>
        </w:rPr>
        <w:t>不要在暴热的天气或下雨前喷施，以免烧苗或损失肥分。喷施时间以每天清晨或午后进行为宜，喷后隔</w:t>
      </w:r>
      <w:r>
        <w:t>7~10</w:t>
      </w:r>
      <w:r>
        <w:rPr>
          <w:rFonts w:hint="eastAsia"/>
        </w:rPr>
        <w:t>天再喷一次。</w:t>
      </w:r>
    </w:p>
    <w:p>
      <w:pPr>
        <w:ind w:firstLine="480"/>
        <w:rPr>
          <w:rFonts w:hint="eastAsia" w:eastAsia="宋体"/>
          <w:lang w:eastAsia="zh-CN"/>
        </w:rPr>
      </w:pPr>
      <w:r>
        <w:rPr>
          <w:rFonts w:hint="eastAsia"/>
          <w:lang w:val="en-US" w:eastAsia="zh-CN"/>
        </w:rPr>
        <w:t>2、</w:t>
      </w:r>
      <w:r>
        <w:rPr>
          <w:rFonts w:hint="eastAsia"/>
        </w:rPr>
        <w:t>对禾谷类作物或叶面光滑的作物喷施时，要加入</w:t>
      </w:r>
      <w:r>
        <w:t>0.1%</w:t>
      </w:r>
      <w:r>
        <w:rPr>
          <w:rFonts w:hint="eastAsia"/>
        </w:rPr>
        <w:t>的粘着剂（如洗衣粉、洗洁净）等。否则，效果不好。</w:t>
      </w:r>
    </w:p>
    <w:p>
      <w:pPr>
        <w:ind w:firstLine="480"/>
        <w:rPr>
          <w:rFonts w:hint="eastAsia" w:eastAsia="宋体"/>
          <w:lang w:eastAsia="zh-CN"/>
        </w:rPr>
      </w:pPr>
      <w:r>
        <w:rPr>
          <w:rFonts w:hint="eastAsia"/>
          <w:lang w:val="en-US" w:eastAsia="zh-CN"/>
        </w:rPr>
        <w:t>3、</w:t>
      </w:r>
      <w:r>
        <w:rPr>
          <w:rFonts w:hint="eastAsia"/>
        </w:rPr>
        <w:t>用于喷施的尿素，缩二脲的含量不能高于</w:t>
      </w:r>
      <w:r>
        <w:t>0.5%</w:t>
      </w:r>
      <w:r>
        <w:rPr>
          <w:rFonts w:hint="eastAsia"/>
        </w:rPr>
        <w:t>，含量高容易伤害叶片。</w:t>
      </w:r>
    </w:p>
    <w:p>
      <w:pPr>
        <w:ind w:firstLine="480"/>
      </w:pPr>
      <w:r>
        <w:rPr>
          <w:rFonts w:hint="eastAsia"/>
          <w:lang w:val="en-US" w:eastAsia="zh-CN"/>
        </w:rPr>
        <w:t>4、</w:t>
      </w:r>
      <w:r>
        <w:rPr>
          <w:rFonts w:hint="eastAsia"/>
        </w:rPr>
        <w:t>作物种类不同，要求喷施尿素溶液的浓度也不同，一般禾谷类作物要求喷施浓度为1.5~2%，在花期喷施时，浓度还要低一些。叶菜类的蔬菜和黄瓜的喷施浓度为1~1.5%。苹果、梨、葡萄等果树以0.5%为宜。番茄以0.3%为宜。</w:t>
      </w:r>
    </w:p>
    <w:p>
      <w:pPr>
        <w:ind w:firstLine="482"/>
        <w:rPr>
          <w:rFonts w:hint="eastAsia" w:eastAsia="宋体"/>
          <w:b/>
          <w:bCs/>
          <w:lang w:eastAsia="zh-CN"/>
        </w:rPr>
      </w:pPr>
      <w:r>
        <w:rPr>
          <w:rFonts w:hint="eastAsia"/>
          <w:b/>
          <w:bCs/>
          <w:lang w:eastAsia="zh-CN"/>
        </w:rPr>
        <w:t>（</w:t>
      </w:r>
      <w:r>
        <w:rPr>
          <w:rFonts w:hint="eastAsia"/>
          <w:b/>
          <w:bCs/>
          <w:lang w:val="en-US" w:eastAsia="zh-CN"/>
        </w:rPr>
        <w:t>十一</w:t>
      </w:r>
      <w:r>
        <w:rPr>
          <w:rFonts w:hint="eastAsia"/>
          <w:b/>
          <w:bCs/>
          <w:lang w:eastAsia="zh-CN"/>
        </w:rPr>
        <w:t>）</w:t>
      </w:r>
      <w:r>
        <w:rPr>
          <w:rFonts w:hint="eastAsia"/>
          <w:b/>
          <w:bCs/>
        </w:rPr>
        <w:t>化肥与农家肥配施应注意哪些问题</w:t>
      </w:r>
    </w:p>
    <w:p>
      <w:pPr>
        <w:ind w:firstLine="480"/>
        <w:rPr>
          <w:rFonts w:hint="eastAsia" w:eastAsia="宋体"/>
          <w:lang w:eastAsia="zh-CN"/>
        </w:rPr>
      </w:pPr>
      <w:r>
        <w:rPr>
          <w:rFonts w:hint="eastAsia"/>
          <w:lang w:val="en-US" w:eastAsia="zh-CN"/>
        </w:rPr>
        <w:t>1、</w:t>
      </w:r>
      <w:r>
        <w:rPr>
          <w:rFonts w:hint="eastAsia"/>
        </w:rPr>
        <w:t>施用时间。农家肥见效慢，应早施，一般在播前一次性底施；而化肥用量少，见效快，一般应在作物吸收营养高峰期前</w:t>
      </w:r>
      <w:r>
        <w:t>7</w:t>
      </w:r>
      <w:r>
        <w:rPr>
          <w:rFonts w:hint="eastAsia"/>
        </w:rPr>
        <w:t>天左右施入。</w:t>
      </w:r>
    </w:p>
    <w:p>
      <w:pPr>
        <w:ind w:firstLine="480"/>
        <w:rPr>
          <w:rFonts w:hint="eastAsia" w:eastAsia="宋体"/>
          <w:lang w:eastAsia="zh-CN"/>
        </w:rPr>
      </w:pPr>
      <w:r>
        <w:rPr>
          <w:rFonts w:hint="eastAsia"/>
          <w:lang w:val="en-US" w:eastAsia="zh-CN"/>
        </w:rPr>
        <w:t>2、</w:t>
      </w:r>
      <w:r>
        <w:rPr>
          <w:rFonts w:hint="eastAsia"/>
        </w:rPr>
        <w:t>施用方法。农家肥要结合深耕施入土壤耕层，或结合起垄扣入垄底。与农家肥搭配的氮素化肥，</w:t>
      </w:r>
      <w:r>
        <w:t>30%</w:t>
      </w:r>
      <w:r>
        <w:rPr>
          <w:rFonts w:hint="eastAsia"/>
        </w:rPr>
        <w:t>作底肥，</w:t>
      </w:r>
      <w:r>
        <w:t>70%</w:t>
      </w:r>
      <w:r>
        <w:rPr>
          <w:rFonts w:hint="eastAsia"/>
        </w:rPr>
        <w:t>作追肥。磷肥和钾肥作底肥一次性施入。</w:t>
      </w:r>
    </w:p>
    <w:p>
      <w:pPr>
        <w:ind w:firstLine="480"/>
      </w:pPr>
      <w:r>
        <w:rPr>
          <w:rFonts w:hint="eastAsia"/>
          <w:lang w:val="en-US" w:eastAsia="zh-CN"/>
        </w:rPr>
        <w:t>3、</w:t>
      </w:r>
      <w:r>
        <w:rPr>
          <w:rFonts w:hint="eastAsia"/>
        </w:rPr>
        <w:t>施用数量。化肥与农家肥配合施用，其用量可根据作物和土壤肥力不同而有所区别，如在瘠薄的地上种玉米，每亩可施农家肥4立方米、尿素24公斤、磷肥13公斤或施15：15：15的复合肥13公斤。中等肥力的土壤可施农家肥3立方米、尿素20公斤，或施15：15：15的复合肥12公斤。高肥力土壤可施农家肥2.5立方米、尿素15公斤。尿素在追肥时使用效果更佳。复合肥以底肥为佳。</w:t>
      </w:r>
    </w:p>
    <w:p>
      <w:pPr>
        <w:ind w:firstLine="482"/>
        <w:rPr>
          <w:rFonts w:hint="eastAsia" w:eastAsia="宋体"/>
          <w:b/>
          <w:bCs/>
          <w:lang w:eastAsia="zh-CN"/>
        </w:rPr>
      </w:pPr>
      <w:r>
        <w:rPr>
          <w:rFonts w:hint="eastAsia"/>
          <w:b/>
          <w:bCs/>
          <w:lang w:eastAsia="zh-CN"/>
        </w:rPr>
        <w:t>（</w:t>
      </w:r>
      <w:r>
        <w:rPr>
          <w:rFonts w:hint="eastAsia"/>
          <w:b/>
          <w:bCs/>
          <w:lang w:val="en-US" w:eastAsia="zh-CN"/>
        </w:rPr>
        <w:t>十二</w:t>
      </w:r>
      <w:r>
        <w:rPr>
          <w:rFonts w:hint="eastAsia"/>
          <w:b/>
          <w:bCs/>
          <w:lang w:eastAsia="zh-CN"/>
        </w:rPr>
        <w:t>）</w:t>
      </w:r>
      <w:r>
        <w:rPr>
          <w:rFonts w:hint="eastAsia"/>
          <w:b/>
          <w:bCs/>
        </w:rPr>
        <w:t>如何施用底肥效果更好</w:t>
      </w:r>
    </w:p>
    <w:p>
      <w:pPr>
        <w:ind w:firstLine="480"/>
        <w:rPr>
          <w:rFonts w:hint="eastAsia" w:eastAsia="宋体"/>
          <w:lang w:eastAsia="zh-CN"/>
        </w:rPr>
      </w:pPr>
      <w:r>
        <w:rPr>
          <w:rFonts w:hint="eastAsia"/>
        </w:rPr>
        <w:t>从肥料的用量上看，各种肥料作底肥的具体用量可参照当地多年田间肥效试验结果及目标产量等综合因素确定，一般高肥力土壤上氮肥总用量的</w:t>
      </w:r>
      <w:r>
        <w:t>30</w:t>
      </w:r>
      <w:r>
        <w:rPr>
          <w:rFonts w:hint="eastAsia"/>
        </w:rPr>
        <w:t>％左右作底施，中、低肥力土壤则有</w:t>
      </w:r>
      <w:r>
        <w:t>50</w:t>
      </w:r>
      <w:r>
        <w:rPr>
          <w:rFonts w:hint="eastAsia"/>
        </w:rPr>
        <w:t>％～</w:t>
      </w:r>
      <w:r>
        <w:t>70</w:t>
      </w:r>
      <w:r>
        <w:rPr>
          <w:rFonts w:hint="eastAsia"/>
        </w:rPr>
        <w:t>％的氮肥作为底肥，而磷、钾肥及微肥尽可能一次全部底施。从肥料品种上看，氮肥中的碳铵，磷肥中的普钙、二铵、钙镁磷肥、三料，钾肥中氯化钾、硫酸钾、草木灰，微肥中的锌肥、锰肥等，都适宜作底肥。从深度方面讲，一般底肥应施到整个耕层之内，即</w:t>
      </w:r>
      <w:r>
        <w:t>15</w:t>
      </w:r>
      <w:r>
        <w:rPr>
          <w:rFonts w:hint="eastAsia"/>
        </w:rPr>
        <w:t>～</w:t>
      </w:r>
      <w:r>
        <w:t>20</w:t>
      </w:r>
      <w:r>
        <w:rPr>
          <w:rFonts w:hint="eastAsia"/>
        </w:rPr>
        <w:t>厘米的深度。</w:t>
      </w:r>
    </w:p>
    <w:p>
      <w:pPr>
        <w:ind w:firstLine="480"/>
      </w:pPr>
      <w:r>
        <w:rPr>
          <w:rFonts w:hint="eastAsia"/>
        </w:rPr>
        <w:t>对于有机肥、氮肥、钾肥、微肥，可以混合后均匀地撒在地表，随即耕翻入土，做到肥料与全耕层土壤均匀混合。磷肥由于移动性差，在底施时应分上下两层施用，即下层施至15～20厘米的深度，上层施至5厘米左右的深度。</w:t>
      </w:r>
    </w:p>
    <w:p>
      <w:pPr>
        <w:ind w:firstLine="480"/>
      </w:pPr>
      <w:r>
        <w:rPr>
          <w:rFonts w:hint="eastAsia"/>
        </w:rPr>
        <w:t>磷酸二氢钾到底什么时候使用最合适？</w:t>
      </w:r>
    </w:p>
    <w:p>
      <w:pPr>
        <w:ind w:firstLine="480"/>
      </w:pPr>
      <w:r>
        <w:rPr>
          <w:rFonts w:hint="eastAsia"/>
        </w:rPr>
        <w:t>开花前，喷施</w:t>
      </w:r>
      <w:r>
        <w:t>0.2%~0.3%</w:t>
      </w:r>
      <w:r>
        <w:rPr>
          <w:rFonts w:hint="eastAsia"/>
        </w:rPr>
        <w:t>的磷酸二氢钾，增加叶片厚度，增强光合作用，在一定程度上提高坐果率。</w:t>
      </w:r>
    </w:p>
    <w:p>
      <w:pPr>
        <w:ind w:firstLine="480"/>
      </w:pPr>
      <w:r>
        <w:rPr>
          <w:rFonts w:hint="eastAsia"/>
        </w:rPr>
        <w:t>果实生长期喷施3-4次0.2%~0.3%的磷酸二氢钾，间隔10~15天。促进幼果膨大，提高产量，增加含糖量，增进果实品质。</w:t>
      </w:r>
    </w:p>
    <w:p>
      <w:pPr>
        <w:ind w:firstLine="480"/>
      </w:pPr>
      <w:r>
        <w:rPr>
          <w:rFonts w:hint="eastAsia"/>
        </w:rPr>
        <w:t>采摘后喷施0.2%~0.3%的磷酸二氢钾，间隔10~15天，保护叶片功能，积累养分，防治叶片早衰。</w:t>
      </w:r>
    </w:p>
    <w:p>
      <w:pPr>
        <w:widowControl/>
        <w:spacing w:before="0" w:after="0" w:line="240" w:lineRule="auto"/>
        <w:ind w:firstLine="0" w:firstLineChars="0"/>
        <w:jc w:val="left"/>
      </w:pPr>
      <w:r>
        <w:br w:type="page"/>
      </w:r>
    </w:p>
    <w:p>
      <w:pPr>
        <w:pStyle w:val="7"/>
      </w:pPr>
      <w:bookmarkStart w:id="985" w:name="_Toc118293358"/>
      <w:bookmarkStart w:id="986" w:name="_Toc13"/>
      <w:bookmarkStart w:id="987" w:name="_Toc105600287"/>
      <w:bookmarkStart w:id="988" w:name="_Toc117182034"/>
      <w:r>
        <w:rPr>
          <w:rFonts w:hint="eastAsia"/>
          <w:lang w:eastAsia="zh-CN"/>
        </w:rPr>
        <w:t>（</w:t>
      </w:r>
      <w:r>
        <w:rPr>
          <w:rFonts w:hint="eastAsia"/>
          <w:lang w:val="en-US" w:eastAsia="zh-CN"/>
        </w:rPr>
        <w:t>七</w:t>
      </w:r>
      <w:r>
        <w:rPr>
          <w:rFonts w:hint="eastAsia"/>
          <w:lang w:eastAsia="zh-CN"/>
        </w:rPr>
        <w:t>）</w:t>
      </w:r>
      <w:r>
        <w:rPr>
          <w:rFonts w:hint="eastAsia"/>
        </w:rPr>
        <w:t>植物所需的营养元素</w:t>
      </w:r>
      <w:bookmarkEnd w:id="985"/>
      <w:bookmarkEnd w:id="986"/>
      <w:bookmarkEnd w:id="987"/>
      <w:bookmarkEnd w:id="988"/>
    </w:p>
    <w:p>
      <w:pPr>
        <w:ind w:firstLine="482"/>
        <w:rPr>
          <w:b/>
          <w:bCs/>
        </w:rPr>
      </w:pPr>
      <w:r>
        <w:rPr>
          <w:rFonts w:hint="eastAsia"/>
          <w:b/>
          <w:bCs/>
        </w:rPr>
        <w:t>（一）忌氯作物</w:t>
      </w:r>
    </w:p>
    <w:p>
      <w:pPr>
        <w:ind w:firstLine="480"/>
      </w:pPr>
      <w:r>
        <w:rPr>
          <w:rFonts w:hint="eastAsia"/>
        </w:rPr>
        <w:t>茶、柑桔、油菜、甜菜、甘薯、甘蔗、葡萄等。</w:t>
      </w:r>
    </w:p>
    <w:p>
      <w:pPr>
        <w:ind w:firstLine="480"/>
      </w:pPr>
      <w:r>
        <w:rPr>
          <w:rFonts w:hint="eastAsia"/>
        </w:rPr>
        <w:t>肥料中各种养分的作用以及对作物的影响：</w:t>
      </w:r>
    </w:p>
    <w:p>
      <w:pPr>
        <w:ind w:firstLine="480"/>
      </w:pPr>
      <w:r>
        <w:rPr>
          <w:rFonts w:hint="eastAsia"/>
          <w:lang w:val="en-US" w:eastAsia="zh-CN"/>
        </w:rPr>
        <w:t>1、</w:t>
      </w:r>
      <w:r>
        <w:rPr>
          <w:rFonts w:hint="eastAsia"/>
        </w:rPr>
        <w:t>氮</w:t>
      </w:r>
    </w:p>
    <w:p>
      <w:pPr>
        <w:ind w:firstLine="480"/>
      </w:pPr>
      <w:r>
        <w:rPr>
          <w:rFonts w:hint="eastAsia"/>
          <w:lang w:eastAsia="zh-CN"/>
        </w:rPr>
        <w:t>（</w:t>
      </w:r>
      <w:r>
        <w:rPr>
          <w:rFonts w:hint="eastAsia"/>
          <w:lang w:val="en-US" w:eastAsia="zh-CN"/>
        </w:rPr>
        <w:t>1</w:t>
      </w:r>
      <w:r>
        <w:rPr>
          <w:rFonts w:hint="eastAsia"/>
          <w:lang w:eastAsia="zh-CN"/>
        </w:rPr>
        <w:t>）</w:t>
      </w:r>
      <w:r>
        <w:rPr>
          <w:rFonts w:hint="eastAsia"/>
        </w:rPr>
        <w:t>作用</w:t>
      </w:r>
    </w:p>
    <w:p>
      <w:pPr>
        <w:ind w:firstLine="480"/>
        <w:rPr>
          <w:rFonts w:hint="eastAsia" w:eastAsia="宋体"/>
          <w:lang w:eastAsia="zh-CN"/>
        </w:rPr>
      </w:pPr>
      <w:r>
        <w:rPr>
          <w:rFonts w:hint="eastAsia"/>
        </w:rPr>
        <w:t>根系吸收的氮主要是无机态氮,即铵态氮和硝态氮，也可吸收一部分有机态氮,如尿素。</w:t>
      </w:r>
    </w:p>
    <w:p>
      <w:pPr>
        <w:ind w:firstLine="480"/>
      </w:pPr>
      <w:r>
        <w:rPr>
          <w:rFonts w:hint="eastAsia"/>
        </w:rPr>
        <w:t>氮是蛋白质、核酸、磷脂的主要成分,而这三者又是原生质、细胞核和生物膜的重要组成部分,它们在生命活动中占有特殊作用。因此,氮被称为生命的元素。</w:t>
      </w:r>
    </w:p>
    <w:p>
      <w:pPr>
        <w:ind w:firstLine="480"/>
      </w:pPr>
      <w:r>
        <w:rPr>
          <w:rFonts w:hint="eastAsia"/>
        </w:rPr>
        <w:t>酶以及许多辅酶和辅基如NAD+</w:t>
      </w:r>
      <w:r>
        <w:rPr>
          <w:rFonts w:hint="eastAsia"/>
          <w:lang w:eastAsia="zh-CN"/>
        </w:rPr>
        <w:t>（</w:t>
      </w:r>
      <w:r>
        <w:rPr>
          <w:rFonts w:hint="eastAsia"/>
        </w:rPr>
        <w:t>烟酰胺腺嘌呤二核苷酸氧化态</w:t>
      </w:r>
      <w:r>
        <w:rPr>
          <w:rFonts w:hint="eastAsia"/>
          <w:lang w:eastAsia="zh-CN"/>
        </w:rPr>
        <w:t>）</w:t>
      </w:r>
      <w:r>
        <w:rPr>
          <w:rFonts w:hint="eastAsia"/>
        </w:rPr>
        <w:t>、NADP+</w:t>
      </w:r>
      <w:r>
        <w:rPr>
          <w:rFonts w:hint="eastAsia"/>
          <w:lang w:eastAsia="zh-CN"/>
        </w:rPr>
        <w:t>（</w:t>
      </w:r>
      <w:r>
        <w:rPr>
          <w:rFonts w:hint="eastAsia"/>
        </w:rPr>
        <w:t>烟酰胺腺嘌呤二核苷酸磷酸氧化态</w:t>
      </w:r>
      <w:r>
        <w:rPr>
          <w:rFonts w:hint="eastAsia"/>
          <w:lang w:eastAsia="zh-CN"/>
        </w:rPr>
        <w:t>）</w:t>
      </w:r>
      <w:r>
        <w:rPr>
          <w:rFonts w:hint="eastAsia"/>
        </w:rPr>
        <w:t>、FAD</w:t>
      </w:r>
      <w:r>
        <w:rPr>
          <w:rFonts w:hint="eastAsia"/>
          <w:lang w:eastAsia="zh-CN"/>
        </w:rPr>
        <w:t>（</w:t>
      </w:r>
      <w:r>
        <w:rPr>
          <w:rFonts w:hint="eastAsia"/>
        </w:rPr>
        <w:t>核黄素腺嘌呤核苷酸</w:t>
      </w:r>
      <w:r>
        <w:rPr>
          <w:rFonts w:hint="eastAsia"/>
          <w:lang w:eastAsia="zh-CN"/>
        </w:rPr>
        <w:t>）</w:t>
      </w:r>
      <w:r>
        <w:rPr>
          <w:rFonts w:hint="eastAsia"/>
        </w:rPr>
        <w:t>等的构成也都有氮参与。</w:t>
      </w:r>
    </w:p>
    <w:p>
      <w:pPr>
        <w:ind w:firstLine="480"/>
      </w:pPr>
      <w:r>
        <w:rPr>
          <w:rFonts w:hint="eastAsia"/>
        </w:rPr>
        <w:t>氮还是某些植物激素如生长素和细胞分裂素、维生素如B1、B2、B6、PP等的成分,它们对生命活动起重要的调节作用。</w:t>
      </w:r>
    </w:p>
    <w:p>
      <w:pPr>
        <w:ind w:firstLine="480"/>
      </w:pPr>
      <w:r>
        <w:rPr>
          <w:rFonts w:hint="eastAsia"/>
        </w:rPr>
        <w:t>氮是叶绿素的成分,与光合作用有密切关系。</w:t>
      </w:r>
    </w:p>
    <w:p>
      <w:pPr>
        <w:ind w:firstLine="480"/>
        <w:rPr>
          <w:rFonts w:hint="eastAsia" w:eastAsia="宋体"/>
          <w:lang w:eastAsia="zh-CN"/>
        </w:rPr>
      </w:pPr>
      <w:r>
        <w:rPr>
          <w:rFonts w:hint="eastAsia"/>
        </w:rPr>
        <w:t>由于氮具有上述功能,所以氮的多寡会直接影响细胞的分裂和生长。当氮肥供应充足时,植株枝叶繁茂,躯体高大,分蘖</w:t>
      </w:r>
      <w:r>
        <w:rPr>
          <w:rFonts w:hint="eastAsia"/>
          <w:lang w:eastAsia="zh-CN"/>
        </w:rPr>
        <w:t>（</w:t>
      </w:r>
      <w:r>
        <w:rPr>
          <w:rFonts w:hint="eastAsia"/>
        </w:rPr>
        <w:t>分枝</w:t>
      </w:r>
      <w:r>
        <w:rPr>
          <w:rFonts w:hint="eastAsia"/>
          <w:lang w:eastAsia="zh-CN"/>
        </w:rPr>
        <w:t>）</w:t>
      </w:r>
      <w:r>
        <w:rPr>
          <w:rFonts w:hint="eastAsia"/>
        </w:rPr>
        <w:t>能力强,籽粒中含蛋白质高。植物必需元素中,除碳、氢、氧外，氮的需要量最大，因此,在农业生产中特别注意氮肥的供应。常用的人粪尿、尿素、硝酸铵、硫酸铵、碳酸氢铵等肥料,主要是供给氮素营养。</w:t>
      </w:r>
    </w:p>
    <w:p>
      <w:pPr>
        <w:ind w:firstLine="480"/>
        <w:rPr>
          <w:rFonts w:hint="eastAsia" w:eastAsia="宋体"/>
          <w:lang w:eastAsia="zh-CN"/>
        </w:rPr>
      </w:pPr>
      <w:r>
        <w:rPr>
          <w:rFonts w:hint="eastAsia"/>
          <w:lang w:eastAsia="zh-CN"/>
        </w:rPr>
        <w:t>（</w:t>
      </w:r>
      <w:r>
        <w:rPr>
          <w:rFonts w:hint="eastAsia"/>
          <w:lang w:val="en-US" w:eastAsia="zh-CN"/>
        </w:rPr>
        <w:t>2</w:t>
      </w:r>
      <w:r>
        <w:rPr>
          <w:rFonts w:hint="eastAsia"/>
          <w:lang w:eastAsia="zh-CN"/>
        </w:rPr>
        <w:t>）</w:t>
      </w:r>
      <w:r>
        <w:rPr>
          <w:rFonts w:hint="eastAsia"/>
        </w:rPr>
        <w:t>影响</w:t>
      </w:r>
    </w:p>
    <w:p>
      <w:pPr>
        <w:ind w:firstLine="480"/>
        <w:rPr>
          <w:rFonts w:hint="eastAsia" w:eastAsia="宋体"/>
          <w:lang w:eastAsia="zh-CN"/>
        </w:rPr>
      </w:pPr>
      <w:r>
        <w:rPr>
          <w:rFonts w:hint="eastAsia"/>
        </w:rPr>
        <w:t>缺氮时,蛋白质、核酸、磷脂等物质的合成受阻,植物生长矮小,分枝、分蘖很少,叶片小而薄,花果少且易脱落；缺氮还会影响叶绿素的合成,使枝叶变黄,叶片早衰甚至干枯,从而导致产量降低。因为植物体内氮的移动性大,老叶中的氮化物分解后可运到幼嫩组织中去重复利用,所以缺氮时叶片发黄,由下部叶片开始逐渐向上，这是缺氮症状的显著特点。</w:t>
      </w:r>
    </w:p>
    <w:p>
      <w:pPr>
        <w:ind w:firstLine="480"/>
      </w:pPr>
      <w:r>
        <w:rPr>
          <w:rFonts w:hint="eastAsia"/>
        </w:rPr>
        <w:t>氮过多时,叶片大而深绿,柔软披散，植株徒长。另外，氮素过多时，植株体内含糖量相对不足,茎秆中的机械组织不发达,易造成倒伏和被病虫害侵害。</w:t>
      </w:r>
    </w:p>
    <w:p>
      <w:pPr>
        <w:ind w:firstLine="482"/>
        <w:rPr>
          <w:rFonts w:hint="eastAsia" w:eastAsia="宋体"/>
          <w:b/>
          <w:bCs/>
          <w:lang w:eastAsia="zh-CN"/>
        </w:rPr>
      </w:pPr>
      <w:r>
        <w:rPr>
          <w:rFonts w:hint="eastAsia"/>
          <w:b/>
          <w:bCs/>
          <w:lang w:eastAsia="zh-CN"/>
        </w:rPr>
        <w:t>（</w:t>
      </w:r>
      <w:r>
        <w:rPr>
          <w:rFonts w:hint="eastAsia"/>
          <w:b/>
          <w:bCs/>
        </w:rPr>
        <w:t>二</w:t>
      </w:r>
      <w:r>
        <w:rPr>
          <w:rFonts w:hint="eastAsia"/>
          <w:b/>
          <w:bCs/>
          <w:lang w:eastAsia="zh-CN"/>
        </w:rPr>
        <w:t>）</w:t>
      </w:r>
      <w:r>
        <w:rPr>
          <w:rFonts w:hint="eastAsia"/>
          <w:b/>
          <w:bCs/>
        </w:rPr>
        <w:t>磷</w:t>
      </w:r>
    </w:p>
    <w:p>
      <w:pPr>
        <w:ind w:firstLine="480"/>
        <w:rPr>
          <w:lang w:eastAsia="zh-TW"/>
        </w:rPr>
      </w:pPr>
      <w:r>
        <w:rPr>
          <w:rFonts w:hint="eastAsia"/>
          <w:lang w:eastAsia="zh-TW"/>
        </w:rPr>
        <w:t>1、作用</w:t>
      </w:r>
    </w:p>
    <w:p>
      <w:pPr>
        <w:ind w:firstLine="480"/>
        <w:rPr>
          <w:rFonts w:hint="eastAsia" w:eastAsia="宋体"/>
          <w:lang w:eastAsia="zh-CN"/>
        </w:rPr>
      </w:pPr>
      <w:r>
        <w:rPr>
          <w:rFonts w:hint="eastAsia"/>
          <w:lang w:eastAsia="zh-TW"/>
        </w:rPr>
        <w:t>磷主要以H2PO4-或HPO42-的形式被植物吸收。</w:t>
      </w:r>
      <w:r>
        <w:rPr>
          <w:rFonts w:hint="eastAsia"/>
        </w:rPr>
        <w:t>吸收这两种形式的多少取决于土壤pH。pH＜7时,H2PO4-居多;pH＞7时,HPO42-较多。当磷进入根系或经木质部运到枝叶后,大部分转变为有机物质如糖磷脂、核苷酸、核酸、磷脂等，有一部分仍以无机磷形式存在。植物体中磷的分布不均匀,根、茎的生长点较多,嫩叶比老叶多,果实、种子中也较丰富。</w:t>
      </w:r>
    </w:p>
    <w:p>
      <w:pPr>
        <w:ind w:firstLine="480"/>
      </w:pPr>
      <w:r>
        <w:rPr>
          <w:rFonts w:hint="eastAsia"/>
        </w:rPr>
        <w:t>磷是核酸、核蛋白和磷脂的主要成分,它与蛋白质合成、细胞分裂、细胞生长有密切关系；</w:t>
      </w:r>
    </w:p>
    <w:p>
      <w:pPr>
        <w:ind w:firstLine="480"/>
      </w:pPr>
      <w:r>
        <w:rPr>
          <w:rFonts w:hint="eastAsia"/>
        </w:rPr>
        <w:t>磷是许多辅酶如NAD+</w:t>
      </w:r>
      <w:r>
        <w:rPr>
          <w:rFonts w:hint="eastAsia"/>
          <w:lang w:eastAsia="zh-CN"/>
        </w:rPr>
        <w:t>（</w:t>
      </w:r>
      <w:r>
        <w:rPr>
          <w:rFonts w:hint="eastAsia"/>
        </w:rPr>
        <w:t>烟酰胺腺嘌呤二核苷酸氧化态</w:t>
      </w:r>
      <w:r>
        <w:rPr>
          <w:rFonts w:hint="eastAsia"/>
          <w:lang w:eastAsia="zh-CN"/>
        </w:rPr>
        <w:t>）</w:t>
      </w:r>
      <w:r>
        <w:rPr>
          <w:rFonts w:hint="eastAsia"/>
        </w:rPr>
        <w:t>、NADP+</w:t>
      </w:r>
      <w:r>
        <w:rPr>
          <w:rFonts w:hint="eastAsia"/>
          <w:lang w:eastAsia="zh-CN"/>
        </w:rPr>
        <w:t>（</w:t>
      </w:r>
      <w:r>
        <w:rPr>
          <w:rFonts w:hint="eastAsia"/>
        </w:rPr>
        <w:t>烟酰胺腺嘌呤二核苷酸磷酸氧化态</w:t>
      </w:r>
      <w:r>
        <w:rPr>
          <w:rFonts w:hint="eastAsia"/>
          <w:lang w:eastAsia="zh-CN"/>
        </w:rPr>
        <w:t>）</w:t>
      </w:r>
      <w:r>
        <w:rPr>
          <w:rFonts w:hint="eastAsia"/>
        </w:rPr>
        <w:t>等的成分,它们参与了光合、呼吸过程；</w:t>
      </w:r>
    </w:p>
    <w:p>
      <w:pPr>
        <w:ind w:firstLine="480"/>
      </w:pPr>
      <w:r>
        <w:rPr>
          <w:rFonts w:hint="eastAsia"/>
        </w:rPr>
        <w:t>磷是AMP</w:t>
      </w:r>
      <w:r>
        <w:rPr>
          <w:rFonts w:hint="eastAsia"/>
          <w:lang w:eastAsia="zh-CN"/>
        </w:rPr>
        <w:t>（</w:t>
      </w:r>
      <w:r>
        <w:rPr>
          <w:rFonts w:hint="eastAsia"/>
        </w:rPr>
        <w:t>一磷酸腺苷</w:t>
      </w:r>
      <w:r>
        <w:rPr>
          <w:rFonts w:hint="eastAsia"/>
          <w:lang w:eastAsia="zh-CN"/>
        </w:rPr>
        <w:t>）</w:t>
      </w:r>
      <w:r>
        <w:rPr>
          <w:rFonts w:hint="eastAsia"/>
        </w:rPr>
        <w:t>、ADP</w:t>
      </w:r>
      <w:r>
        <w:rPr>
          <w:rFonts w:hint="eastAsia"/>
          <w:lang w:eastAsia="zh-CN"/>
        </w:rPr>
        <w:t>（</w:t>
      </w:r>
      <w:r>
        <w:rPr>
          <w:rFonts w:hint="eastAsia"/>
        </w:rPr>
        <w:t>二磷酸腺苷</w:t>
      </w:r>
      <w:r>
        <w:rPr>
          <w:rFonts w:hint="eastAsia"/>
          <w:lang w:eastAsia="zh-CN"/>
        </w:rPr>
        <w:t>）</w:t>
      </w:r>
      <w:r>
        <w:rPr>
          <w:rFonts w:hint="eastAsia"/>
        </w:rPr>
        <w:t>和ATP</w:t>
      </w:r>
      <w:r>
        <w:rPr>
          <w:rFonts w:hint="eastAsia"/>
          <w:lang w:eastAsia="zh-CN"/>
        </w:rPr>
        <w:t>（</w:t>
      </w:r>
      <w:r>
        <w:rPr>
          <w:rFonts w:hint="eastAsia"/>
        </w:rPr>
        <w:t>三磷酸腺苷</w:t>
      </w:r>
      <w:r>
        <w:rPr>
          <w:rFonts w:hint="eastAsia"/>
          <w:lang w:eastAsia="zh-CN"/>
        </w:rPr>
        <w:t>）</w:t>
      </w:r>
      <w:r>
        <w:rPr>
          <w:rFonts w:hint="eastAsia"/>
        </w:rPr>
        <w:t>的成分；</w:t>
      </w:r>
    </w:p>
    <w:p>
      <w:pPr>
        <w:ind w:firstLine="480"/>
      </w:pPr>
      <w:r>
        <w:rPr>
          <w:rFonts w:hint="eastAsia"/>
        </w:rPr>
        <w:t>磷还参与碳水化合物的代谢和运输,如在光合作用和呼吸作用过程中,糖的合成、转化、降解大多是在磷酸化后才起反应的；</w:t>
      </w:r>
    </w:p>
    <w:p>
      <w:pPr>
        <w:ind w:firstLine="480"/>
      </w:pPr>
      <w:r>
        <w:rPr>
          <w:rFonts w:hint="eastAsia"/>
        </w:rPr>
        <w:t>磷对氮代谢也有重要作用,如硝酸还原有NAD+和FAD的参与,而磷酸吡哆醛和磷酸吡哆胺则参与氨基酸的转化；</w:t>
      </w:r>
    </w:p>
    <w:p>
      <w:pPr>
        <w:ind w:firstLine="480"/>
        <w:rPr>
          <w:rFonts w:hint="eastAsia" w:eastAsia="宋体"/>
          <w:lang w:eastAsia="zh-CN"/>
        </w:rPr>
      </w:pPr>
      <w:r>
        <w:rPr>
          <w:rFonts w:hint="eastAsia"/>
        </w:rPr>
        <w:t>磷与脂肪转化也有关系,脂肪代谢需要NADPH</w:t>
      </w:r>
      <w:r>
        <w:rPr>
          <w:rFonts w:hint="eastAsia"/>
          <w:lang w:eastAsia="zh-CN"/>
        </w:rPr>
        <w:t>（</w:t>
      </w:r>
      <w:r>
        <w:rPr>
          <w:rFonts w:hint="eastAsia"/>
        </w:rPr>
        <w:t>烟酰胺腺嘌呤二核苷酸磷酸还原态</w:t>
      </w:r>
      <w:r>
        <w:rPr>
          <w:rFonts w:hint="eastAsia"/>
          <w:lang w:eastAsia="zh-CN"/>
        </w:rPr>
        <w:t>）</w:t>
      </w:r>
      <w:r>
        <w:rPr>
          <w:rFonts w:hint="eastAsia"/>
        </w:rPr>
        <w:t>、ATP、CoA（乙酰辅酶A）和NAD+的参与。</w:t>
      </w:r>
    </w:p>
    <w:p>
      <w:pPr>
        <w:ind w:firstLine="480"/>
      </w:pPr>
      <w:r>
        <w:rPr>
          <w:rFonts w:hint="eastAsia"/>
        </w:rPr>
        <w:t>由于磷参与多种代谢过程,而且在生命活动最旺盛的分生组织中含量很高,因此施磷对分蘖、分枝以及根系生长都有良好作用。由于磷促进碳水化合物的合成、转化和运输,对种子、块根、块茎的生长有利,故马铃薯、甘薯和禾谷类作物施磷后有明显的增产效果。由于磷与氮有密切关系,所以缺氮时,磷肥的效果就不能充分发挥。只有氮磷配合施用,才能充分发挥磷肥效果。总之,磷对植物生长发育有很大的作用,是仅次于氮的第二个重要元素。</w:t>
      </w:r>
    </w:p>
    <w:p>
      <w:pPr>
        <w:ind w:firstLine="480"/>
      </w:pPr>
      <w:r>
        <w:rPr>
          <w:rFonts w:hint="eastAsia"/>
        </w:rPr>
        <w:t>2、影响</w:t>
      </w:r>
    </w:p>
    <w:p>
      <w:pPr>
        <w:ind w:firstLine="480"/>
        <w:rPr>
          <w:rFonts w:hint="eastAsia" w:eastAsia="宋体"/>
          <w:lang w:eastAsia="zh-CN"/>
        </w:rPr>
      </w:pPr>
      <w:r>
        <w:rPr>
          <w:rFonts w:hint="eastAsia"/>
        </w:rPr>
        <w:t>缺磷会影响细胞分裂,使分蘖分枝减少,幼芽、幼叶生长停滞,茎、根纤细,植株矮小,花果脱落,成熟延迟；缺磷时,蛋白质合成下降,糖的运输受阻,从而使营养器官中糖的含量相对提高,这有利于花青素的形成,故缺磷时叶子呈现不正常的暗绿色或紫红色，这是缺磷的病症。</w:t>
      </w:r>
    </w:p>
    <w:p>
      <w:pPr>
        <w:ind w:firstLine="480"/>
        <w:rPr>
          <w:rFonts w:hint="eastAsia" w:eastAsia="宋体"/>
          <w:lang w:eastAsia="zh-CN"/>
        </w:rPr>
      </w:pPr>
      <w:r>
        <w:rPr>
          <w:rFonts w:hint="eastAsia"/>
        </w:rPr>
        <w:t>磷在体内易移动，也能重复利用,缺磷时老叶中的磷能大部分转移到正在生长的幼嫩组织中去。因此,缺磷的症状首先在下部老叶出现,并逐渐向上发展。</w:t>
      </w:r>
    </w:p>
    <w:p>
      <w:pPr>
        <w:ind w:firstLine="480"/>
      </w:pPr>
      <w:r>
        <w:rPr>
          <w:rFonts w:hint="eastAsia"/>
        </w:rPr>
        <w:t>磷肥过多时,叶上又会出现小焦斑,系磷酸钙沉淀所致；磷过多还会阻碍植物对硅的吸收,易招致水稻感病。水溶性磷酸盐还可与土壤中的锌结合,减少锌的有效性,故磷过多易引起缺锌病。</w:t>
      </w:r>
    </w:p>
    <w:p>
      <w:pPr>
        <w:ind w:firstLine="482"/>
        <w:rPr>
          <w:rFonts w:hint="eastAsia" w:eastAsia="宋体"/>
          <w:b/>
          <w:bCs/>
          <w:lang w:eastAsia="zh-CN"/>
        </w:rPr>
      </w:pPr>
      <w:r>
        <w:rPr>
          <w:rFonts w:hint="eastAsia"/>
          <w:b/>
          <w:bCs/>
          <w:lang w:eastAsia="zh-CN"/>
        </w:rPr>
        <w:t>（</w:t>
      </w:r>
      <w:r>
        <w:rPr>
          <w:rFonts w:hint="eastAsia"/>
          <w:b/>
          <w:bCs/>
        </w:rPr>
        <w:t>三</w:t>
      </w:r>
      <w:r>
        <w:rPr>
          <w:rFonts w:hint="eastAsia"/>
          <w:b/>
          <w:bCs/>
          <w:lang w:eastAsia="zh-CN"/>
        </w:rPr>
        <w:t>）</w:t>
      </w:r>
      <w:r>
        <w:rPr>
          <w:rFonts w:hint="eastAsia"/>
          <w:b/>
          <w:bCs/>
        </w:rPr>
        <w:t>钾</w:t>
      </w:r>
    </w:p>
    <w:p>
      <w:pPr>
        <w:ind w:firstLine="480"/>
        <w:rPr>
          <w:lang w:eastAsia="zh-TW"/>
        </w:rPr>
      </w:pPr>
      <w:r>
        <w:rPr>
          <w:rFonts w:hint="eastAsia"/>
          <w:lang w:eastAsia="zh-TW"/>
        </w:rPr>
        <w:t>1、作用</w:t>
      </w:r>
    </w:p>
    <w:p>
      <w:pPr>
        <w:ind w:firstLine="480"/>
        <w:rPr>
          <w:rFonts w:hint="eastAsia" w:eastAsia="宋体"/>
          <w:lang w:eastAsia="zh-CN"/>
        </w:rPr>
      </w:pPr>
      <w:r>
        <w:rPr>
          <w:rFonts w:hint="eastAsia"/>
          <w:lang w:eastAsia="zh-TW"/>
        </w:rPr>
        <w:t>钾在土壤中以KCl、K2SO4等盐类形式存在,在水中解离成K+而被根系吸收。</w:t>
      </w:r>
      <w:r>
        <w:rPr>
          <w:rFonts w:hint="eastAsia"/>
        </w:rPr>
        <w:t>在植物体内钾呈离子状态。钾主要集中在生命活动最旺盛的部位,如生长点,形成层,幼叶等。</w:t>
      </w:r>
    </w:p>
    <w:p>
      <w:pPr>
        <w:ind w:firstLine="480"/>
        <w:rPr>
          <w:rFonts w:hint="eastAsia" w:eastAsia="宋体"/>
          <w:lang w:eastAsia="zh-CN"/>
        </w:rPr>
      </w:pPr>
      <w:r>
        <w:rPr>
          <w:rFonts w:hint="eastAsia"/>
        </w:rPr>
        <w:t>钾在细胞内可作为60多种酶的活化剂,如丙酮酸激酶、果糖激酶、苹果酸脱氢酶、琥珀酸脱氢酶、淀粉合成酶、琥珀酰CoA合成酶、谷胱甘肽合成酶等。因此钾在碳水化合物代谢、呼吸作用及蛋白质代谢中起重要作用。</w:t>
      </w:r>
    </w:p>
    <w:p>
      <w:pPr>
        <w:ind w:firstLine="480"/>
        <w:rPr>
          <w:rFonts w:hint="eastAsia" w:eastAsia="宋体"/>
          <w:lang w:eastAsia="zh-CN"/>
        </w:rPr>
      </w:pPr>
      <w:r>
        <w:rPr>
          <w:rFonts w:hint="eastAsia"/>
        </w:rPr>
        <w:t>钾能促进蛋白质的合成,钾充足时,形成的蛋白质较多,从而使可溶性氮减少。钾与蛋白质在植物体中的分布是一致的,例如在生长点、形成层等蛋白质丰富的部位,钾离子含量也较高。富含蛋白质的豆科植物的籽粒中钾的含量比禾本科植物高。</w:t>
      </w:r>
    </w:p>
    <w:p>
      <w:pPr>
        <w:ind w:firstLine="480"/>
        <w:rPr>
          <w:rFonts w:hint="eastAsia" w:eastAsia="宋体"/>
          <w:lang w:eastAsia="zh-CN"/>
        </w:rPr>
      </w:pPr>
      <w:r>
        <w:rPr>
          <w:rFonts w:hint="eastAsia"/>
        </w:rPr>
        <w:t>钾与糖类的合成有关。大麦和豌豆幼苗缺钾时,淀粉和蔗糖合成缓慢,从而导致单糖大量积累；而钾肥充足时,蔗糖、淀粉、纤维素和木质素含量较高,葡萄糖积累则较少。钾也能促进糖类运输到贮藏器官中，所以在富含糖类的贮藏器官</w:t>
      </w:r>
      <w:r>
        <w:rPr>
          <w:rFonts w:hint="eastAsia"/>
          <w:lang w:eastAsia="zh-CN"/>
        </w:rPr>
        <w:t>（</w:t>
      </w:r>
      <w:r>
        <w:rPr>
          <w:rFonts w:hint="eastAsia"/>
        </w:rPr>
        <w:t>如马铃薯块茎、甜菜根和淀粉种子</w:t>
      </w:r>
      <w:r>
        <w:rPr>
          <w:rFonts w:hint="eastAsia"/>
          <w:lang w:eastAsia="zh-CN"/>
        </w:rPr>
        <w:t>）</w:t>
      </w:r>
      <w:r>
        <w:rPr>
          <w:rFonts w:hint="eastAsia"/>
        </w:rPr>
        <w:t>中钾含量较多。此外，韧皮部汁液中含有较高浓度的K+,约占韧皮部阳离子总量的80%。从而推测K+对韧皮部运输也有作用。</w:t>
      </w:r>
    </w:p>
    <w:p>
      <w:pPr>
        <w:ind w:firstLine="480"/>
      </w:pPr>
      <w:r>
        <w:rPr>
          <w:rFonts w:hint="eastAsia"/>
        </w:rPr>
        <w:t>K+是构成细胞渗透势的重要成分。在根内K+从薄壁细胞转运至导管,从而降低了导管中的水势,使水分能从根系表面转运到木质部中去；K+对气孔开放有直接作用。离子态的钾,有使原生质胶体膨胀的作用,故施钾肥能提高作物的抗旱性。</w:t>
      </w:r>
    </w:p>
    <w:p>
      <w:pPr>
        <w:ind w:firstLine="480"/>
      </w:pPr>
      <w:r>
        <w:rPr>
          <w:rFonts w:hint="eastAsia"/>
        </w:rPr>
        <w:t>钾能提高植物茎杆的坚韧性，提高作物的抗倒伏能力</w:t>
      </w:r>
    </w:p>
    <w:p>
      <w:pPr>
        <w:ind w:firstLine="480"/>
        <w:rPr>
          <w:rFonts w:hint="eastAsia" w:eastAsia="宋体"/>
          <w:lang w:eastAsia="zh-CN"/>
        </w:rPr>
      </w:pPr>
      <w:r>
        <w:rPr>
          <w:rFonts w:hint="eastAsia"/>
        </w:rPr>
        <w:t>钾能促进低分子化合物转化为高分子化合物，减少可溶性养分对病菌的供应，提高抗病能力</w:t>
      </w:r>
    </w:p>
    <w:p>
      <w:pPr>
        <w:ind w:firstLine="480"/>
      </w:pPr>
      <w:r>
        <w:rPr>
          <w:rFonts w:hint="eastAsia"/>
        </w:rPr>
        <w:t>2、影响</w:t>
      </w:r>
    </w:p>
    <w:p>
      <w:pPr>
        <w:ind w:firstLine="480"/>
        <w:rPr>
          <w:rFonts w:hint="eastAsia" w:eastAsia="宋体"/>
          <w:lang w:eastAsia="zh-CN"/>
        </w:rPr>
      </w:pPr>
      <w:r>
        <w:rPr>
          <w:rFonts w:hint="eastAsia"/>
        </w:rPr>
        <w:t>缺钾时,植株茎杆柔弱,易倒伏，抗旱、抗寒性降低，叶片失水,蛋白质、叶绿素破坏,叶色变黄而逐渐坏死。缺钾有时也会出现叶缘焦枯,生长缓慢的现象，由于叶中部生长仍较快,所以整个叶子会形成杯状弯曲,或发生皱缩。钾也是易移动可被重复利用的元素,故缺素病症首先出现在下部老叶。</w:t>
      </w:r>
    </w:p>
    <w:p>
      <w:pPr>
        <w:ind w:firstLine="480"/>
        <w:rPr>
          <w:rFonts w:hint="eastAsia" w:eastAsia="宋体"/>
          <w:lang w:eastAsia="zh-CN"/>
        </w:rPr>
      </w:pPr>
      <w:r>
        <w:rPr>
          <w:rFonts w:hint="eastAsia"/>
        </w:rPr>
        <w:t>N、P、K是植物需要量很大，且土壤易缺乏的元素,故称它们为“肥料三要素”。农业上的施肥主要为了满足植物对三要素的需要。</w:t>
      </w:r>
    </w:p>
    <w:p>
      <w:pPr>
        <w:ind w:firstLine="482"/>
        <w:rPr>
          <w:rFonts w:hint="eastAsia" w:eastAsia="宋体"/>
          <w:b/>
          <w:bCs/>
          <w:lang w:eastAsia="zh-CN"/>
        </w:rPr>
      </w:pPr>
      <w:r>
        <w:rPr>
          <w:rFonts w:hint="eastAsia"/>
          <w:b/>
          <w:bCs/>
        </w:rPr>
        <w:t>（四）钙</w:t>
      </w:r>
    </w:p>
    <w:p>
      <w:pPr>
        <w:ind w:firstLine="480"/>
      </w:pPr>
      <w:r>
        <w:rPr>
          <w:rFonts w:hint="eastAsia"/>
        </w:rPr>
        <w:t>1、作用</w:t>
      </w:r>
    </w:p>
    <w:p>
      <w:pPr>
        <w:ind w:firstLine="480"/>
        <w:rPr>
          <w:rFonts w:hint="eastAsia" w:eastAsia="宋体"/>
          <w:lang w:eastAsia="zh-CN"/>
        </w:rPr>
      </w:pPr>
      <w:r>
        <w:rPr>
          <w:rFonts w:hint="eastAsia"/>
        </w:rPr>
        <w:t>植物从土壤中吸收CaCl2、CaSO4等盐类中的钙离子。钙离子进入植物体后一部分仍以离子状态存在,一部分形成难溶的盐</w:t>
      </w:r>
      <w:r>
        <w:rPr>
          <w:rFonts w:hint="eastAsia"/>
          <w:lang w:eastAsia="zh-CN"/>
        </w:rPr>
        <w:t>（</w:t>
      </w:r>
      <w:r>
        <w:rPr>
          <w:rFonts w:hint="eastAsia"/>
        </w:rPr>
        <w:t>如草酸钙</w:t>
      </w:r>
      <w:r>
        <w:rPr>
          <w:rFonts w:hint="eastAsia"/>
          <w:lang w:eastAsia="zh-CN"/>
        </w:rPr>
        <w:t>）</w:t>
      </w:r>
      <w:r>
        <w:rPr>
          <w:rFonts w:hint="eastAsia"/>
        </w:rPr>
        <w:t>,还有一部分与有机物</w:t>
      </w:r>
      <w:r>
        <w:rPr>
          <w:rFonts w:hint="eastAsia"/>
          <w:lang w:eastAsia="zh-CN"/>
        </w:rPr>
        <w:t>（</w:t>
      </w:r>
      <w:r>
        <w:rPr>
          <w:rFonts w:hint="eastAsia"/>
        </w:rPr>
        <w:t>如植酸、果胶酸、蛋白质</w:t>
      </w:r>
      <w:r>
        <w:rPr>
          <w:rFonts w:hint="eastAsia"/>
          <w:lang w:eastAsia="zh-CN"/>
        </w:rPr>
        <w:t>）</w:t>
      </w:r>
      <w:r>
        <w:rPr>
          <w:rFonts w:hint="eastAsia"/>
        </w:rPr>
        <w:t>相结合。钙在植物体内主要分布在老叶或其它老组织中。</w:t>
      </w:r>
    </w:p>
    <w:p>
      <w:pPr>
        <w:ind w:firstLine="480"/>
        <w:rPr>
          <w:rFonts w:hint="eastAsia" w:eastAsia="宋体"/>
          <w:lang w:eastAsia="zh-CN"/>
        </w:rPr>
      </w:pPr>
      <w:r>
        <w:rPr>
          <w:rFonts w:hint="eastAsia"/>
        </w:rPr>
        <w:t>钙是植物细胞壁胞间层中果胶酸钙的成分,因此,缺钙时,细胞分裂不能进行或不能完成,而形成多核细胞。钙离子能作为磷脂中的磷酸与蛋白质的羧基间联结的桥梁,具有稳定膜结构的作用。</w:t>
      </w:r>
    </w:p>
    <w:p>
      <w:pPr>
        <w:ind w:firstLine="480"/>
      </w:pPr>
      <w:r>
        <w:rPr>
          <w:rFonts w:hint="eastAsia"/>
        </w:rPr>
        <w:t>钙对植物抗病有一定作用。据报道，至少有40多种水果和蔬菜的生理病害是因低钙引起的。苹果果实的疮痂病会使果皮受到伤害,但如果供钙充足,则易形成愈伤组织。钙可与植物体内的草酸形成草酸钙结晶,消除过量草酸对植物</w:t>
      </w:r>
      <w:r>
        <w:rPr>
          <w:rFonts w:hint="eastAsia"/>
          <w:lang w:eastAsia="zh-CN"/>
        </w:rPr>
        <w:t>（</w:t>
      </w:r>
      <w:r>
        <w:rPr>
          <w:rFonts w:hint="eastAsia"/>
        </w:rPr>
        <w:t>特别是一些含酸量高的肉质植物</w:t>
      </w:r>
      <w:r>
        <w:rPr>
          <w:rFonts w:hint="eastAsia"/>
          <w:lang w:eastAsia="zh-CN"/>
        </w:rPr>
        <w:t>）</w:t>
      </w:r>
      <w:r>
        <w:rPr>
          <w:rFonts w:hint="eastAsia"/>
        </w:rPr>
        <w:t>的毒害。</w:t>
      </w:r>
    </w:p>
    <w:p>
      <w:pPr>
        <w:ind w:firstLine="480"/>
        <w:rPr>
          <w:rFonts w:hint="eastAsia" w:eastAsia="宋体"/>
          <w:lang w:eastAsia="zh-CN"/>
        </w:rPr>
      </w:pPr>
      <w:r>
        <w:rPr>
          <w:rFonts w:hint="eastAsia"/>
        </w:rPr>
        <w:t>钙也是一些酶的活化剂,如由ATP水解酶、磷脂水解酶等酶催化的反应都需要钙离子的参与。</w:t>
      </w:r>
    </w:p>
    <w:p>
      <w:pPr>
        <w:ind w:firstLine="480"/>
      </w:pPr>
      <w:r>
        <w:rPr>
          <w:rFonts w:hint="eastAsia"/>
        </w:rPr>
        <w:t>植物细胞质中存在多种与Ca2+有特殊结合能力的钙结合蛋白</w:t>
      </w:r>
      <w:r>
        <w:rPr>
          <w:rFonts w:hint="eastAsia"/>
          <w:lang w:eastAsia="zh-CN"/>
        </w:rPr>
        <w:t>（</w:t>
      </w:r>
      <w:r>
        <w:rPr>
          <w:rFonts w:hint="eastAsia"/>
        </w:rPr>
        <w:t>calciumbindingproteins,CBP</w:t>
      </w:r>
      <w:r>
        <w:rPr>
          <w:rFonts w:hint="eastAsia"/>
          <w:lang w:eastAsia="zh-CN"/>
        </w:rPr>
        <w:t>）</w:t>
      </w:r>
      <w:r>
        <w:rPr>
          <w:rFonts w:hint="eastAsia"/>
        </w:rPr>
        <w:t>,其中在细胞中分布最多的是钙调素</w:t>
      </w:r>
      <w:r>
        <w:rPr>
          <w:rFonts w:hint="eastAsia"/>
          <w:lang w:eastAsia="zh-CN"/>
        </w:rPr>
        <w:t>（</w:t>
      </w:r>
      <w:r>
        <w:rPr>
          <w:rFonts w:hint="eastAsia"/>
        </w:rPr>
        <w:t>Calmodulin,CaM</w:t>
      </w:r>
      <w:r>
        <w:rPr>
          <w:rFonts w:hint="eastAsia"/>
          <w:lang w:eastAsia="zh-CN"/>
        </w:rPr>
        <w:t>）</w:t>
      </w:r>
      <w:r>
        <w:rPr>
          <w:rFonts w:hint="eastAsia"/>
        </w:rPr>
        <w:t>。Ca2+与CaM结合形成Ca2+—CaM复合体,它在植物体内具有信使功能，能把胞外信息转变为胞内信息,用以启动、调整或制止胞内某些生理生化过程。</w:t>
      </w:r>
    </w:p>
    <w:p>
      <w:pPr>
        <w:ind w:firstLine="480"/>
        <w:rPr>
          <w:rFonts w:hint="eastAsia" w:eastAsia="宋体"/>
          <w:lang w:eastAsia="zh-CN"/>
        </w:rPr>
      </w:pPr>
      <w:r>
        <w:rPr>
          <w:rFonts w:hint="eastAsia"/>
        </w:rPr>
        <w:t>钙能影响植物体内硝态氮的吸收和利用</w:t>
      </w:r>
    </w:p>
    <w:p>
      <w:pPr>
        <w:ind w:firstLine="480"/>
      </w:pPr>
      <w:r>
        <w:rPr>
          <w:rFonts w:hint="eastAsia"/>
        </w:rPr>
        <w:t>2、影响</w:t>
      </w:r>
    </w:p>
    <w:p>
      <w:pPr>
        <w:ind w:firstLine="480"/>
        <w:rPr>
          <w:rFonts w:hint="eastAsia" w:eastAsia="宋体"/>
          <w:lang w:eastAsia="zh-CN"/>
        </w:rPr>
      </w:pPr>
      <w:r>
        <w:rPr>
          <w:rFonts w:hint="eastAsia"/>
        </w:rPr>
        <w:t>缺钙初期顶芽、幼叶呈淡绿色,继而叶尖出现典型的钩状,随后坏死。钙是难移动，不易被重复利用的元素,故缺素症状首先表现在上部幼茎幼叶上，如大白菜缺钙时心叶呈褐色。</w:t>
      </w:r>
    </w:p>
    <w:p>
      <w:pPr>
        <w:ind w:firstLine="482"/>
        <w:rPr>
          <w:rFonts w:hint="eastAsia" w:eastAsia="宋体"/>
          <w:b/>
          <w:bCs/>
          <w:lang w:eastAsia="zh-CN"/>
        </w:rPr>
      </w:pPr>
      <w:r>
        <w:rPr>
          <w:rFonts w:hint="eastAsia"/>
          <w:b/>
          <w:bCs/>
          <w:lang w:eastAsia="zh-CN"/>
        </w:rPr>
        <w:t>（</w:t>
      </w:r>
      <w:r>
        <w:rPr>
          <w:rFonts w:hint="eastAsia"/>
          <w:b/>
          <w:bCs/>
        </w:rPr>
        <w:t>五</w:t>
      </w:r>
      <w:r>
        <w:rPr>
          <w:rFonts w:hint="eastAsia"/>
          <w:b/>
          <w:bCs/>
          <w:lang w:eastAsia="zh-CN"/>
        </w:rPr>
        <w:t>）</w:t>
      </w:r>
      <w:r>
        <w:rPr>
          <w:rFonts w:hint="eastAsia"/>
          <w:b/>
          <w:bCs/>
        </w:rPr>
        <w:t>镁</w:t>
      </w:r>
    </w:p>
    <w:p>
      <w:pPr>
        <w:pStyle w:val="52"/>
      </w:pPr>
    </w:p>
    <w:p>
      <w:pPr>
        <w:ind w:firstLine="480"/>
      </w:pPr>
      <w:r>
        <w:rPr>
          <w:rFonts w:hint="eastAsia"/>
        </w:rPr>
        <w:t>1、作用</w:t>
      </w:r>
    </w:p>
    <w:p>
      <w:pPr>
        <w:ind w:firstLine="480"/>
        <w:rPr>
          <w:rFonts w:hint="eastAsia" w:eastAsia="宋体"/>
          <w:lang w:eastAsia="zh-CN"/>
        </w:rPr>
      </w:pPr>
      <w:r>
        <w:rPr>
          <w:rFonts w:hint="eastAsia"/>
        </w:rPr>
        <w:t>镁以离子状态进入植物体,它在体内一部分形成有机化合物,一部分仍以离子状态存在。</w:t>
      </w:r>
    </w:p>
    <w:p>
      <w:pPr>
        <w:ind w:firstLine="480"/>
      </w:pPr>
      <w:r>
        <w:rPr>
          <w:rFonts w:hint="eastAsia"/>
        </w:rPr>
        <w:t>镁是叶绿素的成分,又是RuBP羧化酶、5-磷酸核酮糖激酶等酶的活化剂,对光合作用有重要作用镁又是葡萄糖激酶、果糖激酶、丙酮酸激酶、乙酰CoA合成酶、异柠檬酸脱氢酶、α酮戊二酸脱氢酶、苹果酸合成酶、谷氨酰半胱氨酸合成酶、琥珀酰辅酶A合成酶等酶的活化剂,因而镁与碳水化合物的转化和降解以及氮代谢有关。</w:t>
      </w:r>
    </w:p>
    <w:p>
      <w:pPr>
        <w:ind w:firstLine="480"/>
      </w:pPr>
      <w:r>
        <w:rPr>
          <w:rFonts w:hint="eastAsia"/>
        </w:rPr>
        <w:t>镁还是核糖核酸聚合酶的活化剂,DNA和RNA的合成以及蛋白质合成中氨基酸的活化过程都需镁的参加。具有合成蛋白质能力的核糖体是由许多亚单位组成的,而镁能使这些亚单位结合形成稳定的结构。如果镁的浓度过低或用EDTA</w:t>
      </w:r>
      <w:r>
        <w:rPr>
          <w:rFonts w:hint="eastAsia"/>
          <w:lang w:eastAsia="zh-CN"/>
        </w:rPr>
        <w:t>（</w:t>
      </w:r>
      <w:r>
        <w:rPr>
          <w:rFonts w:hint="eastAsia"/>
        </w:rPr>
        <w:t>乙二胺四乙酸</w:t>
      </w:r>
      <w:r>
        <w:rPr>
          <w:rFonts w:hint="eastAsia"/>
          <w:lang w:eastAsia="zh-CN"/>
        </w:rPr>
        <w:t>）</w:t>
      </w:r>
      <w:r>
        <w:rPr>
          <w:rFonts w:hint="eastAsia"/>
        </w:rPr>
        <w:t>除去镁,则核糖体解体,破裂为许多亚单位,蛋白质的合成能力丧失。因此镁在核酸和蛋白质代谢中也起着重要作用。</w:t>
      </w:r>
    </w:p>
    <w:p>
      <w:pPr>
        <w:ind w:firstLine="480"/>
      </w:pPr>
      <w:r>
        <w:rPr>
          <w:rFonts w:hint="eastAsia"/>
        </w:rPr>
        <w:t>镁参与脂肪代谢</w:t>
      </w:r>
      <w:r>
        <w:rPr>
          <w:rFonts w:hint="eastAsia"/>
          <w:lang w:eastAsia="zh-CN"/>
        </w:rPr>
        <w:t>（</w:t>
      </w:r>
      <w:r>
        <w:rPr>
          <w:rFonts w:hint="eastAsia"/>
        </w:rPr>
        <w:t>豆科</w:t>
      </w:r>
      <w:r>
        <w:rPr>
          <w:rFonts w:hint="eastAsia"/>
          <w:lang w:eastAsia="zh-CN"/>
        </w:rPr>
        <w:t>）</w:t>
      </w:r>
      <w:r>
        <w:rPr>
          <w:rFonts w:hint="eastAsia"/>
        </w:rPr>
        <w:t>，还可促进维生素A和维生素C的合成</w:t>
      </w:r>
    </w:p>
    <w:p>
      <w:pPr>
        <w:ind w:firstLine="480"/>
      </w:pPr>
      <w:r>
        <w:rPr>
          <w:rFonts w:hint="eastAsia"/>
        </w:rPr>
        <w:t>2、影响</w:t>
      </w:r>
    </w:p>
    <w:p>
      <w:pPr>
        <w:ind w:firstLine="480"/>
        <w:rPr>
          <w:rFonts w:hint="eastAsia" w:eastAsia="宋体"/>
          <w:lang w:eastAsia="zh-CN"/>
        </w:rPr>
      </w:pPr>
      <w:r>
        <w:rPr>
          <w:rFonts w:hint="eastAsia"/>
        </w:rPr>
        <w:t>缺镁最明显的病症是叶片贫绿,其特点是首先从下部叶片开始,往往是叶肉变黄而叶脉仍保持绿色,这是与缺氮病症的主要区别。严重缺镁时可引起叶片的早衰与脱落。</w:t>
      </w:r>
    </w:p>
    <w:p>
      <w:pPr>
        <w:ind w:firstLine="482"/>
        <w:rPr>
          <w:rFonts w:hint="eastAsia" w:eastAsia="宋体"/>
          <w:b/>
          <w:bCs/>
          <w:lang w:eastAsia="zh-CN"/>
        </w:rPr>
      </w:pPr>
      <w:r>
        <w:rPr>
          <w:rFonts w:hint="eastAsia"/>
          <w:b/>
          <w:bCs/>
          <w:lang w:eastAsia="zh-CN"/>
        </w:rPr>
        <w:t>（</w:t>
      </w:r>
      <w:r>
        <w:rPr>
          <w:rFonts w:hint="eastAsia"/>
          <w:b/>
          <w:bCs/>
        </w:rPr>
        <w:t>六</w:t>
      </w:r>
      <w:r>
        <w:rPr>
          <w:rFonts w:hint="eastAsia"/>
          <w:b/>
          <w:bCs/>
          <w:lang w:eastAsia="zh-CN"/>
        </w:rPr>
        <w:t>）</w:t>
      </w:r>
      <w:r>
        <w:rPr>
          <w:rFonts w:hint="eastAsia"/>
          <w:b/>
          <w:bCs/>
        </w:rPr>
        <w:t>硫</w:t>
      </w:r>
    </w:p>
    <w:p>
      <w:pPr>
        <w:ind w:firstLine="480"/>
        <w:rPr>
          <w:lang w:eastAsia="zh-TW"/>
        </w:rPr>
      </w:pPr>
      <w:r>
        <w:rPr>
          <w:rFonts w:hint="eastAsia"/>
          <w:lang w:eastAsia="zh-TW"/>
        </w:rPr>
        <w:t>1、作用</w:t>
      </w:r>
    </w:p>
    <w:p>
      <w:pPr>
        <w:ind w:firstLine="480"/>
        <w:rPr>
          <w:lang w:eastAsia="zh-TW"/>
        </w:rPr>
      </w:pPr>
      <w:r>
        <w:rPr>
          <w:rFonts w:hint="eastAsia"/>
          <w:lang w:eastAsia="zh-TW"/>
        </w:rPr>
        <w:t>硫主要以SO4</w:t>
      </w:r>
      <w:r>
        <w:rPr>
          <w:rFonts w:hint="eastAsia"/>
          <w:vertAlign w:val="superscript"/>
          <w:lang w:eastAsia="zh-TW"/>
        </w:rPr>
        <w:t>2-</w:t>
      </w:r>
      <w:r>
        <w:rPr>
          <w:rFonts w:hint="eastAsia"/>
          <w:lang w:eastAsia="zh-TW"/>
        </w:rPr>
        <w:t>形式被植物吸收。</w:t>
      </w:r>
    </w:p>
    <w:p>
      <w:pPr>
        <w:ind w:firstLine="480"/>
      </w:pPr>
      <w:r>
        <w:rPr>
          <w:rFonts w:hint="eastAsia"/>
        </w:rPr>
        <w:t>SO4</w:t>
      </w:r>
      <w:r>
        <w:rPr>
          <w:rFonts w:hint="eastAsia"/>
          <w:vertAlign w:val="superscript"/>
        </w:rPr>
        <w:t>2-</w:t>
      </w:r>
      <w:r>
        <w:rPr>
          <w:rFonts w:hint="eastAsia"/>
        </w:rPr>
        <w:t>进入植物体后,一部分仍保持不变,而大部分则被还原成S,进而同化为含硫氨基酸,如胱氨酸,半胱氨酸和蛋氨酸。这些氨基酸是蛋白质的组成成分，所以硫也是原生质的构成元素。</w:t>
      </w:r>
    </w:p>
    <w:p>
      <w:pPr>
        <w:ind w:firstLine="480"/>
      </w:pPr>
      <w:r>
        <w:rPr>
          <w:rFonts w:hint="eastAsia"/>
        </w:rPr>
        <w:t>辅酶A和硫胺素、生物素等维生素也含有硫,且辅酶A中的硫氢基</w:t>
      </w:r>
      <w:r>
        <w:rPr>
          <w:rFonts w:hint="eastAsia"/>
          <w:lang w:eastAsia="zh-CN"/>
        </w:rPr>
        <w:t>（</w:t>
      </w:r>
      <w:r>
        <w:rPr>
          <w:rFonts w:hint="eastAsia"/>
        </w:rPr>
        <w:t>-SH</w:t>
      </w:r>
      <w:r>
        <w:rPr>
          <w:rFonts w:hint="eastAsia"/>
          <w:lang w:eastAsia="zh-CN"/>
        </w:rPr>
        <w:t>）</w:t>
      </w:r>
      <w:r>
        <w:rPr>
          <w:rFonts w:hint="eastAsia"/>
        </w:rPr>
        <w:t>具有固定能量的作用。</w:t>
      </w:r>
    </w:p>
    <w:p>
      <w:pPr>
        <w:ind w:firstLine="480"/>
      </w:pPr>
      <w:r>
        <w:rPr>
          <w:rFonts w:hint="eastAsia"/>
        </w:rPr>
        <w:t>硫还是硫氧还蛋白、铁硫蛋白与固氮酶的组分，因而硫在光合、固氮等反应中起重要作用。</w:t>
      </w:r>
    </w:p>
    <w:p>
      <w:pPr>
        <w:ind w:firstLine="480"/>
        <w:rPr>
          <w:rFonts w:hint="eastAsia" w:eastAsia="宋体"/>
          <w:lang w:eastAsia="zh-CN"/>
        </w:rPr>
      </w:pPr>
      <w:r>
        <w:rPr>
          <w:rFonts w:hint="eastAsia"/>
        </w:rPr>
        <w:t>蛋白质中含硫氨基酸间的-SH基与-S-S-可互相转变,这不仅可调节植物体内的氧化还原反应，而且还具有稳定蛋白质空间结构的作用。由此可见,硫的生理作用是很广泛的。</w:t>
      </w:r>
    </w:p>
    <w:p>
      <w:pPr>
        <w:ind w:firstLine="480"/>
      </w:pPr>
      <w:r>
        <w:rPr>
          <w:rFonts w:hint="eastAsia"/>
        </w:rPr>
        <w:t>2、影响</w:t>
      </w:r>
    </w:p>
    <w:p>
      <w:pPr>
        <w:ind w:firstLine="480"/>
        <w:rPr>
          <w:rFonts w:hint="eastAsia" w:eastAsia="宋体"/>
          <w:lang w:eastAsia="zh-CN"/>
        </w:rPr>
      </w:pPr>
      <w:r>
        <w:rPr>
          <w:rFonts w:hint="eastAsia"/>
        </w:rPr>
        <w:t>硫不易移动,缺乏时一般在幼叶表现缺绿症状,且新叶均衡失绿，呈黄白色并易脱落。缺硫情况在农业上很少遇到,因为土壤中有足够的硫满足植物需要。</w:t>
      </w:r>
    </w:p>
    <w:p>
      <w:pPr>
        <w:ind w:firstLine="482"/>
        <w:rPr>
          <w:rFonts w:hint="eastAsia" w:eastAsia="宋体"/>
          <w:b/>
          <w:bCs/>
          <w:lang w:eastAsia="zh-CN"/>
        </w:rPr>
      </w:pPr>
      <w:r>
        <w:rPr>
          <w:rFonts w:hint="eastAsia"/>
          <w:b/>
          <w:bCs/>
          <w:lang w:eastAsia="zh-CN"/>
        </w:rPr>
        <w:t>（</w:t>
      </w:r>
      <w:r>
        <w:rPr>
          <w:rFonts w:hint="eastAsia"/>
          <w:b/>
          <w:bCs/>
        </w:rPr>
        <w:t>七</w:t>
      </w:r>
      <w:r>
        <w:rPr>
          <w:rFonts w:hint="eastAsia"/>
          <w:b/>
          <w:bCs/>
          <w:lang w:eastAsia="zh-CN"/>
        </w:rPr>
        <w:t>）</w:t>
      </w:r>
      <w:r>
        <w:rPr>
          <w:rFonts w:hint="eastAsia"/>
          <w:b/>
          <w:bCs/>
        </w:rPr>
        <w:t>铁</w:t>
      </w:r>
    </w:p>
    <w:p>
      <w:pPr>
        <w:pStyle w:val="52"/>
      </w:pPr>
    </w:p>
    <w:p>
      <w:pPr>
        <w:ind w:firstLine="480"/>
      </w:pPr>
      <w:r>
        <w:rPr>
          <w:rFonts w:hint="eastAsia"/>
        </w:rPr>
        <w:t>1、作用</w:t>
      </w:r>
    </w:p>
    <w:p>
      <w:pPr>
        <w:ind w:firstLine="480"/>
      </w:pPr>
      <w:r>
        <w:rPr>
          <w:rFonts w:hint="eastAsia"/>
        </w:rPr>
        <w:t>铁主要以Fe2+的螯合物被吸收。铁进入植物体内就处于被固定状态而不易移动。</w:t>
      </w:r>
    </w:p>
    <w:p>
      <w:pPr>
        <w:ind w:firstLine="480"/>
      </w:pPr>
      <w:r>
        <w:rPr>
          <w:rFonts w:hint="eastAsia"/>
        </w:rPr>
        <w:t>铁是许多酶的辅基,如细胞色素、细胞色素氧化酶、过氧化物酶和过氧化氢酶等。在这些酶中铁可以发生Fe3++e-=Fe2+的变化,它在呼吸电子传递中起重要作用。</w:t>
      </w:r>
    </w:p>
    <w:p>
      <w:pPr>
        <w:ind w:firstLine="480"/>
        <w:rPr>
          <w:rFonts w:hint="eastAsia" w:eastAsia="宋体"/>
          <w:lang w:eastAsia="zh-CN"/>
        </w:rPr>
      </w:pPr>
      <w:r>
        <w:rPr>
          <w:rFonts w:hint="eastAsia"/>
        </w:rPr>
        <w:t>细胞色素也是光合电子传递链中的成员</w:t>
      </w:r>
      <w:r>
        <w:rPr>
          <w:rFonts w:hint="eastAsia"/>
          <w:lang w:eastAsia="zh-CN"/>
        </w:rPr>
        <w:t>（</w:t>
      </w:r>
      <w:r>
        <w:rPr>
          <w:rFonts w:hint="eastAsia"/>
        </w:rPr>
        <w:t>Cytf和Cytb559、Cytb563</w:t>
      </w:r>
      <w:r>
        <w:rPr>
          <w:rFonts w:hint="eastAsia"/>
          <w:lang w:eastAsia="zh-CN"/>
        </w:rPr>
        <w:t>）</w:t>
      </w:r>
      <w:r>
        <w:rPr>
          <w:rFonts w:hint="eastAsia"/>
        </w:rPr>
        <w:t>，光合链中的铁硫蛋白和铁氧还蛋白都是含铁蛋白，它们都参与了光合作用中的电子传递。</w:t>
      </w:r>
    </w:p>
    <w:p>
      <w:pPr>
        <w:ind w:firstLine="480"/>
        <w:rPr>
          <w:rFonts w:hint="eastAsia" w:eastAsia="宋体"/>
          <w:lang w:eastAsia="zh-CN"/>
        </w:rPr>
      </w:pPr>
      <w:r>
        <w:rPr>
          <w:rFonts w:hint="eastAsia"/>
        </w:rPr>
        <w:t>铁是合成叶绿素所必需的,其具体机制虽不清楚,但催化叶绿素合成的酶中有两三个酶的活性表达需要Fe2+。近年来发现,铁对叶绿体构造的影响比对叶绿素合成的影响更大,如眼藻虫</w:t>
      </w:r>
      <w:r>
        <w:rPr>
          <w:rFonts w:hint="eastAsia"/>
          <w:lang w:eastAsia="zh-CN"/>
        </w:rPr>
        <w:t>（</w:t>
      </w:r>
      <w:r>
        <w:rPr>
          <w:rFonts w:hint="eastAsia"/>
        </w:rPr>
        <w:t>Euglena</w:t>
      </w:r>
      <w:r>
        <w:rPr>
          <w:rFonts w:hint="eastAsia"/>
          <w:lang w:eastAsia="zh-CN"/>
        </w:rPr>
        <w:t>）</w:t>
      </w:r>
      <w:r>
        <w:rPr>
          <w:rFonts w:hint="eastAsia"/>
        </w:rPr>
        <w:t>缺铁时,在叶绿素分解的同时叶绿体也解体。</w:t>
      </w:r>
    </w:p>
    <w:p>
      <w:pPr>
        <w:ind w:firstLine="480"/>
        <w:rPr>
          <w:rFonts w:hint="eastAsia" w:eastAsia="宋体"/>
          <w:lang w:eastAsia="zh-CN"/>
        </w:rPr>
      </w:pPr>
      <w:r>
        <w:rPr>
          <w:rFonts w:hint="eastAsia"/>
        </w:rPr>
        <w:t>豆科植物根瘤菌中的血红蛋白也含铁蛋白,因而它还与固氮有关。</w:t>
      </w:r>
    </w:p>
    <w:p>
      <w:pPr>
        <w:ind w:firstLine="480"/>
      </w:pPr>
      <w:r>
        <w:rPr>
          <w:rFonts w:hint="eastAsia"/>
        </w:rPr>
        <w:t>2、影响</w:t>
      </w:r>
    </w:p>
    <w:p>
      <w:pPr>
        <w:ind w:firstLine="480"/>
        <w:rPr>
          <w:rFonts w:hint="eastAsia" w:eastAsia="宋体"/>
          <w:lang w:eastAsia="zh-CN"/>
        </w:rPr>
      </w:pPr>
      <w:r>
        <w:rPr>
          <w:rFonts w:hint="eastAsia"/>
        </w:rPr>
        <w:t>铁是不易重复利用的元素，因而缺铁最明显的症状是幼芽幼叶缺绿发黄，甚至变为黄白色，而下部叶片仍为绿色。土壤中含铁较多，一般情况下植物不缺铁。但在碱性土或石灰质土壤中，铁易形成不溶性的化合物而使植物缺铁。</w:t>
      </w:r>
    </w:p>
    <w:p>
      <w:pPr>
        <w:ind w:firstLine="482"/>
        <w:rPr>
          <w:rFonts w:hint="eastAsia" w:eastAsia="宋体"/>
          <w:b/>
          <w:bCs/>
          <w:lang w:eastAsia="zh-CN"/>
        </w:rPr>
      </w:pPr>
      <w:r>
        <w:rPr>
          <w:rFonts w:hint="eastAsia"/>
          <w:b/>
          <w:bCs/>
          <w:lang w:eastAsia="zh-CN"/>
        </w:rPr>
        <w:t>（</w:t>
      </w:r>
      <w:r>
        <w:rPr>
          <w:rFonts w:hint="eastAsia"/>
          <w:b/>
          <w:bCs/>
        </w:rPr>
        <w:t>八</w:t>
      </w:r>
      <w:r>
        <w:rPr>
          <w:rFonts w:hint="eastAsia"/>
          <w:b/>
          <w:bCs/>
          <w:lang w:eastAsia="zh-CN"/>
        </w:rPr>
        <w:t>）</w:t>
      </w:r>
      <w:r>
        <w:rPr>
          <w:rFonts w:hint="eastAsia"/>
          <w:b/>
          <w:bCs/>
        </w:rPr>
        <w:t>铜</w:t>
      </w:r>
    </w:p>
    <w:p>
      <w:pPr>
        <w:ind w:firstLine="480"/>
      </w:pPr>
      <w:r>
        <w:rPr>
          <w:rFonts w:hint="eastAsia"/>
        </w:rPr>
        <w:t>1、作用</w:t>
      </w:r>
    </w:p>
    <w:p>
      <w:pPr>
        <w:ind w:firstLine="480"/>
        <w:rPr>
          <w:rFonts w:hint="eastAsia" w:eastAsia="宋体"/>
          <w:lang w:eastAsia="zh-CN"/>
        </w:rPr>
      </w:pPr>
      <w:r>
        <w:rPr>
          <w:rFonts w:hint="eastAsia"/>
        </w:rPr>
        <w:t>在通气良好的土壤中,铜多以Cu2+的形式被吸收,而在潮湿缺氧的土壤中，则多以Cu+的形式被吸收。Cu2+以与土壤中的几种化合物形成螯合物的形式接近根系表面。</w:t>
      </w:r>
    </w:p>
    <w:p>
      <w:pPr>
        <w:ind w:firstLine="480"/>
      </w:pPr>
      <w:r>
        <w:rPr>
          <w:rFonts w:hint="eastAsia"/>
        </w:rPr>
        <w:t>铜为多酚氧化酶、抗坏血酸氧化酶、漆酶的成分,在呼吸的氧化还原中起重要作用。</w:t>
      </w:r>
    </w:p>
    <w:p>
      <w:pPr>
        <w:ind w:firstLine="480"/>
      </w:pPr>
      <w:r>
        <w:rPr>
          <w:rFonts w:hint="eastAsia"/>
        </w:rPr>
        <w:t>铜也是质蓝素的成分,它参与光合电子传递,故对光合有重要作用。</w:t>
      </w:r>
    </w:p>
    <w:p>
      <w:pPr>
        <w:ind w:firstLine="480"/>
      </w:pPr>
      <w:r>
        <w:rPr>
          <w:rFonts w:hint="eastAsia"/>
        </w:rPr>
        <w:t>铜还有提高马铃薯抗晚疫病的能力,所以喷硫酸铜对防治该病有良好效果。</w:t>
      </w:r>
    </w:p>
    <w:p>
      <w:pPr>
        <w:ind w:firstLine="480"/>
      </w:pPr>
      <w:r>
        <w:rPr>
          <w:rFonts w:hint="eastAsia"/>
        </w:rPr>
        <w:t>2、影响</w:t>
      </w:r>
    </w:p>
    <w:p>
      <w:pPr>
        <w:ind w:firstLine="480"/>
        <w:rPr>
          <w:rFonts w:hint="eastAsia" w:eastAsia="宋体"/>
          <w:lang w:eastAsia="zh-CN"/>
        </w:rPr>
      </w:pPr>
      <w:r>
        <w:rPr>
          <w:rFonts w:hint="eastAsia"/>
        </w:rPr>
        <w:t>植物缺铜时,叶片生长缓慢,呈现蓝绿色,幼叶缺绿,随之出现枯斑,最后死亡脱落。另外，缺铜会导致叶片栅栏组织退化,气孔下面形成空腔,使植株即使在水分供应充足时也会因蒸腾过度而发生萎蔫。</w:t>
      </w:r>
    </w:p>
    <w:p>
      <w:pPr>
        <w:ind w:firstLine="482"/>
        <w:rPr>
          <w:rFonts w:hint="eastAsia" w:eastAsia="宋体"/>
          <w:b/>
          <w:bCs/>
          <w:lang w:eastAsia="zh-CN"/>
        </w:rPr>
      </w:pPr>
      <w:r>
        <w:rPr>
          <w:rFonts w:hint="eastAsia"/>
          <w:b/>
          <w:bCs/>
          <w:lang w:eastAsia="zh-CN"/>
        </w:rPr>
        <w:t>（</w:t>
      </w:r>
      <w:r>
        <w:rPr>
          <w:rFonts w:hint="eastAsia"/>
          <w:b/>
          <w:bCs/>
        </w:rPr>
        <w:t>九</w:t>
      </w:r>
      <w:r>
        <w:rPr>
          <w:rFonts w:hint="eastAsia"/>
          <w:b/>
          <w:bCs/>
          <w:lang w:eastAsia="zh-CN"/>
        </w:rPr>
        <w:t>）</w:t>
      </w:r>
      <w:r>
        <w:rPr>
          <w:rFonts w:hint="eastAsia"/>
          <w:b/>
          <w:bCs/>
        </w:rPr>
        <w:t>硼</w:t>
      </w:r>
    </w:p>
    <w:p>
      <w:pPr>
        <w:ind w:firstLine="480"/>
      </w:pPr>
      <w:r>
        <w:rPr>
          <w:rFonts w:hint="eastAsia"/>
        </w:rPr>
        <w:t>1、作用</w:t>
      </w:r>
    </w:p>
    <w:p>
      <w:pPr>
        <w:ind w:firstLine="480"/>
        <w:rPr>
          <w:rFonts w:hint="eastAsia" w:eastAsia="宋体"/>
          <w:lang w:eastAsia="zh-CN"/>
        </w:rPr>
      </w:pPr>
      <w:r>
        <w:rPr>
          <w:rFonts w:hint="eastAsia"/>
        </w:rPr>
        <w:t>硼以硼酸</w:t>
      </w:r>
      <w:r>
        <w:rPr>
          <w:rFonts w:hint="eastAsia"/>
          <w:lang w:eastAsia="zh-CN"/>
        </w:rPr>
        <w:t>（</w:t>
      </w:r>
      <w:r>
        <w:rPr>
          <w:rFonts w:hint="eastAsia"/>
        </w:rPr>
        <w:t>H3BO3</w:t>
      </w:r>
      <w:r>
        <w:rPr>
          <w:rFonts w:hint="eastAsia"/>
          <w:lang w:eastAsia="zh-CN"/>
        </w:rPr>
        <w:t>）</w:t>
      </w:r>
      <w:r>
        <w:rPr>
          <w:rFonts w:hint="eastAsia"/>
        </w:rPr>
        <w:t>的形式被植物吸收。高等植物体内硼的含量较少,植株各器官间硼的含量以花最高,花中又以柱头和子房为高。硼与花粉形成、花粉管萌发和受精有密切关系。缺硼时花药花丝萎缩,花粉母细胞不能向四分体分化。</w:t>
      </w:r>
    </w:p>
    <w:p>
      <w:pPr>
        <w:ind w:firstLine="480"/>
      </w:pPr>
      <w:r>
        <w:rPr>
          <w:rFonts w:hint="eastAsia"/>
        </w:rPr>
        <w:t>硼能参与糖的运转与代谢。硼能提高尿苷二磷酸葡萄糖焦磷酸化酶的活性,故能促进蔗糖的合成。尿苷二磷酸葡萄糖</w:t>
      </w:r>
      <w:r>
        <w:rPr>
          <w:rFonts w:hint="eastAsia"/>
          <w:lang w:eastAsia="zh-CN"/>
        </w:rPr>
        <w:t>（</w:t>
      </w:r>
      <w:r>
        <w:rPr>
          <w:rFonts w:hint="eastAsia"/>
        </w:rPr>
        <w:t>UDPG</w:t>
      </w:r>
      <w:r>
        <w:rPr>
          <w:rFonts w:hint="eastAsia"/>
          <w:lang w:eastAsia="zh-CN"/>
        </w:rPr>
        <w:t>）</w:t>
      </w:r>
      <w:r>
        <w:rPr>
          <w:rFonts w:hint="eastAsia"/>
        </w:rPr>
        <w:t>不仅可参与蔗糖的生物合成,而且在合成果胶等多种糖类物质中也起重要作用。</w:t>
      </w:r>
    </w:p>
    <w:p>
      <w:pPr>
        <w:ind w:firstLine="480"/>
      </w:pPr>
      <w:r>
        <w:rPr>
          <w:rFonts w:hint="eastAsia"/>
        </w:rPr>
        <w:t>硼还能促进植物根系发育,特别对豆科植物根瘤的形成影响较大,因为硼能影响碳水化合物的运输,从而影响根对根瘤菌碳水化合物的供应。因此,缺硼可阻碍根瘤形成,降低豆科植物的固氮能力。</w:t>
      </w:r>
    </w:p>
    <w:p>
      <w:pPr>
        <w:ind w:firstLine="480"/>
        <w:rPr>
          <w:rFonts w:hint="eastAsia" w:eastAsia="宋体"/>
          <w:lang w:eastAsia="zh-CN"/>
        </w:rPr>
      </w:pPr>
      <w:r>
        <w:rPr>
          <w:rFonts w:hint="eastAsia"/>
        </w:rPr>
        <w:t>试验发现,缺硼时氨基酸很少参入到蛋白质中去,这说明缺硼对蛋白质合成也有一定影响。</w:t>
      </w:r>
    </w:p>
    <w:p>
      <w:pPr>
        <w:ind w:firstLine="480"/>
        <w:rPr>
          <w:rFonts w:hint="eastAsia" w:eastAsia="宋体"/>
          <w:lang w:eastAsia="zh-CN"/>
        </w:rPr>
      </w:pPr>
      <w:r>
        <w:rPr>
          <w:rFonts w:hint="eastAsia"/>
        </w:rPr>
        <w:t>不同植物对硼的需要量不同,油菜、花椰菜、萝卜、苹果、葡萄等需硼较多,需注意充分供给;棉花、甘薯、花生、桃、梨等需量中等,要防止缺硼;水稻、大麦、小麦、玉米、大豆、柑橘等需硼较少,若发现这些作物出现缺硼症状,说明土壤缺硼已相当严重,应及时补给。</w:t>
      </w:r>
    </w:p>
    <w:p>
      <w:pPr>
        <w:ind w:firstLine="480"/>
      </w:pPr>
      <w:r>
        <w:rPr>
          <w:rFonts w:hint="eastAsia"/>
        </w:rPr>
        <w:t>2、影响</w:t>
      </w:r>
    </w:p>
    <w:p>
      <w:pPr>
        <w:ind w:firstLine="480"/>
        <w:rPr>
          <w:rFonts w:hint="eastAsia" w:eastAsia="宋体"/>
          <w:lang w:eastAsia="zh-CN"/>
        </w:rPr>
      </w:pPr>
      <w:r>
        <w:rPr>
          <w:rFonts w:hint="eastAsia"/>
        </w:rPr>
        <w:t>缺硼时,授精不良,籽粒减少。小麦出现的“花而不实”和棉花上出现的“蕾而不花”等现象也都是因为缺硼的缘故。缺硼时根尖、茎尖的生长点停止生长,侧根侧芽大量发生,其后侧根侧芽的生长点又死亡,而形成簇生状。甜菜的干腐病、花椰菜的褐腐病、马铃薯的卷叶病和苹果的缩果病等都是缺硼所致。</w:t>
      </w:r>
    </w:p>
    <w:p>
      <w:pPr>
        <w:ind w:firstLine="482"/>
        <w:rPr>
          <w:rFonts w:hint="eastAsia" w:eastAsia="宋体"/>
          <w:b/>
          <w:bCs/>
          <w:lang w:eastAsia="zh-CN"/>
        </w:rPr>
      </w:pPr>
      <w:r>
        <w:rPr>
          <w:rFonts w:hint="eastAsia"/>
          <w:b/>
          <w:bCs/>
          <w:lang w:eastAsia="zh-CN"/>
        </w:rPr>
        <w:t>（</w:t>
      </w:r>
      <w:r>
        <w:rPr>
          <w:rFonts w:hint="eastAsia"/>
          <w:b/>
          <w:bCs/>
        </w:rPr>
        <w:t>十</w:t>
      </w:r>
      <w:r>
        <w:rPr>
          <w:rFonts w:hint="eastAsia"/>
          <w:b/>
          <w:bCs/>
          <w:lang w:eastAsia="zh-CN"/>
        </w:rPr>
        <w:t>）</w:t>
      </w:r>
      <w:r>
        <w:rPr>
          <w:rFonts w:hint="eastAsia"/>
          <w:b/>
          <w:bCs/>
        </w:rPr>
        <w:t>锌</w:t>
      </w:r>
    </w:p>
    <w:p>
      <w:pPr>
        <w:ind w:firstLine="480"/>
      </w:pPr>
      <w:r>
        <w:rPr>
          <w:rFonts w:hint="eastAsia"/>
        </w:rPr>
        <w:t>1、作用</w:t>
      </w:r>
    </w:p>
    <w:p>
      <w:pPr>
        <w:ind w:firstLine="480"/>
      </w:pPr>
      <w:r>
        <w:rPr>
          <w:rFonts w:hint="eastAsia"/>
        </w:rPr>
        <w:t>锌以Zn2+形式被植物吸收。</w:t>
      </w:r>
    </w:p>
    <w:p>
      <w:pPr>
        <w:ind w:firstLine="480"/>
      </w:pPr>
      <w:r>
        <w:rPr>
          <w:rFonts w:hint="eastAsia"/>
        </w:rPr>
        <w:t>锌是合成生长素前体—色氨酸的必需元素</w:t>
      </w:r>
    </w:p>
    <w:p>
      <w:pPr>
        <w:ind w:firstLine="480"/>
      </w:pPr>
      <w:r>
        <w:rPr>
          <w:rFonts w:hint="eastAsia"/>
        </w:rPr>
        <w:t>锌是碳酸酐酶</w:t>
      </w:r>
      <w:r>
        <w:rPr>
          <w:rFonts w:hint="eastAsia"/>
          <w:lang w:eastAsia="zh-CN"/>
        </w:rPr>
        <w:t>（</w:t>
      </w:r>
      <w:r>
        <w:rPr>
          <w:rFonts w:hint="eastAsia"/>
        </w:rPr>
        <w:t>carbonicanhydrase,CA</w:t>
      </w:r>
      <w:r>
        <w:rPr>
          <w:rFonts w:hint="eastAsia"/>
          <w:lang w:eastAsia="zh-CN"/>
        </w:rPr>
        <w:t>）</w:t>
      </w:r>
      <w:r>
        <w:rPr>
          <w:rFonts w:hint="eastAsia"/>
        </w:rPr>
        <w:t>的成分,此酶催化CO2+H2O=H2CO3的反应。由于植物吸收和排除CO2通常都先溶于水,故缺锌时呼吸和光合均会受到影响。</w:t>
      </w:r>
    </w:p>
    <w:p>
      <w:pPr>
        <w:ind w:firstLine="480"/>
      </w:pPr>
      <w:r>
        <w:rPr>
          <w:rFonts w:hint="eastAsia"/>
        </w:rPr>
        <w:t>锌也是谷氨酸脱氢酶及羧肽酶的组成成分,因此它在氮代谢中也起一定作用。</w:t>
      </w:r>
    </w:p>
    <w:p>
      <w:pPr>
        <w:ind w:firstLine="480"/>
        <w:rPr>
          <w:rFonts w:hint="eastAsia" w:eastAsia="宋体"/>
          <w:lang w:eastAsia="zh-CN"/>
        </w:rPr>
      </w:pPr>
      <w:r>
        <w:rPr>
          <w:rFonts w:hint="eastAsia"/>
        </w:rPr>
        <w:t>施用锌肥能提高籽粒的重量。</w:t>
      </w:r>
    </w:p>
    <w:p>
      <w:pPr>
        <w:ind w:firstLine="480"/>
      </w:pPr>
      <w:r>
        <w:rPr>
          <w:rFonts w:hint="eastAsia"/>
        </w:rPr>
        <w:t>2、影响</w:t>
      </w:r>
    </w:p>
    <w:p>
      <w:pPr>
        <w:ind w:firstLine="480"/>
      </w:pPr>
      <w:r>
        <w:rPr>
          <w:rFonts w:hint="eastAsia"/>
        </w:rPr>
        <w:t>首先在老叶出现叶脉间失绿，叶片失绿黄化，有的转为红褐色，严重时叶尖变红枯萎。生长受抑制，植株矮小。缺锌中后期，生殖生长受阻，减产显著。</w:t>
      </w:r>
    </w:p>
    <w:p>
      <w:pPr>
        <w:ind w:firstLine="482"/>
        <w:rPr>
          <w:rFonts w:hint="eastAsia" w:eastAsia="宋体"/>
          <w:b/>
          <w:bCs/>
          <w:lang w:eastAsia="zh-CN"/>
        </w:rPr>
      </w:pPr>
      <w:r>
        <w:rPr>
          <w:rFonts w:hint="eastAsia"/>
          <w:b/>
          <w:bCs/>
          <w:lang w:eastAsia="zh-CN"/>
        </w:rPr>
        <w:t>（</w:t>
      </w:r>
      <w:r>
        <w:rPr>
          <w:rFonts w:hint="eastAsia"/>
          <w:b/>
          <w:bCs/>
        </w:rPr>
        <w:t>十一</w:t>
      </w:r>
      <w:r>
        <w:rPr>
          <w:rFonts w:hint="eastAsia"/>
          <w:b/>
          <w:bCs/>
          <w:lang w:eastAsia="zh-CN"/>
        </w:rPr>
        <w:t>）</w:t>
      </w:r>
      <w:r>
        <w:rPr>
          <w:rFonts w:hint="eastAsia"/>
          <w:b/>
          <w:bCs/>
        </w:rPr>
        <w:t>锰</w:t>
      </w:r>
    </w:p>
    <w:p>
      <w:pPr>
        <w:ind w:firstLine="480"/>
      </w:pPr>
      <w:r>
        <w:rPr>
          <w:rFonts w:hint="eastAsia"/>
        </w:rPr>
        <w:t>1、作用</w:t>
      </w:r>
    </w:p>
    <w:p>
      <w:pPr>
        <w:ind w:firstLine="480"/>
      </w:pPr>
      <w:r>
        <w:rPr>
          <w:rFonts w:hint="eastAsia"/>
        </w:rPr>
        <w:t>锰主要以Mn2+形式被植物吸收。</w:t>
      </w:r>
    </w:p>
    <w:p>
      <w:pPr>
        <w:ind w:firstLine="480"/>
      </w:pPr>
      <w:r>
        <w:rPr>
          <w:rFonts w:hint="eastAsia"/>
        </w:rPr>
        <w:t>锰是光合放氧复合体的主要成员,缺锰时光合放氧受到抑制。</w:t>
      </w:r>
    </w:p>
    <w:p>
      <w:pPr>
        <w:ind w:firstLine="480"/>
      </w:pPr>
      <w:r>
        <w:rPr>
          <w:rFonts w:hint="eastAsia"/>
        </w:rPr>
        <w:t>锰为形成叶绿素和维持叶绿素正常结构的必需元素。</w:t>
      </w:r>
    </w:p>
    <w:p>
      <w:pPr>
        <w:ind w:firstLine="480"/>
      </w:pPr>
      <w:r>
        <w:rPr>
          <w:rFonts w:hint="eastAsia"/>
        </w:rPr>
        <w:t>锰也是许多酶的活化剂,如一些转移磷酸的酶和三羧酸循环中的柠檬酸脱氢酶、草酰琥珀酸脱氢酶、α-酮戊二酸脱氢酶、苹果酸脱氢酶、柠檬酸合成酶等,都需锰的活化，故锰与光合和呼吸均有关系。</w:t>
      </w:r>
    </w:p>
    <w:p>
      <w:pPr>
        <w:ind w:firstLine="480"/>
        <w:rPr>
          <w:rFonts w:hint="eastAsia" w:eastAsia="宋体"/>
          <w:lang w:eastAsia="zh-CN"/>
        </w:rPr>
      </w:pPr>
      <w:r>
        <w:rPr>
          <w:rFonts w:hint="eastAsia"/>
        </w:rPr>
        <w:t>锰还是硝酸还原的辅助因素,缺锰时硝酸就不能还原成氨,植物也就不能合成氨基酸和蛋白质。</w:t>
      </w:r>
    </w:p>
    <w:p>
      <w:pPr>
        <w:ind w:firstLine="480"/>
      </w:pPr>
      <w:r>
        <w:rPr>
          <w:rFonts w:hint="eastAsia"/>
        </w:rPr>
        <w:t>2、影响</w:t>
      </w:r>
    </w:p>
    <w:p>
      <w:pPr>
        <w:ind w:firstLine="480"/>
        <w:rPr>
          <w:rFonts w:hint="eastAsia" w:eastAsia="宋体"/>
          <w:lang w:eastAsia="zh-CN"/>
        </w:rPr>
      </w:pPr>
      <w:r>
        <w:rPr>
          <w:rFonts w:hint="eastAsia"/>
        </w:rPr>
        <w:t>缺锰时植物不能形成叶绿素,叶脉间失绿褪色,但叶脉仍保持绿色,此为缺锰与缺铁的主要区别。</w:t>
      </w:r>
    </w:p>
    <w:p>
      <w:pPr>
        <w:ind w:firstLine="482"/>
        <w:rPr>
          <w:rFonts w:hint="eastAsia" w:eastAsia="宋体"/>
          <w:b/>
          <w:bCs/>
          <w:lang w:eastAsia="zh-CN"/>
        </w:rPr>
      </w:pPr>
      <w:r>
        <w:rPr>
          <w:rFonts w:hint="eastAsia"/>
          <w:b/>
          <w:bCs/>
          <w:lang w:eastAsia="zh-CN"/>
        </w:rPr>
        <w:t>（</w:t>
      </w:r>
      <w:r>
        <w:rPr>
          <w:rFonts w:hint="eastAsia"/>
          <w:b/>
          <w:bCs/>
        </w:rPr>
        <w:t>十二</w:t>
      </w:r>
      <w:r>
        <w:rPr>
          <w:rFonts w:hint="eastAsia"/>
          <w:b/>
          <w:bCs/>
          <w:lang w:eastAsia="zh-CN"/>
        </w:rPr>
        <w:t>）</w:t>
      </w:r>
      <w:r>
        <w:rPr>
          <w:rFonts w:hint="eastAsia"/>
          <w:b/>
          <w:bCs/>
        </w:rPr>
        <w:t>钼</w:t>
      </w:r>
    </w:p>
    <w:p>
      <w:pPr>
        <w:ind w:firstLine="480"/>
      </w:pPr>
      <w:r>
        <w:rPr>
          <w:rFonts w:hint="eastAsia"/>
        </w:rPr>
        <w:t>1、作用</w:t>
      </w:r>
    </w:p>
    <w:p>
      <w:pPr>
        <w:ind w:firstLine="480"/>
        <w:rPr>
          <w:rFonts w:hint="eastAsia" w:eastAsia="宋体"/>
          <w:lang w:eastAsia="zh-CN"/>
        </w:rPr>
      </w:pPr>
      <w:r>
        <w:rPr>
          <w:rFonts w:hint="eastAsia"/>
        </w:rPr>
        <w:t>钼以钼酸盐</w:t>
      </w:r>
      <w:r>
        <w:rPr>
          <w:rFonts w:hint="eastAsia"/>
          <w:lang w:eastAsia="zh-CN"/>
        </w:rPr>
        <w:t>（</w:t>
      </w:r>
      <w:r>
        <w:rPr>
          <w:rFonts w:hint="eastAsia"/>
        </w:rPr>
        <w:t>MoO42-</w:t>
      </w:r>
      <w:r>
        <w:rPr>
          <w:rFonts w:hint="eastAsia"/>
          <w:lang w:eastAsia="zh-CN"/>
        </w:rPr>
        <w:t>）</w:t>
      </w:r>
      <w:r>
        <w:rPr>
          <w:rFonts w:hint="eastAsia"/>
        </w:rPr>
        <w:t>的形式被植物吸收,当吸收的钼酸盐较多时,可与一种特殊的蛋白质结合而被贮存。</w:t>
      </w:r>
    </w:p>
    <w:p>
      <w:pPr>
        <w:ind w:firstLine="480"/>
      </w:pPr>
      <w:r>
        <w:rPr>
          <w:rFonts w:hint="eastAsia"/>
        </w:rPr>
        <w:t>钼是硝酸还原酶的组成成分,缺钼则硝酸不能还原,呈现出缺氮病症。</w:t>
      </w:r>
    </w:p>
    <w:p>
      <w:pPr>
        <w:ind w:firstLine="480"/>
        <w:rPr>
          <w:rFonts w:hint="eastAsia" w:eastAsia="宋体"/>
          <w:lang w:eastAsia="zh-CN"/>
        </w:rPr>
      </w:pPr>
      <w:r>
        <w:rPr>
          <w:rFonts w:hint="eastAsia"/>
        </w:rPr>
        <w:t>豆科植物根瘤菌的固氮特别需要钼,因为氮素固定是在固氮酶的作用下进行的,而固氮酶是由铁蛋白和铁钼蛋白组成的。</w:t>
      </w:r>
    </w:p>
    <w:p>
      <w:pPr>
        <w:ind w:firstLine="480"/>
      </w:pPr>
      <w:r>
        <w:rPr>
          <w:rFonts w:hint="eastAsia"/>
        </w:rPr>
        <w:t>2、影响</w:t>
      </w:r>
    </w:p>
    <w:p>
      <w:pPr>
        <w:ind w:firstLine="480"/>
        <w:rPr>
          <w:rFonts w:hint="eastAsia" w:eastAsia="宋体"/>
          <w:b/>
          <w:bCs/>
          <w:lang w:eastAsia="zh-CN"/>
        </w:rPr>
      </w:pPr>
      <w:r>
        <w:rPr>
          <w:rFonts w:hint="eastAsia"/>
        </w:rPr>
        <w:t>缺钼时叶较小,叶脉间失绿,有坏死斑点,且叶边缘焦枯,向内卷曲。十字花科植物缺钼时叶片卷曲畸形,老叶变厚且枯焦。禾谷类作物缺钼则籽粒皱缩或不能形成籽粒。</w:t>
      </w:r>
    </w:p>
    <w:p>
      <w:pPr>
        <w:ind w:firstLine="482"/>
        <w:rPr>
          <w:rFonts w:hint="eastAsia" w:eastAsia="宋体"/>
          <w:b/>
          <w:bCs/>
          <w:lang w:eastAsia="zh-CN"/>
        </w:rPr>
      </w:pPr>
      <w:r>
        <w:rPr>
          <w:rFonts w:hint="eastAsia"/>
          <w:b/>
          <w:bCs/>
          <w:lang w:eastAsia="zh-CN"/>
        </w:rPr>
        <w:t>（</w:t>
      </w:r>
      <w:r>
        <w:rPr>
          <w:rFonts w:hint="eastAsia"/>
          <w:b/>
          <w:bCs/>
        </w:rPr>
        <w:t>十三</w:t>
      </w:r>
      <w:r>
        <w:rPr>
          <w:rFonts w:hint="eastAsia"/>
          <w:b/>
          <w:bCs/>
          <w:lang w:eastAsia="zh-CN"/>
        </w:rPr>
        <w:t>）</w:t>
      </w:r>
      <w:r>
        <w:rPr>
          <w:rFonts w:hint="eastAsia"/>
          <w:b/>
          <w:bCs/>
        </w:rPr>
        <w:t>氯</w:t>
      </w:r>
    </w:p>
    <w:p>
      <w:pPr>
        <w:ind w:firstLine="480"/>
      </w:pPr>
      <w:r>
        <w:rPr>
          <w:rFonts w:hint="eastAsia"/>
        </w:rPr>
        <w:t>1、作用</w:t>
      </w:r>
    </w:p>
    <w:p>
      <w:pPr>
        <w:ind w:firstLine="480"/>
      </w:pPr>
      <w:r>
        <w:rPr>
          <w:rFonts w:hint="eastAsia"/>
        </w:rPr>
        <w:t>氯是在1954年才被确定的植物必需元素。氯以Cl－的形式被植物吸收。</w:t>
      </w:r>
    </w:p>
    <w:p>
      <w:pPr>
        <w:ind w:firstLine="480"/>
        <w:rPr>
          <w:rFonts w:hint="eastAsia" w:eastAsia="宋体"/>
          <w:lang w:eastAsia="zh-CN"/>
        </w:rPr>
      </w:pPr>
      <w:r>
        <w:rPr>
          <w:rFonts w:hint="eastAsia"/>
        </w:rPr>
        <w:t>氯是生长激素的成分，体内绝大部分的氯也以Cl－的形式存在,只有极少量的氯被结合进有机物，其中4氯吲哚乙酸是一种天然的生长素类激素。</w:t>
      </w:r>
    </w:p>
    <w:p>
      <w:pPr>
        <w:ind w:firstLine="480"/>
      </w:pPr>
      <w:r>
        <w:rPr>
          <w:rFonts w:hint="eastAsia"/>
        </w:rPr>
        <w:t>在光合作用中Cl－参加水的光解，叶和根细胞的分裂也需要Cl－的参与，Cl－还与K+等离子一起参与渗透势的调节，如与K+和苹果酸一起调节气孔开闭。</w:t>
      </w:r>
    </w:p>
    <w:p>
      <w:pPr>
        <w:ind w:firstLine="480"/>
      </w:pPr>
      <w:r>
        <w:rPr>
          <w:rFonts w:hint="eastAsia"/>
        </w:rPr>
        <w:t>氯可活化光合作用的辅酶Cl－活性强，可加强NH4+和K+的吸收</w:t>
      </w:r>
    </w:p>
    <w:p>
      <w:pPr>
        <w:ind w:firstLine="480"/>
      </w:pPr>
      <w:r>
        <w:rPr>
          <w:rFonts w:hint="eastAsia"/>
        </w:rPr>
        <w:t>2、影响</w:t>
      </w:r>
    </w:p>
    <w:p>
      <w:pPr>
        <w:ind w:firstLine="480"/>
      </w:pPr>
      <w:r>
        <w:rPr>
          <w:rFonts w:hint="eastAsia"/>
        </w:rPr>
        <w:t>缺氯时,叶片萎蔫,失绿坏死,最后变为褐色;同时根系生长受阻、变粗，根尖变为棒状。</w:t>
      </w:r>
    </w:p>
    <w:p>
      <w:pPr>
        <w:ind w:firstLine="482"/>
        <w:rPr>
          <w:b/>
          <w:bCs/>
        </w:rPr>
      </w:pPr>
      <w:r>
        <w:rPr>
          <w:rFonts w:hint="eastAsia"/>
          <w:b/>
          <w:bCs/>
          <w:lang w:eastAsia="zh-CN"/>
        </w:rPr>
        <w:t>（</w:t>
      </w:r>
      <w:r>
        <w:rPr>
          <w:rFonts w:hint="eastAsia"/>
          <w:b/>
          <w:bCs/>
        </w:rPr>
        <w:t>十四</w:t>
      </w:r>
      <w:r>
        <w:rPr>
          <w:rFonts w:hint="eastAsia"/>
          <w:b/>
          <w:bCs/>
          <w:lang w:eastAsia="zh-CN"/>
        </w:rPr>
        <w:t>）</w:t>
      </w:r>
      <w:r>
        <w:rPr>
          <w:rFonts w:hint="eastAsia"/>
          <w:b/>
          <w:bCs/>
        </w:rPr>
        <w:t>有机质</w:t>
      </w:r>
    </w:p>
    <w:p>
      <w:pPr>
        <w:ind w:firstLine="480"/>
      </w:pPr>
      <w:r>
        <w:rPr>
          <w:rFonts w:hint="eastAsia"/>
        </w:rPr>
        <w:t>有机肥料是以有机物质为主要成分的肥料，有机物质来自农村和城市的废弃物，如人、畜粪尿、工厂作坊加工或生活中的废物、废水和污水、垃圾、饼肥、秸秆，还有栽培的绿肥等，可见有机肥料来源广、种类繁多、成分复杂。</w:t>
      </w:r>
    </w:p>
    <w:p>
      <w:pPr>
        <w:ind w:firstLine="480"/>
      </w:pPr>
      <w:r>
        <w:rPr>
          <w:rFonts w:hint="eastAsia"/>
        </w:rPr>
        <w:t>特点：</w:t>
      </w:r>
      <w:r>
        <w:rPr>
          <w:rFonts w:hint="eastAsia"/>
          <w:lang w:eastAsia="zh-CN"/>
        </w:rPr>
        <w:t>（</w:t>
      </w:r>
      <w:r>
        <w:rPr>
          <w:rFonts w:hint="eastAsia"/>
        </w:rPr>
        <w:t>1</w:t>
      </w:r>
      <w:r>
        <w:rPr>
          <w:rFonts w:hint="eastAsia"/>
          <w:lang w:eastAsia="zh-CN"/>
        </w:rPr>
        <w:t>）</w:t>
      </w:r>
      <w:r>
        <w:rPr>
          <w:rFonts w:hint="eastAsia"/>
        </w:rPr>
        <w:t>来源广、经济易得但体积庞大含水量高，运输、施用不便。</w:t>
      </w:r>
    </w:p>
    <w:p>
      <w:pPr>
        <w:ind w:firstLine="480"/>
      </w:pPr>
      <w:r>
        <w:rPr>
          <w:rFonts w:hint="eastAsia"/>
          <w:lang w:eastAsia="zh-CN"/>
        </w:rPr>
        <w:t>（</w:t>
      </w:r>
      <w:r>
        <w:rPr>
          <w:rFonts w:hint="eastAsia"/>
        </w:rPr>
        <w:t>2</w:t>
      </w:r>
      <w:r>
        <w:rPr>
          <w:rFonts w:hint="eastAsia"/>
          <w:lang w:eastAsia="zh-CN"/>
        </w:rPr>
        <w:t>）</w:t>
      </w:r>
      <w:r>
        <w:rPr>
          <w:rFonts w:hint="eastAsia"/>
        </w:rPr>
        <w:t>养分全面能提供作物所必需的营养元素，但养分含量都比较低，而且多以有机形态存在，要通过微生物分解才能被植物吸收，故有机肥一般都要进行材料处理。</w:t>
      </w:r>
    </w:p>
    <w:p>
      <w:pPr>
        <w:ind w:firstLine="480"/>
      </w:pPr>
      <w:r>
        <w:rPr>
          <w:rFonts w:hint="eastAsia"/>
          <w:lang w:eastAsia="zh-CN"/>
        </w:rPr>
        <w:t>（</w:t>
      </w:r>
      <w:r>
        <w:rPr>
          <w:rFonts w:hint="eastAsia"/>
        </w:rPr>
        <w:t>3</w:t>
      </w:r>
      <w:r>
        <w:rPr>
          <w:rFonts w:hint="eastAsia"/>
          <w:lang w:eastAsia="zh-CN"/>
        </w:rPr>
        <w:t>）</w:t>
      </w:r>
      <w:r>
        <w:rPr>
          <w:rFonts w:hint="eastAsia"/>
        </w:rPr>
        <w:t>含有丰富的有机质对改良土壤、缓冲土壤不良性质，如酸碱度、养分毒害等有好处。</w:t>
      </w:r>
    </w:p>
    <w:p>
      <w:pPr>
        <w:ind w:firstLine="480"/>
      </w:pPr>
      <w:r>
        <w:rPr>
          <w:rFonts w:hint="eastAsia"/>
        </w:rPr>
        <w:t>分类：有机肥料种类繁多、成分复杂，根据其来源和积制方式可分为以下种类：</w:t>
      </w:r>
    </w:p>
    <w:p>
      <w:pPr>
        <w:ind w:firstLine="480"/>
      </w:pPr>
      <w:r>
        <w:rPr>
          <w:rFonts w:hint="eastAsia"/>
          <w:lang w:eastAsia="zh-CN"/>
        </w:rPr>
        <w:t>（</w:t>
      </w:r>
      <w:r>
        <w:rPr>
          <w:rFonts w:hint="eastAsia"/>
        </w:rPr>
        <w:t>l</w:t>
      </w:r>
      <w:r>
        <w:rPr>
          <w:rFonts w:hint="eastAsia"/>
          <w:lang w:eastAsia="zh-CN"/>
        </w:rPr>
        <w:t>）</w:t>
      </w:r>
      <w:r>
        <w:rPr>
          <w:rFonts w:hint="eastAsia"/>
        </w:rPr>
        <w:t>粪尿肥和厩肥包括人粪尿、家畜粪尿、厩肥、禽粪、海鸟粪、蚕沙等。</w:t>
      </w:r>
    </w:p>
    <w:p>
      <w:pPr>
        <w:ind w:firstLine="480"/>
      </w:pPr>
      <w:r>
        <w:rPr>
          <w:rFonts w:hint="eastAsia"/>
          <w:lang w:eastAsia="zh-CN"/>
        </w:rPr>
        <w:t>（</w:t>
      </w:r>
      <w:r>
        <w:rPr>
          <w:rFonts w:hint="eastAsia"/>
        </w:rPr>
        <w:t>2</w:t>
      </w:r>
      <w:r>
        <w:rPr>
          <w:rFonts w:hint="eastAsia"/>
          <w:lang w:eastAsia="zh-CN"/>
        </w:rPr>
        <w:t>）</w:t>
      </w:r>
      <w:r>
        <w:rPr>
          <w:rFonts w:hint="eastAsia"/>
        </w:rPr>
        <w:t>堆、沤肥和沼气发酵肥包括堆肥、沤肥、沼气发酵肥、秸秆直接还田等。</w:t>
      </w:r>
    </w:p>
    <w:p>
      <w:pPr>
        <w:ind w:firstLine="480"/>
      </w:pPr>
      <w:r>
        <w:rPr>
          <w:rFonts w:hint="eastAsia"/>
          <w:lang w:eastAsia="zh-CN"/>
        </w:rPr>
        <w:t>（</w:t>
      </w:r>
      <w:r>
        <w:rPr>
          <w:rFonts w:hint="eastAsia"/>
        </w:rPr>
        <w:t>3</w:t>
      </w:r>
      <w:r>
        <w:rPr>
          <w:rFonts w:hint="eastAsia"/>
          <w:lang w:eastAsia="zh-CN"/>
        </w:rPr>
        <w:t>）</w:t>
      </w:r>
      <w:r>
        <w:rPr>
          <w:rFonts w:hint="eastAsia"/>
        </w:rPr>
        <w:t>饼肥包括各种饼肥和糟渣肥。</w:t>
      </w:r>
    </w:p>
    <w:p>
      <w:pPr>
        <w:ind w:firstLine="480"/>
      </w:pPr>
      <w:r>
        <w:rPr>
          <w:rFonts w:hint="eastAsia"/>
          <w:lang w:eastAsia="zh-CN"/>
        </w:rPr>
        <w:t>（</w:t>
      </w:r>
      <w:r>
        <w:rPr>
          <w:rFonts w:hint="eastAsia"/>
        </w:rPr>
        <w:t>4</w:t>
      </w:r>
      <w:r>
        <w:rPr>
          <w:rFonts w:hint="eastAsia"/>
          <w:lang w:eastAsia="zh-CN"/>
        </w:rPr>
        <w:t>）</w:t>
      </w:r>
      <w:r>
        <w:rPr>
          <w:rFonts w:hint="eastAsia"/>
        </w:rPr>
        <w:t>绿肥包括冬季绿肥、夏季绿肥、水生绿肥、野生绿肥</w:t>
      </w:r>
      <w:r>
        <w:rPr>
          <w:rFonts w:hint="eastAsia"/>
          <w:lang w:eastAsia="zh-CN"/>
        </w:rPr>
        <w:t>（</w:t>
      </w:r>
      <w:r>
        <w:rPr>
          <w:rFonts w:hint="eastAsia"/>
        </w:rPr>
        <w:t>山青湖草等多年生绿肥</w:t>
      </w:r>
      <w:r>
        <w:rPr>
          <w:rFonts w:hint="eastAsia"/>
          <w:lang w:eastAsia="zh-CN"/>
        </w:rPr>
        <w:t>）</w:t>
      </w:r>
      <w:r>
        <w:rPr>
          <w:rFonts w:hint="eastAsia"/>
        </w:rPr>
        <w:t>。</w:t>
      </w:r>
    </w:p>
    <w:p>
      <w:pPr>
        <w:ind w:firstLine="480"/>
      </w:pPr>
      <w:r>
        <w:rPr>
          <w:rFonts w:hint="eastAsia"/>
          <w:lang w:eastAsia="zh-CN"/>
        </w:rPr>
        <w:t>（</w:t>
      </w:r>
      <w:r>
        <w:rPr>
          <w:rFonts w:hint="eastAsia"/>
        </w:rPr>
        <w:t>5</w:t>
      </w:r>
      <w:r>
        <w:rPr>
          <w:rFonts w:hint="eastAsia"/>
          <w:lang w:eastAsia="zh-CN"/>
        </w:rPr>
        <w:t>）</w:t>
      </w:r>
      <w:r>
        <w:rPr>
          <w:rFonts w:hint="eastAsia"/>
        </w:rPr>
        <w:t>杂肥包括塘泥、沟泥、湖泥、熏土、炕土、硝上、陈墙旧土、工业废渣、生活废渣、屠宰场废物等。</w:t>
      </w:r>
    </w:p>
    <w:p>
      <w:pPr>
        <w:ind w:firstLine="482"/>
        <w:rPr>
          <w:b/>
          <w:bCs/>
        </w:rPr>
      </w:pPr>
      <w:r>
        <w:rPr>
          <w:rFonts w:hint="eastAsia"/>
          <w:b/>
          <w:bCs/>
          <w:lang w:eastAsia="zh-CN"/>
        </w:rPr>
        <w:t>（</w:t>
      </w:r>
      <w:r>
        <w:rPr>
          <w:rFonts w:hint="eastAsia"/>
          <w:b/>
          <w:bCs/>
        </w:rPr>
        <w:t>十五</w:t>
      </w:r>
      <w:r>
        <w:rPr>
          <w:rFonts w:hint="eastAsia"/>
          <w:b/>
          <w:bCs/>
          <w:lang w:eastAsia="zh-CN"/>
        </w:rPr>
        <w:t>）</w:t>
      </w:r>
      <w:r>
        <w:rPr>
          <w:rFonts w:hint="eastAsia"/>
          <w:b/>
          <w:bCs/>
        </w:rPr>
        <w:t>腐殖酸</w:t>
      </w:r>
    </w:p>
    <w:p>
      <w:pPr>
        <w:ind w:firstLine="480"/>
      </w:pPr>
      <w:r>
        <w:rPr>
          <w:rFonts w:hint="eastAsia"/>
        </w:rPr>
        <w:t>腐殖酸（又称胡敏酸Humicacid，简称HA）是一种广泛分布于自然界的有机高分子化合物，大量存在于土壤、河湖海沉积物以及风化煤、褐煤、泥炭中，是构成土壤和水体中有机质的主要成分。</w:t>
      </w:r>
    </w:p>
    <w:p>
      <w:pPr>
        <w:ind w:firstLine="480"/>
        <w:rPr>
          <w:rFonts w:hint="eastAsia" w:eastAsia="宋体"/>
          <w:lang w:eastAsia="zh-CN"/>
        </w:rPr>
      </w:pPr>
      <w:r>
        <w:rPr>
          <w:rFonts w:hint="eastAsia"/>
        </w:rPr>
        <w:t>⑴改良土壤。施用腐肥能促进土壤团粒结构的形成，提高土壤的保水保肥性能和供肥性能。减少铝离子的毒害和盐分浓度过高的毒害。</w:t>
      </w:r>
    </w:p>
    <w:p>
      <w:pPr>
        <w:ind w:firstLine="480"/>
        <w:rPr>
          <w:rFonts w:hint="eastAsia" w:eastAsia="宋体"/>
          <w:lang w:eastAsia="zh-CN"/>
        </w:rPr>
      </w:pPr>
      <w:r>
        <w:rPr>
          <w:rFonts w:hint="eastAsia"/>
        </w:rPr>
        <w:t>⑵增加有效养分。腐肥本身含有一定的速效氮、磷、钾及部分微量元素，并且能促使磷有效化，减少磷的固定，提高磷肥的利用率。</w:t>
      </w:r>
    </w:p>
    <w:p>
      <w:pPr>
        <w:ind w:firstLine="480"/>
      </w:pPr>
      <w:r>
        <w:rPr>
          <w:rFonts w:hint="eastAsia"/>
        </w:rPr>
        <w:t>⑶刺激作物生长。腐肥能加强多种酶的活性，加强植物体中的氧化还原过程。所以能促进种子萌发，根系生长，提高根系吸水吸肥能力，增加分蘖或分枝，提早成熟。</w:t>
      </w:r>
    </w:p>
    <w:p>
      <w:pPr>
        <w:pStyle w:val="7"/>
      </w:pPr>
      <w:bookmarkStart w:id="989" w:name="_Toc118293359"/>
      <w:bookmarkStart w:id="990" w:name="_Toc13141"/>
      <w:bookmarkStart w:id="991" w:name="_Toc105600288"/>
      <w:bookmarkStart w:id="992" w:name="_Toc117182035"/>
      <w:r>
        <w:rPr>
          <w:rFonts w:hint="eastAsia"/>
          <w:lang w:eastAsia="zh-CN"/>
        </w:rPr>
        <w:t>（</w:t>
      </w:r>
      <w:r>
        <w:rPr>
          <w:rFonts w:hint="eastAsia"/>
          <w:lang w:val="en-US" w:eastAsia="zh-CN"/>
        </w:rPr>
        <w:t>八</w:t>
      </w:r>
      <w:r>
        <w:rPr>
          <w:rFonts w:hint="eastAsia"/>
          <w:lang w:eastAsia="zh-CN"/>
        </w:rPr>
        <w:t>）</w:t>
      </w:r>
      <w:r>
        <w:rPr>
          <w:rFonts w:hint="eastAsia"/>
        </w:rPr>
        <w:t>有机肥鉴别</w:t>
      </w:r>
      <w:bookmarkEnd w:id="989"/>
      <w:bookmarkEnd w:id="990"/>
      <w:bookmarkEnd w:id="991"/>
      <w:bookmarkEnd w:id="992"/>
    </w:p>
    <w:p>
      <w:pPr>
        <w:ind w:firstLine="480"/>
        <w:rPr>
          <w:b/>
          <w:bCs/>
        </w:rPr>
      </w:pPr>
      <w:r>
        <w:rPr>
          <w:rFonts w:hint="eastAsia"/>
          <w:b/>
          <w:bCs/>
        </w:rPr>
        <w:t>方法1：</w:t>
      </w:r>
    </w:p>
    <w:p>
      <w:pPr>
        <w:ind w:firstLine="480"/>
      </w:pPr>
      <w:r>
        <w:rPr>
          <w:rFonts w:hint="eastAsia"/>
          <w:lang w:eastAsia="zh-CN"/>
        </w:rPr>
        <w:t>（</w:t>
      </w:r>
      <w:r>
        <w:rPr>
          <w:rFonts w:hint="eastAsia"/>
          <w:lang w:val="en-US" w:eastAsia="zh-CN"/>
        </w:rPr>
        <w:t>一</w:t>
      </w:r>
      <w:r>
        <w:rPr>
          <w:rFonts w:hint="eastAsia"/>
          <w:lang w:eastAsia="zh-CN"/>
        </w:rPr>
        <w:t>）</w:t>
      </w:r>
      <w:r>
        <w:rPr>
          <w:rFonts w:hint="eastAsia"/>
        </w:rPr>
        <w:t>看包装，是否规范？</w:t>
      </w:r>
    </w:p>
    <w:p>
      <w:pPr>
        <w:ind w:firstLine="480"/>
      </w:pPr>
      <w:r>
        <w:rPr>
          <w:rFonts w:hint="eastAsia"/>
        </w:rPr>
        <w:t>1</w:t>
      </w:r>
      <w:r>
        <w:rPr>
          <w:rFonts w:hint="eastAsia"/>
          <w:lang w:eastAsia="zh-CN"/>
        </w:rPr>
        <w:t>、</w:t>
      </w:r>
      <w:r>
        <w:rPr>
          <w:rFonts w:hint="eastAsia"/>
        </w:rPr>
        <w:t>产品登记证：具有农业部肥料登记证；</w:t>
      </w:r>
    </w:p>
    <w:p>
      <w:pPr>
        <w:ind w:firstLine="480"/>
      </w:pPr>
      <w:r>
        <w:rPr>
          <w:rFonts w:hint="eastAsia"/>
        </w:rPr>
        <w:t>2</w:t>
      </w:r>
      <w:r>
        <w:rPr>
          <w:rFonts w:hint="eastAsia"/>
          <w:lang w:eastAsia="zh-CN"/>
        </w:rPr>
        <w:t>、</w:t>
      </w:r>
      <w:r>
        <w:rPr>
          <w:rFonts w:hint="eastAsia"/>
        </w:rPr>
        <w:t>产品技术指标：肥料符合</w:t>
      </w:r>
      <w:r>
        <w:t>NY884-2012标准</w:t>
      </w:r>
      <w:r>
        <w:rPr>
          <w:rFonts w:hint="eastAsia"/>
        </w:rPr>
        <w:t>。</w:t>
      </w:r>
    </w:p>
    <w:p>
      <w:pPr>
        <w:ind w:firstLine="480"/>
      </w:pPr>
      <w:r>
        <w:rPr>
          <w:rFonts w:hint="eastAsia"/>
        </w:rPr>
        <w:t>3</w:t>
      </w:r>
      <w:r>
        <w:rPr>
          <w:rFonts w:hint="eastAsia"/>
          <w:lang w:eastAsia="zh-CN"/>
        </w:rPr>
        <w:t>、</w:t>
      </w:r>
      <w:r>
        <w:rPr>
          <w:rFonts w:hint="eastAsia"/>
        </w:rPr>
        <w:t>产品有效期：国家规定大于6个月。随着生物有机肥产品的保存时间延长，有效活菌数会不断下降，把有效期标注太长都是不负责任的。</w:t>
      </w:r>
    </w:p>
    <w:p>
      <w:pPr>
        <w:ind w:firstLine="480"/>
      </w:pPr>
      <w:r>
        <w:rPr>
          <w:rFonts w:hint="eastAsia"/>
          <w:lang w:eastAsia="zh-CN"/>
        </w:rPr>
        <w:t>（</w:t>
      </w:r>
      <w:r>
        <w:rPr>
          <w:rFonts w:hint="eastAsia"/>
          <w:lang w:val="en-US" w:eastAsia="zh-CN"/>
        </w:rPr>
        <w:t>二</w:t>
      </w:r>
      <w:r>
        <w:rPr>
          <w:rFonts w:hint="eastAsia"/>
          <w:lang w:eastAsia="zh-CN"/>
        </w:rPr>
        <w:t>）</w:t>
      </w:r>
      <w:r>
        <w:rPr>
          <w:rFonts w:hint="eastAsia"/>
        </w:rPr>
        <w:t>看物料，是否均匀？</w:t>
      </w:r>
    </w:p>
    <w:p>
      <w:pPr>
        <w:ind w:firstLine="480"/>
      </w:pPr>
      <w:r>
        <w:rPr>
          <w:rFonts w:hint="eastAsia"/>
        </w:rPr>
        <w:t>1</w:t>
      </w:r>
      <w:r>
        <w:rPr>
          <w:rFonts w:hint="eastAsia"/>
          <w:lang w:eastAsia="zh-CN"/>
        </w:rPr>
        <w:t>、</w:t>
      </w:r>
      <w:r>
        <w:rPr>
          <w:rFonts w:hint="eastAsia"/>
        </w:rPr>
        <w:t>产品含水量太高或太低均不利于菌种存活，判断方法：抓一把肥料在阳光下观察，阴潮呈团、干燥呈灰都非正常产品。</w:t>
      </w:r>
    </w:p>
    <w:p>
      <w:pPr>
        <w:ind w:firstLine="480"/>
      </w:pPr>
      <w:r>
        <w:rPr>
          <w:rFonts w:hint="eastAsia"/>
        </w:rPr>
        <w:t>2</w:t>
      </w:r>
      <w:r>
        <w:rPr>
          <w:rFonts w:hint="eastAsia"/>
          <w:lang w:eastAsia="zh-CN"/>
        </w:rPr>
        <w:t>、</w:t>
      </w:r>
      <w:r>
        <w:rPr>
          <w:rFonts w:hint="eastAsia"/>
        </w:rPr>
        <w:t>适合特殊功能菌种生长的“有机肥营养”应是套餐型，由多种有机营养物质组成</w:t>
      </w:r>
      <w:r>
        <w:rPr>
          <w:rFonts w:hint="eastAsia"/>
          <w:lang w:eastAsia="zh-CN"/>
        </w:rPr>
        <w:t>（</w:t>
      </w:r>
      <w:r>
        <w:rPr>
          <w:rFonts w:hint="eastAsia"/>
        </w:rPr>
        <w:t>如：菜粕、黄豆粉等发酵制成</w:t>
      </w:r>
      <w:r>
        <w:rPr>
          <w:rFonts w:hint="eastAsia"/>
          <w:lang w:eastAsia="zh-CN"/>
        </w:rPr>
        <w:t>）</w:t>
      </w:r>
      <w:r>
        <w:rPr>
          <w:rFonts w:hint="eastAsia"/>
        </w:rPr>
        <w:t>，在光线下能看到原料的痕迹，或者能闻到原料的特殊气味。</w:t>
      </w:r>
    </w:p>
    <w:p>
      <w:pPr>
        <w:ind w:firstLine="480"/>
      </w:pPr>
      <w:r>
        <w:rPr>
          <w:rFonts w:hint="eastAsia"/>
          <w:lang w:eastAsia="zh-CN"/>
        </w:rPr>
        <w:t>（</w:t>
      </w:r>
      <w:r>
        <w:rPr>
          <w:rFonts w:hint="eastAsia"/>
          <w:lang w:val="en-US" w:eastAsia="zh-CN"/>
        </w:rPr>
        <w:t>三</w:t>
      </w:r>
      <w:r>
        <w:rPr>
          <w:rFonts w:hint="eastAsia"/>
          <w:lang w:eastAsia="zh-CN"/>
        </w:rPr>
        <w:t>）</w:t>
      </w:r>
      <w:r>
        <w:rPr>
          <w:rFonts w:hint="eastAsia"/>
        </w:rPr>
        <w:t>看效果，是否高效？</w:t>
      </w:r>
    </w:p>
    <w:p>
      <w:pPr>
        <w:ind w:firstLine="480"/>
        <w:rPr>
          <w:rFonts w:hint="eastAsia" w:eastAsia="宋体"/>
          <w:lang w:eastAsia="zh-CN"/>
        </w:rPr>
      </w:pPr>
      <w:r>
        <w:rPr>
          <w:rFonts w:hint="eastAsia"/>
        </w:rPr>
        <w:t>试验方法：加少量水将生物有机肥调成团状，放在冰箱里冻成冰块，第二天拿出来溶化，反复三次，肥料中的菌种将会冻死或大幅度减少；这是用它和将原产品进行比较试验、在相同的田块里观察差异，差异明显好肥料，差异不明显，表明该产品有问题，建议放弃使用。</w:t>
      </w:r>
    </w:p>
    <w:p>
      <w:pPr>
        <w:ind w:firstLine="480"/>
        <w:rPr>
          <w:b/>
          <w:bCs/>
        </w:rPr>
      </w:pPr>
      <w:r>
        <w:rPr>
          <w:rFonts w:hint="eastAsia"/>
          <w:b/>
          <w:bCs/>
        </w:rPr>
        <w:t>方法2：</w:t>
      </w:r>
    </w:p>
    <w:p>
      <w:pPr>
        <w:ind w:firstLine="480"/>
      </w:pPr>
      <w:r>
        <w:rPr>
          <w:rFonts w:hint="eastAsia"/>
          <w:lang w:eastAsia="zh-CN"/>
        </w:rPr>
        <w:t>（</w:t>
      </w:r>
      <w:r>
        <w:rPr>
          <w:rFonts w:hint="eastAsia"/>
          <w:lang w:val="en-US" w:eastAsia="zh-CN"/>
        </w:rPr>
        <w:t>一</w:t>
      </w:r>
      <w:r>
        <w:rPr>
          <w:rFonts w:hint="eastAsia"/>
          <w:lang w:eastAsia="zh-CN"/>
        </w:rPr>
        <w:t>）</w:t>
      </w:r>
      <w:r>
        <w:rPr>
          <w:rFonts w:hint="eastAsia"/>
        </w:rPr>
        <w:t>操作：拿一只玻璃杯或透明杯，取30-50g有机肥或生物有机肥，倒入100ml清水，用玻璃棒或细木棒搅拌1分钟。放在光线明亮处静置10分钟。</w:t>
      </w:r>
    </w:p>
    <w:p>
      <w:pPr>
        <w:ind w:firstLine="480"/>
      </w:pPr>
      <w:r>
        <w:rPr>
          <w:rFonts w:hint="eastAsia"/>
          <w:lang w:eastAsia="zh-CN"/>
        </w:rPr>
        <w:t>（</w:t>
      </w:r>
      <w:r>
        <w:rPr>
          <w:rFonts w:hint="eastAsia"/>
          <w:lang w:val="en-US" w:eastAsia="zh-CN"/>
        </w:rPr>
        <w:t>二</w:t>
      </w:r>
      <w:r>
        <w:rPr>
          <w:rFonts w:hint="eastAsia"/>
          <w:lang w:eastAsia="zh-CN"/>
        </w:rPr>
        <w:t>）</w:t>
      </w:r>
      <w:r>
        <w:rPr>
          <w:rFonts w:hint="eastAsia"/>
        </w:rPr>
        <w:t>观看：</w:t>
      </w:r>
    </w:p>
    <w:p>
      <w:pPr>
        <w:ind w:firstLine="480"/>
      </w:pPr>
      <w:r>
        <w:rPr>
          <w:rFonts w:hint="eastAsia"/>
        </w:rPr>
        <w:t>1、通过观测杯中的沉淀来区分有机肥或生物有机肥中杂质含量：沉淀在杯底浅灰色区是泥沙石；中间区域褐色部分为有机物料等。</w:t>
      </w:r>
    </w:p>
    <w:p>
      <w:pPr>
        <w:ind w:firstLine="480"/>
      </w:pPr>
      <w:r>
        <w:rPr>
          <w:rFonts w:hint="eastAsia"/>
        </w:rPr>
        <w:t>2、通过观察水溶液来区分有机肥或生物有机肥腐熟程度，看肥效：</w:t>
      </w:r>
    </w:p>
    <w:p>
      <w:pPr>
        <w:ind w:firstLine="480"/>
        <w:rPr>
          <w:rFonts w:hint="eastAsia"/>
        </w:rPr>
      </w:pPr>
      <w:r>
        <w:rPr>
          <w:rFonts w:hint="eastAsia"/>
          <w:lang w:eastAsia="zh-CN"/>
        </w:rPr>
        <w:t>（</w:t>
      </w:r>
      <w:r>
        <w:rPr>
          <w:rFonts w:hint="eastAsia"/>
        </w:rPr>
        <w:t>1</w:t>
      </w:r>
      <w:r>
        <w:rPr>
          <w:rFonts w:hint="eastAsia"/>
          <w:lang w:eastAsia="zh-CN"/>
        </w:rPr>
        <w:t>）</w:t>
      </w:r>
      <w:r>
        <w:rPr>
          <w:rFonts w:hint="eastAsia"/>
        </w:rPr>
        <w:t>水溶液颜色越浅肥效越差</w:t>
      </w:r>
      <w:r>
        <w:rPr>
          <w:rFonts w:hint="eastAsia"/>
          <w:lang w:eastAsia="zh-CN"/>
        </w:rPr>
        <w:t>（</w:t>
      </w:r>
      <w:r>
        <w:rPr>
          <w:rFonts w:hint="eastAsia"/>
        </w:rPr>
        <w:t>浅色、浅黄色肥效低；褐色肥效佳</w:t>
      </w:r>
      <w:r>
        <w:rPr>
          <w:rFonts w:hint="eastAsia"/>
          <w:lang w:eastAsia="zh-CN"/>
        </w:rPr>
        <w:t>）</w:t>
      </w:r>
      <w:r>
        <w:rPr>
          <w:rFonts w:hint="eastAsia"/>
        </w:rPr>
        <w:t>；</w:t>
      </w:r>
    </w:p>
    <w:p>
      <w:pPr>
        <w:ind w:firstLine="480"/>
        <w:rPr>
          <w:rFonts w:hint="eastAsia" w:eastAsia="宋体"/>
          <w:lang w:eastAsia="zh-CN"/>
        </w:rPr>
      </w:pPr>
      <w:r>
        <w:rPr>
          <w:rFonts w:hint="eastAsia"/>
          <w:lang w:eastAsia="zh-CN"/>
        </w:rPr>
        <w:t>（</w:t>
      </w:r>
      <w:r>
        <w:rPr>
          <w:rFonts w:hint="eastAsia"/>
        </w:rPr>
        <w:t>2</w:t>
      </w:r>
      <w:r>
        <w:rPr>
          <w:rFonts w:hint="eastAsia"/>
          <w:lang w:eastAsia="zh-CN"/>
        </w:rPr>
        <w:t>）</w:t>
      </w:r>
      <w:r>
        <w:rPr>
          <w:rFonts w:hint="eastAsia"/>
        </w:rPr>
        <w:t>1小时内水溶液完全变褐色说明该有机肥或生物有机肥腐熟过头，肥效有速效无后效，作物生长中后期会脱劲；</w:t>
      </w:r>
    </w:p>
    <w:p>
      <w:pPr>
        <w:ind w:firstLine="480"/>
      </w:pPr>
      <w:r>
        <w:rPr>
          <w:rFonts w:hint="eastAsia"/>
          <w:lang w:eastAsia="zh-CN"/>
        </w:rPr>
        <w:t>（</w:t>
      </w:r>
      <w:r>
        <w:rPr>
          <w:rFonts w:hint="eastAsia"/>
        </w:rPr>
        <w:t>3</w:t>
      </w:r>
      <w:r>
        <w:rPr>
          <w:rFonts w:hint="eastAsia"/>
          <w:lang w:eastAsia="zh-CN"/>
        </w:rPr>
        <w:t>）</w:t>
      </w:r>
      <w:r>
        <w:rPr>
          <w:rFonts w:hint="eastAsia"/>
        </w:rPr>
        <w:t>1天后水溶液变化不大、颜色浅说明该有机肥或生物有机肥肥效差。</w:t>
      </w:r>
    </w:p>
    <w:p>
      <w:pPr>
        <w:ind w:firstLine="480"/>
      </w:pPr>
      <w:r>
        <w:rPr>
          <w:rFonts w:hint="eastAsia"/>
          <w:lang w:eastAsia="zh-CN"/>
        </w:rPr>
        <w:t>（</w:t>
      </w:r>
      <w:r>
        <w:rPr>
          <w:rFonts w:hint="eastAsia"/>
        </w:rPr>
        <w:t>4</w:t>
      </w:r>
      <w:r>
        <w:rPr>
          <w:rFonts w:hint="eastAsia"/>
          <w:lang w:eastAsia="zh-CN"/>
        </w:rPr>
        <w:t>）</w:t>
      </w:r>
      <w:r>
        <w:rPr>
          <w:rFonts w:hint="eastAsia"/>
        </w:rPr>
        <w:t>水溶液慢慢变深1天后完全变成褐色,说明该有机肥或生物有机肥迟速效兼备肥效好。</w:t>
      </w:r>
    </w:p>
    <w:p>
      <w:pPr>
        <w:pStyle w:val="7"/>
      </w:pPr>
      <w:bookmarkStart w:id="993" w:name="_Toc118293361"/>
      <w:bookmarkStart w:id="994" w:name="_Toc19103"/>
      <w:bookmarkStart w:id="995" w:name="_Toc105600290"/>
      <w:bookmarkStart w:id="996" w:name="_Toc117182037"/>
      <w:r>
        <w:rPr>
          <w:rFonts w:hint="eastAsia"/>
          <w:lang w:eastAsia="zh-CN"/>
        </w:rPr>
        <w:t>（</w:t>
      </w:r>
      <w:r>
        <w:rPr>
          <w:rFonts w:hint="eastAsia"/>
          <w:lang w:val="en-US" w:eastAsia="zh-CN"/>
        </w:rPr>
        <w:t>九</w:t>
      </w:r>
      <w:r>
        <w:rPr>
          <w:rFonts w:hint="eastAsia"/>
          <w:lang w:eastAsia="zh-CN"/>
        </w:rPr>
        <w:t>）</w:t>
      </w:r>
      <w:r>
        <w:rPr>
          <w:rFonts w:hint="eastAsia"/>
        </w:rPr>
        <w:t>有机肥的特点</w:t>
      </w:r>
      <w:bookmarkEnd w:id="993"/>
      <w:bookmarkEnd w:id="994"/>
      <w:bookmarkEnd w:id="995"/>
      <w:bookmarkEnd w:id="996"/>
    </w:p>
    <w:p>
      <w:pPr>
        <w:ind w:firstLine="482"/>
        <w:rPr>
          <w:b/>
          <w:bCs/>
        </w:rPr>
      </w:pPr>
      <w:r>
        <w:rPr>
          <w:rFonts w:hint="eastAsia"/>
          <w:b/>
          <w:bCs/>
          <w:lang w:eastAsia="zh-CN"/>
        </w:rPr>
        <w:t>（</w:t>
      </w:r>
      <w:r>
        <w:rPr>
          <w:rFonts w:hint="eastAsia"/>
          <w:b/>
          <w:bCs/>
          <w:lang w:val="en-US" w:eastAsia="zh-CN"/>
        </w:rPr>
        <w:t>一</w:t>
      </w:r>
      <w:r>
        <w:rPr>
          <w:rFonts w:hint="eastAsia"/>
          <w:b/>
          <w:bCs/>
          <w:lang w:eastAsia="zh-CN"/>
        </w:rPr>
        <w:t>）</w:t>
      </w:r>
      <w:r>
        <w:rPr>
          <w:rFonts w:hint="eastAsia"/>
          <w:b/>
          <w:bCs/>
        </w:rPr>
        <w:t>国家政策</w:t>
      </w:r>
    </w:p>
    <w:p>
      <w:pPr>
        <w:ind w:firstLine="480"/>
      </w:pPr>
      <w:r>
        <w:rPr>
          <w:rFonts w:hint="eastAsia"/>
        </w:rPr>
        <w:t>1、十八大首次提出生态文明建设。</w:t>
      </w:r>
    </w:p>
    <w:p>
      <w:pPr>
        <w:ind w:firstLine="480"/>
      </w:pPr>
      <w:r>
        <w:rPr>
          <w:rFonts w:hint="eastAsia"/>
        </w:rPr>
        <w:t>2、十八届三中全会提出加快生态文明制度建设，实行最严格的源头保护制度、损害赔偿制度、责任追究制度，完善环境治理和生态修复制度，用制度保护生态环境。</w:t>
      </w:r>
    </w:p>
    <w:p>
      <w:pPr>
        <w:ind w:firstLine="480"/>
        <w:rPr>
          <w:rFonts w:hint="eastAsia" w:eastAsia="宋体"/>
          <w:lang w:eastAsia="zh-CN"/>
        </w:rPr>
      </w:pPr>
      <w:r>
        <w:rPr>
          <w:rFonts w:hint="eastAsia"/>
        </w:rPr>
        <w:t>3、中央1号文件第14条：促进生态友好型农业发展。落实最严格环境保护制度，大力推进秸秆还田综合利用，加快实施土壤有机质提升补贴项目，加大农业面源污染防治力度，支持高效肥和低残留农药使用、规模养殖场畜禽粪便资源化利用、新型农业经营主体使用有机肥、推广高标准农膜和残膜回收等试点。</w:t>
      </w:r>
    </w:p>
    <w:p>
      <w:pPr>
        <w:ind w:firstLine="482"/>
        <w:rPr>
          <w:b/>
          <w:bCs/>
        </w:rPr>
      </w:pPr>
      <w:r>
        <w:rPr>
          <w:rFonts w:hint="eastAsia"/>
          <w:b/>
          <w:bCs/>
          <w:lang w:eastAsia="zh-CN"/>
        </w:rPr>
        <w:t>（</w:t>
      </w:r>
      <w:r>
        <w:rPr>
          <w:rFonts w:hint="eastAsia"/>
          <w:b/>
          <w:bCs/>
          <w:lang w:val="en-US" w:eastAsia="zh-CN"/>
        </w:rPr>
        <w:t>二</w:t>
      </w:r>
      <w:r>
        <w:rPr>
          <w:rFonts w:hint="eastAsia"/>
          <w:b/>
          <w:bCs/>
          <w:lang w:eastAsia="zh-CN"/>
        </w:rPr>
        <w:t>）</w:t>
      </w:r>
      <w:r>
        <w:rPr>
          <w:rFonts w:hint="eastAsia"/>
          <w:b/>
          <w:bCs/>
        </w:rPr>
        <w:t>生物有机肥的组成</w:t>
      </w:r>
    </w:p>
    <w:p>
      <w:pPr>
        <w:ind w:firstLine="480"/>
      </w:pPr>
      <w:r>
        <w:rPr>
          <w:rFonts w:hint="eastAsia"/>
        </w:rPr>
        <w:t>1、光合菌群（好气性和嫌气性）</w:t>
      </w:r>
    </w:p>
    <w:p>
      <w:pPr>
        <w:ind w:firstLine="480"/>
      </w:pPr>
      <w:r>
        <w:rPr>
          <w:rFonts w:hint="eastAsia"/>
        </w:rPr>
        <w:t>菌体本身含60%以上的蛋白质，且富含多种维生素，特别是维生素B12、叶酸、生物素的含量是酵母的几千倍，还含有辅酶Q10（脂溶性抗氧化剂），抗病毒物质和促进生长因子；</w:t>
      </w:r>
    </w:p>
    <w:p>
      <w:pPr>
        <w:ind w:firstLine="480"/>
      </w:pPr>
      <w:r>
        <w:rPr>
          <w:rFonts w:hint="eastAsia"/>
        </w:rPr>
        <w:t>它以土壤接受的光和热为能源，将土壤中的硫氢和碳氢化合物中的氢分离出来，变有害物质为无害物质，并以植物根部的分泌物、有机物、有害气体（硫化氢等）及二氧化碳、氮等为基质，合成糖类、氨基酸类、维生素类、氮素化合物、抗病毒物质和生理活性物质等，是肥沃土壤和促进动植物生长的主力部队。</w:t>
      </w:r>
    </w:p>
    <w:p>
      <w:pPr>
        <w:ind w:firstLine="480"/>
        <w:rPr>
          <w:rFonts w:hint="eastAsia" w:eastAsia="宋体"/>
          <w:lang w:eastAsia="zh-CN"/>
        </w:rPr>
      </w:pPr>
      <w:r>
        <w:rPr>
          <w:rFonts w:hint="eastAsia"/>
        </w:rPr>
        <w:t>光合菌群的代谢物质能被植物直接吸收，还能成为其它微生物繁殖的养份。光合细菌如果增殖，其它的有益微生物也会增殖。例如：VA菌根菌以光合菌分泌的氨基酸为食饵，它有能力把植物根不吸收的不溶性磷提供给植物，又能与固氮菌共生，固氮能力成倍提高。</w:t>
      </w:r>
    </w:p>
    <w:p>
      <w:pPr>
        <w:ind w:firstLine="480"/>
      </w:pPr>
      <w:r>
        <w:rPr>
          <w:rFonts w:hint="eastAsia"/>
        </w:rPr>
        <w:t>２．乳酸菌群（嫌气性）</w:t>
      </w:r>
    </w:p>
    <w:p>
      <w:pPr>
        <w:ind w:firstLine="480"/>
      </w:pPr>
      <w:r>
        <w:rPr>
          <w:rFonts w:hint="eastAsia"/>
        </w:rPr>
        <w:t>乳酸菌是一类能从可发酵碳水化合物（主要指葡萄糖）产生大量乳酸的细菌的统称，目前已发现的这一类菌在细菌分类学上至少包括18个属，主要有：乳酸杆菌属，双歧杆菌属,链球菌属、明串珠球菌属、肠球菌属、乳球菌属、肉食杆菌属、奇异菌属、片球菌属、气球菌属、漫游球菌属、李斯特氏菌属、芽孢乳杆菌属、芽孢杆菌属中的少数种、环丝菌属、丹毒丝菌属、孪生菌属和糖球菌属等都具有降解亚硝酸盐的作用。以嗜酸乳杆菌为主导。它靠摄取光合细菌、酵母菌产生的糖类形成乳酸。乳酸具有很强的杀菌能力，能有效抑制有害微生物的活动和有机物的急剧腐败分解。乳酸菌能够分解在常态下不易分解的木质素和纤维素，并使有机物发酵分解。乳酸菌还能够抑制连作障碍产生的致病菌增殖。致病菌活跃，有害线虫会急剧增加，植物就会衰弱，乳酸菌抑制了致病菌，有害线虫便会逐渐消失。　　乳酸菌绝大多数都是厌氧菌或兼性厌氧的化能营养菌，革兰氏阳性。生长繁殖于厌氧或微好氧、矿物质和有机营养物丰富的微酸性环境中。污水、发酵生产（如青贮饲料、果酒啤酒、泡菜、酱油、酸奶、干酪）培养物、动物消化道等乳酸菌含量较高。小牛胃和上部肠道中乳酸菌占优势，从牛乳喂养的小牛胃液中分离乳酸乳杆菌、发酵乳杆菌，而小牛瘤胃中主要是嗜酸乳杆菌，发酵乳杆菌则是粘附在柱状上皮细胞的主要乳杆菌。</w:t>
      </w:r>
    </w:p>
    <w:p>
      <w:pPr>
        <w:ind w:firstLine="480"/>
      </w:pPr>
      <w:r>
        <w:rPr>
          <w:rFonts w:hint="eastAsia"/>
        </w:rPr>
        <w:t>３、酵母菌群（好气性）</w:t>
      </w:r>
    </w:p>
    <w:p>
      <w:pPr>
        <w:ind w:firstLine="480"/>
        <w:rPr>
          <w:rFonts w:hint="eastAsia" w:eastAsia="宋体"/>
          <w:lang w:eastAsia="zh-CN"/>
        </w:rPr>
      </w:pPr>
      <w:r>
        <w:rPr>
          <w:rFonts w:hint="eastAsia"/>
        </w:rPr>
        <w:t>们几乎天天都在享受着酵母菌的好处。因为我们每天吃的面包和馒头就是有酵母菌的参与制成的；我们喝的啤酒，也离不开酵母菌的贡献，酵母菌是人类实践中应用比较早的一类微生物，我国古代劳动人民就利用酵母菌酿酒；酵母菌的细胞里含有丰富的蛋白质和维生素，所以也可以做成高级营养品添加到食品中，或用作饲养动物的高级饲料。酵母菌在自然界中分布很广，尤其喜欢在偏酸性且含糖较多的环境中生长，例如，在水果、蔬菜、花蜜的表面和在果园土壤中最为常见。它利用植物根部产生的分泌物、光合菌合成的氨基酸、糖类及其它有机物质产生发酵力，合成促进根系生长及细胞分裂的活性化物质。酵母菌在ＥＭ中对于促进其它有效微生物（如乳酸菌、放线菌）增殖所需要的基质（食物）提供重要的给养保障。此外，酵母菌产生的单细胞蛋白是动物不可缺少的养分。</w:t>
      </w:r>
    </w:p>
    <w:p>
      <w:pPr>
        <w:ind w:firstLine="480"/>
      </w:pPr>
      <w:r>
        <w:rPr>
          <w:rFonts w:hint="eastAsia"/>
        </w:rPr>
        <w:t>４</w:t>
      </w:r>
      <w:r>
        <w:rPr>
          <w:rFonts w:hint="eastAsia"/>
          <w:lang w:eastAsia="zh-CN"/>
        </w:rPr>
        <w:t>、</w:t>
      </w:r>
      <w:r>
        <w:rPr>
          <w:rFonts w:hint="eastAsia"/>
        </w:rPr>
        <w:t>革兰氏阳性放线菌群（好气性）</w:t>
      </w:r>
    </w:p>
    <w:p>
      <w:pPr>
        <w:ind w:firstLine="480"/>
        <w:rPr>
          <w:rFonts w:hint="eastAsia" w:eastAsia="宋体"/>
          <w:lang w:eastAsia="zh-CN"/>
        </w:rPr>
      </w:pPr>
      <w:r>
        <w:rPr>
          <w:rFonts w:hint="eastAsia"/>
        </w:rPr>
        <w:t>它从光合细菌中获取氨基酸、氮素等作为基质，产生出各种抗生物质（药用抗生素的来源）、维生素及酶，可以直接抑制病原菌。它提前获取有害霉菌和细菌增殖所需要的基质，从而抑制它们的增殖，并创造出其它有益微生物增殖的生存环境。放线菌和光合细菌混合后的净菌作用比放线菌单兵作战的杀伤力要大得多。它对难分解的物质，如木质素、纤维素、甲壳素等具有降解作用，并容易被动植物吸收，增强动植物对各种病害的抵抗力和免疫力。放线菌也会促进固氮菌和ＶＡ菌根菌增殖。</w:t>
      </w:r>
    </w:p>
    <w:p>
      <w:pPr>
        <w:ind w:firstLine="480"/>
      </w:pPr>
      <w:r>
        <w:rPr>
          <w:rFonts w:hint="eastAsia"/>
        </w:rPr>
        <w:t>５</w:t>
      </w:r>
      <w:r>
        <w:rPr>
          <w:rFonts w:hint="eastAsia"/>
          <w:lang w:eastAsia="zh-CN"/>
        </w:rPr>
        <w:t>、</w:t>
      </w:r>
      <w:r>
        <w:rPr>
          <w:rFonts w:hint="eastAsia"/>
        </w:rPr>
        <w:t>发酵系的丝状菌群（嫌气性）</w:t>
      </w:r>
    </w:p>
    <w:p>
      <w:pPr>
        <w:ind w:firstLine="480"/>
        <w:rPr>
          <w:rFonts w:hint="eastAsia" w:eastAsia="宋体"/>
          <w:lang w:eastAsia="zh-CN"/>
        </w:rPr>
      </w:pPr>
      <w:r>
        <w:rPr>
          <w:rFonts w:hint="eastAsia"/>
        </w:rPr>
        <w:t>以发酵酒精时使用的曲霉菌属为主体，它能和其他微生物共存，尤其对土壤中酯的生成有良好效果。因为酒精生成力强，能防止蛆和其他害虫的发生，并可以消除恶臭。</w:t>
      </w:r>
    </w:p>
    <w:p>
      <w:pPr>
        <w:ind w:firstLine="480"/>
        <w:rPr>
          <w:rFonts w:hint="eastAsia" w:eastAsia="宋体"/>
          <w:lang w:eastAsia="zh-CN"/>
        </w:rPr>
      </w:pPr>
      <w:r>
        <w:rPr>
          <w:rFonts w:hint="eastAsia"/>
        </w:rPr>
        <w:t>如果说长白霉霉的霉豆腐（臭豆腐）发酵菌大家就不陌生了，它是将动植物残体（病菌、害虫）中的蛋白质发酵分解成氨基酸的发酵菌，蛋白质分解中产生硫化氢、二氧化硫等恶臭刺激物质，也产生胺类物质，容易和亚硝酸盐合成致癌物质亚硝胺，所以，不可把臭豆腐和蜡制品、洗澡泡茶同食。</w:t>
      </w:r>
    </w:p>
    <w:p>
      <w:pPr>
        <w:ind w:firstLine="480"/>
      </w:pPr>
      <w:r>
        <w:rPr>
          <w:rFonts w:hint="eastAsia"/>
        </w:rPr>
        <w:t>生物功能菌（EM）之间的相互关系</w:t>
      </w:r>
    </w:p>
    <w:p>
      <w:pPr>
        <w:ind w:firstLine="480"/>
      </w:pPr>
      <w:r>
        <w:rPr>
          <w:rFonts w:hint="eastAsia"/>
        </w:rPr>
        <w:t>各类微生物都各自发挥着重要作用，核心作用是光合细菌，它的合成作用从根本上支撑着其他微生物的活动，同时也利用其他微生物产生的物质，形成共生共荣的关系，保证EM菌稳定，功能齐全，发挥出集团军作战的强大能量。EM菌原液的基本功能是造就良性生态。只要恰当施用，它就会迅速与所到之处的良性力量结合，产生抗氧化物质，消除腐败，清除氧化物质，抑制病原菌，增强或形成适于动植物生长的良好环境，并产生大量易为动植物吸收的物质：如氨基酸、有机酸、多醣类、各种维生素、各种生化酶、促生长因子、抗生素和抗病毒物质等，提高动植物的免疫功能，促进健康生长，从而达到改良生长环境（生态）、减轻劳动、降低成本、提高产量、改良品质，使人们吃（用）上无污染的高质量产品，提高全社会的生产水平和生活质量。</w:t>
      </w:r>
    </w:p>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金山简黑体">
    <w:altName w:val="宋体"/>
    <w:panose1 w:val="00000000000000000000"/>
    <w:charset w:val="00"/>
    <w:family w:val="auto"/>
    <w:pitch w:val="default"/>
    <w:sig w:usb0="00000000" w:usb1="00000000" w:usb2="00000000" w:usb3="00000000" w:csb0="00040001" w:csb1="00000000"/>
  </w:font>
  <w:font w:name="Calibri Light">
    <w:panose1 w:val="020F0302020204030204"/>
    <w:charset w:val="00"/>
    <w:family w:val="auto"/>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rPr>
        <w:sz w:val="18"/>
      </w:rPr>
      <mc:AlternateContent>
        <mc:Choice Requires="wps">
          <w:drawing>
            <wp:anchor distT="0" distB="0" distL="114300" distR="114300" simplePos="0" relativeHeight="251660288" behindDoc="0" locked="0" layoutInCell="1" allowOverlap="1">
              <wp:simplePos x="0" y="0"/>
              <wp:positionH relativeFrom="margin">
                <wp:posOffset>2191385</wp:posOffset>
              </wp:positionH>
              <wp:positionV relativeFrom="paragraph">
                <wp:posOffset>0</wp:posOffset>
              </wp:positionV>
              <wp:extent cx="856615" cy="291465"/>
              <wp:effectExtent l="0" t="0" r="0" b="0"/>
              <wp:wrapNone/>
              <wp:docPr id="1" name="文本框 1"/>
              <wp:cNvGraphicFramePr/>
              <a:graphic xmlns:a="http://schemas.openxmlformats.org/drawingml/2006/main">
                <a:graphicData uri="http://schemas.microsoft.com/office/word/2010/wordprocessingShape">
                  <wps:wsp>
                    <wps:cNvSpPr txBox="1"/>
                    <wps:spPr>
                      <a:xfrm>
                        <a:off x="0" y="0"/>
                        <a:ext cx="856615"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r>
                            <w:rPr>
                              <w:rFonts w:hint="eastAsia" w:ascii="微软雅黑" w:hAnsi="微软雅黑" w:eastAsia="微软雅黑" w:cs="微软雅黑"/>
                              <w:b/>
                              <w:bCs/>
                              <w:sz w:val="21"/>
                              <w:szCs w:val="21"/>
                            </w:rPr>
                            <w:fldChar w:fldCharType="begin"/>
                          </w:r>
                          <w:r>
                            <w:rPr>
                              <w:rFonts w:hint="eastAsia" w:ascii="微软雅黑" w:hAnsi="微软雅黑" w:eastAsia="微软雅黑" w:cs="微软雅黑"/>
                              <w:b/>
                              <w:bCs/>
                              <w:sz w:val="21"/>
                              <w:szCs w:val="21"/>
                            </w:rPr>
                            <w:instrText xml:space="preserve"> PAGE  \* MERGEFORMAT </w:instrText>
                          </w:r>
                          <w:r>
                            <w:rPr>
                              <w:rFonts w:hint="eastAsia" w:ascii="微软雅黑" w:hAnsi="微软雅黑" w:eastAsia="微软雅黑" w:cs="微软雅黑"/>
                              <w:b/>
                              <w:bCs/>
                              <w:sz w:val="21"/>
                              <w:szCs w:val="21"/>
                            </w:rPr>
                            <w:fldChar w:fldCharType="separate"/>
                          </w:r>
                          <w:r>
                            <w:rPr>
                              <w:rFonts w:hint="eastAsia" w:ascii="微软雅黑" w:hAnsi="微软雅黑" w:eastAsia="微软雅黑" w:cs="微软雅黑"/>
                              <w:b/>
                              <w:bCs/>
                              <w:sz w:val="21"/>
                              <w:szCs w:val="21"/>
                            </w:rPr>
                            <w:t>1</w:t>
                          </w:r>
                          <w:r>
                            <w:rPr>
                              <w:rFonts w:hint="eastAsia" w:ascii="微软雅黑" w:hAnsi="微软雅黑" w:eastAsia="微软雅黑" w:cs="微软雅黑"/>
                              <w:b/>
                              <w:bCs/>
                              <w:sz w:val="21"/>
                              <w:szCs w:val="21"/>
                            </w:rPr>
                            <w:fldChar w:fldCharType="end"/>
                          </w:r>
                          <w:r>
                            <w:rPr>
                              <w:rFonts w:hint="eastAsia" w:ascii="微软雅黑" w:hAnsi="微软雅黑" w:eastAsia="微软雅黑" w:cs="微软雅黑"/>
                              <w:b/>
                              <w:bCs/>
                              <w:sz w:val="21"/>
                              <w:szCs w:val="21"/>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72.55pt;margin-top:0pt;height:22.95pt;width:67.45pt;mso-position-horizontal-relative:margin;z-index:251660288;mso-width-relative:page;mso-height-relative:page;" filled="f" stroked="f" coordsize="21600,21600" o:gfxdata="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ukL0J1QAAAAcBAAAP&#10;AAAAAAAAAAEAIAAAACIAAABkcnMvZG93bnJldi54bWxQSwECFAAUAAAACACHTuJAVohOZBsCAAAT&#10;BAAADgAAAAAAAAABACAAAAAkAQAAZHJzL2Uyb0RvYy54bWxQSwUGAAAAAAYABgBZAQAAsQUAAAAA&#10;">
              <v:fill on="f" focussize="0,0"/>
              <v:stroke on="f" weight="0.5pt"/>
              <v:imagedata o:title=""/>
              <o:lock v:ext="edit" aspectratio="f"/>
              <v:textbox inset="0mm,0mm,0mm,0mm">
                <w:txbxContent>
                  <w:p>
                    <w:pPr>
                      <w:pStyle w:val="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r>
                      <w:rPr>
                        <w:rFonts w:hint="eastAsia" w:ascii="微软雅黑" w:hAnsi="微软雅黑" w:eastAsia="微软雅黑" w:cs="微软雅黑"/>
                        <w:b/>
                        <w:bCs/>
                        <w:sz w:val="21"/>
                        <w:szCs w:val="21"/>
                      </w:rPr>
                      <w:fldChar w:fldCharType="begin"/>
                    </w:r>
                    <w:r>
                      <w:rPr>
                        <w:rFonts w:hint="eastAsia" w:ascii="微软雅黑" w:hAnsi="微软雅黑" w:eastAsia="微软雅黑" w:cs="微软雅黑"/>
                        <w:b/>
                        <w:bCs/>
                        <w:sz w:val="21"/>
                        <w:szCs w:val="21"/>
                      </w:rPr>
                      <w:instrText xml:space="preserve"> PAGE  \* MERGEFORMAT </w:instrText>
                    </w:r>
                    <w:r>
                      <w:rPr>
                        <w:rFonts w:hint="eastAsia" w:ascii="微软雅黑" w:hAnsi="微软雅黑" w:eastAsia="微软雅黑" w:cs="微软雅黑"/>
                        <w:b/>
                        <w:bCs/>
                        <w:sz w:val="21"/>
                        <w:szCs w:val="21"/>
                      </w:rPr>
                      <w:fldChar w:fldCharType="separate"/>
                    </w:r>
                    <w:r>
                      <w:rPr>
                        <w:rFonts w:hint="eastAsia" w:ascii="微软雅黑" w:hAnsi="微软雅黑" w:eastAsia="微软雅黑" w:cs="微软雅黑"/>
                        <w:b/>
                        <w:bCs/>
                        <w:sz w:val="21"/>
                        <w:szCs w:val="21"/>
                      </w:rPr>
                      <w:t>1</w:t>
                    </w:r>
                    <w:r>
                      <w:rPr>
                        <w:rFonts w:hint="eastAsia" w:ascii="微软雅黑" w:hAnsi="微软雅黑" w:eastAsia="微软雅黑" w:cs="微软雅黑"/>
                        <w:b/>
                        <w:bCs/>
                        <w:sz w:val="21"/>
                        <w:szCs w:val="21"/>
                      </w:rPr>
                      <w:fldChar w:fldCharType="end"/>
                    </w:r>
                    <w:r>
                      <w:rPr>
                        <w:rFonts w:hint="eastAsia" w:ascii="微软雅黑" w:hAnsi="微软雅黑" w:eastAsia="微软雅黑" w:cs="微软雅黑"/>
                        <w:b/>
                        <w:bCs/>
                        <w:sz w:val="21"/>
                        <w:szCs w:val="21"/>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NmMDhmNDExYzBmNzg4ZGY3YmVmNzYwNTk3MjhkZmQifQ=="/>
    <w:docVar w:name="KSO_WPS_MARK_KEY" w:val="8fdfdf04-0dcd-41aa-a8da-c1fdfc6be9d1"/>
  </w:docVars>
  <w:rsids>
    <w:rsidRoot w:val="1BC85FF8"/>
    <w:rsid w:val="00910FA2"/>
    <w:rsid w:val="00FC3E1B"/>
    <w:rsid w:val="014F404B"/>
    <w:rsid w:val="024E6EB6"/>
    <w:rsid w:val="03811713"/>
    <w:rsid w:val="03E43571"/>
    <w:rsid w:val="04424414"/>
    <w:rsid w:val="05BA2E38"/>
    <w:rsid w:val="05FD48BE"/>
    <w:rsid w:val="075065BC"/>
    <w:rsid w:val="08736C32"/>
    <w:rsid w:val="08A96637"/>
    <w:rsid w:val="093A00EE"/>
    <w:rsid w:val="0AE8227E"/>
    <w:rsid w:val="0C041E9F"/>
    <w:rsid w:val="0C537AC8"/>
    <w:rsid w:val="0D8A5CA2"/>
    <w:rsid w:val="0E016E25"/>
    <w:rsid w:val="0EC67C6C"/>
    <w:rsid w:val="1191621B"/>
    <w:rsid w:val="139F68B0"/>
    <w:rsid w:val="13AB6A60"/>
    <w:rsid w:val="13D31F69"/>
    <w:rsid w:val="15BF7EE5"/>
    <w:rsid w:val="163A4B5C"/>
    <w:rsid w:val="166F3FC7"/>
    <w:rsid w:val="16745F63"/>
    <w:rsid w:val="170E3655"/>
    <w:rsid w:val="18AA1406"/>
    <w:rsid w:val="19213995"/>
    <w:rsid w:val="1BC85FF8"/>
    <w:rsid w:val="1C3760EC"/>
    <w:rsid w:val="1DD05E75"/>
    <w:rsid w:val="1FD8624A"/>
    <w:rsid w:val="20EE3329"/>
    <w:rsid w:val="231F4C56"/>
    <w:rsid w:val="249B157C"/>
    <w:rsid w:val="252C5F97"/>
    <w:rsid w:val="25A06C3F"/>
    <w:rsid w:val="25C42A83"/>
    <w:rsid w:val="26EE63F9"/>
    <w:rsid w:val="27A9199E"/>
    <w:rsid w:val="27EB6814"/>
    <w:rsid w:val="28353E58"/>
    <w:rsid w:val="28E76302"/>
    <w:rsid w:val="28E834D8"/>
    <w:rsid w:val="2A1118C9"/>
    <w:rsid w:val="2AAA2228"/>
    <w:rsid w:val="2C1920FB"/>
    <w:rsid w:val="2DB87198"/>
    <w:rsid w:val="2DFF5C06"/>
    <w:rsid w:val="34545741"/>
    <w:rsid w:val="34731B62"/>
    <w:rsid w:val="3680088D"/>
    <w:rsid w:val="377000CB"/>
    <w:rsid w:val="38C418F2"/>
    <w:rsid w:val="3A053EAE"/>
    <w:rsid w:val="3DAD25BB"/>
    <w:rsid w:val="3EFB090C"/>
    <w:rsid w:val="3F0664B0"/>
    <w:rsid w:val="3F7946DE"/>
    <w:rsid w:val="41866BDE"/>
    <w:rsid w:val="42827D14"/>
    <w:rsid w:val="433B509A"/>
    <w:rsid w:val="443F03A3"/>
    <w:rsid w:val="45225DE1"/>
    <w:rsid w:val="45967968"/>
    <w:rsid w:val="46C545BE"/>
    <w:rsid w:val="46EA1DF4"/>
    <w:rsid w:val="478307DD"/>
    <w:rsid w:val="478657BA"/>
    <w:rsid w:val="48297CB1"/>
    <w:rsid w:val="483E6A43"/>
    <w:rsid w:val="49514ED8"/>
    <w:rsid w:val="4A7F685E"/>
    <w:rsid w:val="4C8A18A8"/>
    <w:rsid w:val="4E003967"/>
    <w:rsid w:val="4F28601D"/>
    <w:rsid w:val="50265D8C"/>
    <w:rsid w:val="511D718F"/>
    <w:rsid w:val="521A1920"/>
    <w:rsid w:val="59165E75"/>
    <w:rsid w:val="59637709"/>
    <w:rsid w:val="59E761E8"/>
    <w:rsid w:val="5B0B0058"/>
    <w:rsid w:val="5B7E2152"/>
    <w:rsid w:val="5CE45005"/>
    <w:rsid w:val="5E0F3800"/>
    <w:rsid w:val="5F1B576B"/>
    <w:rsid w:val="607466A0"/>
    <w:rsid w:val="61D70C94"/>
    <w:rsid w:val="6350490B"/>
    <w:rsid w:val="653C09CD"/>
    <w:rsid w:val="65D4746D"/>
    <w:rsid w:val="67396A50"/>
    <w:rsid w:val="67415D45"/>
    <w:rsid w:val="67BA52E0"/>
    <w:rsid w:val="684B5F38"/>
    <w:rsid w:val="6A132A85"/>
    <w:rsid w:val="6A516D7C"/>
    <w:rsid w:val="6B352872"/>
    <w:rsid w:val="6B476B88"/>
    <w:rsid w:val="6B9068A7"/>
    <w:rsid w:val="6BE6415D"/>
    <w:rsid w:val="6CE028AE"/>
    <w:rsid w:val="6F60676D"/>
    <w:rsid w:val="6FF53135"/>
    <w:rsid w:val="7161022F"/>
    <w:rsid w:val="719E6674"/>
    <w:rsid w:val="72A9042B"/>
    <w:rsid w:val="72E66744"/>
    <w:rsid w:val="73E26C2E"/>
    <w:rsid w:val="74462D51"/>
    <w:rsid w:val="75001604"/>
    <w:rsid w:val="766B67EF"/>
    <w:rsid w:val="79643F46"/>
    <w:rsid w:val="7BC218F8"/>
    <w:rsid w:val="7C573C11"/>
    <w:rsid w:val="7D235240"/>
    <w:rsid w:val="7DE77FC3"/>
    <w:rsid w:val="7F6277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480" w:lineRule="auto"/>
      <w:jc w:val="both"/>
    </w:pPr>
    <w:rPr>
      <w:rFonts w:ascii="Times New Roman" w:hAnsi="Times New Roman" w:eastAsia="宋体" w:cs="Times New Roman"/>
      <w:kern w:val="2"/>
      <w:sz w:val="28"/>
      <w:szCs w:val="24"/>
      <w:lang w:val="en-US" w:eastAsia="zh-CN" w:bidi="ar-SA"/>
    </w:rPr>
  </w:style>
  <w:style w:type="paragraph" w:styleId="3">
    <w:name w:val="heading 1"/>
    <w:basedOn w:val="1"/>
    <w:next w:val="1"/>
    <w:link w:val="37"/>
    <w:qFormat/>
    <w:uiPriority w:val="0"/>
    <w:pPr>
      <w:keepNext/>
      <w:keepLines/>
      <w:adjustRightInd w:val="0"/>
      <w:snapToGrid w:val="0"/>
      <w:spacing w:line="480" w:lineRule="auto"/>
      <w:ind w:left="0" w:firstLine="0"/>
      <w:jc w:val="center"/>
      <w:outlineLvl w:val="0"/>
    </w:pPr>
    <w:rPr>
      <w:rFonts w:ascii="Times New Roman" w:hAnsi="Times New Roman" w:eastAsia="微软雅黑"/>
      <w:b/>
      <w:bCs/>
      <w:kern w:val="44"/>
      <w:sz w:val="44"/>
      <w:szCs w:val="44"/>
    </w:rPr>
  </w:style>
  <w:style w:type="paragraph" w:styleId="4">
    <w:name w:val="heading 2"/>
    <w:basedOn w:val="1"/>
    <w:next w:val="1"/>
    <w:link w:val="40"/>
    <w:unhideWhenUsed/>
    <w:qFormat/>
    <w:uiPriority w:val="0"/>
    <w:pPr>
      <w:keepNext/>
      <w:keepLines/>
      <w:snapToGrid w:val="0"/>
      <w:spacing w:line="480" w:lineRule="auto"/>
      <w:ind w:left="0" w:firstLine="0"/>
      <w:jc w:val="center"/>
      <w:outlineLvl w:val="1"/>
    </w:pPr>
    <w:rPr>
      <w:rFonts w:ascii="Cambria" w:hAnsi="Cambria" w:eastAsia="微软雅黑"/>
      <w:b/>
      <w:bCs/>
      <w:sz w:val="36"/>
      <w:szCs w:val="32"/>
    </w:rPr>
  </w:style>
  <w:style w:type="paragraph" w:styleId="5">
    <w:name w:val="heading 3"/>
    <w:basedOn w:val="1"/>
    <w:next w:val="1"/>
    <w:link w:val="41"/>
    <w:unhideWhenUsed/>
    <w:qFormat/>
    <w:uiPriority w:val="0"/>
    <w:pPr>
      <w:keepNext/>
      <w:keepLines/>
      <w:adjustRightInd w:val="0"/>
      <w:snapToGrid w:val="0"/>
      <w:spacing w:line="480" w:lineRule="auto"/>
      <w:jc w:val="center"/>
      <w:outlineLvl w:val="2"/>
    </w:pPr>
    <w:rPr>
      <w:rFonts w:ascii="Times New Roman" w:hAnsi="Times New Roman" w:eastAsia="微软雅黑" w:cs="Times New Roman"/>
      <w:b/>
      <w:bCs/>
      <w:sz w:val="32"/>
      <w:szCs w:val="32"/>
    </w:rPr>
  </w:style>
  <w:style w:type="paragraph" w:styleId="6">
    <w:name w:val="heading 4"/>
    <w:basedOn w:val="1"/>
    <w:next w:val="1"/>
    <w:link w:val="38"/>
    <w:unhideWhenUsed/>
    <w:qFormat/>
    <w:uiPriority w:val="0"/>
    <w:pPr>
      <w:keepNext/>
      <w:keepLines/>
      <w:adjustRightInd w:val="0"/>
      <w:snapToGrid w:val="0"/>
      <w:spacing w:line="480" w:lineRule="auto"/>
      <w:ind w:left="0"/>
      <w:jc w:val="center"/>
      <w:outlineLvl w:val="3"/>
    </w:pPr>
    <w:rPr>
      <w:rFonts w:ascii="Cambria" w:hAnsi="Cambria" w:eastAsia="微软雅黑" w:cs="Times New Roman"/>
      <w:b/>
      <w:bCs/>
      <w:sz w:val="28"/>
      <w:szCs w:val="28"/>
    </w:rPr>
  </w:style>
  <w:style w:type="paragraph" w:styleId="7">
    <w:name w:val="heading 5"/>
    <w:basedOn w:val="1"/>
    <w:next w:val="1"/>
    <w:link w:val="42"/>
    <w:unhideWhenUsed/>
    <w:qFormat/>
    <w:uiPriority w:val="0"/>
    <w:pPr>
      <w:keepNext/>
      <w:keepLines/>
      <w:snapToGrid w:val="0"/>
      <w:spacing w:line="480" w:lineRule="auto"/>
      <w:jc w:val="center"/>
      <w:outlineLvl w:val="4"/>
    </w:pPr>
    <w:rPr>
      <w:rFonts w:ascii="Times New Roman" w:hAnsi="Times New Roman" w:eastAsia="微软雅黑"/>
      <w:b/>
      <w:bCs/>
      <w:kern w:val="0"/>
      <w:sz w:val="28"/>
      <w:szCs w:val="28"/>
    </w:rPr>
  </w:style>
  <w:style w:type="paragraph" w:styleId="8">
    <w:name w:val="heading 6"/>
    <w:basedOn w:val="1"/>
    <w:next w:val="1"/>
    <w:link w:val="39"/>
    <w:unhideWhenUsed/>
    <w:qFormat/>
    <w:uiPriority w:val="0"/>
    <w:pPr>
      <w:keepNext/>
      <w:keepLines/>
      <w:adjustRightInd w:val="0"/>
      <w:snapToGrid w:val="0"/>
      <w:spacing w:line="480" w:lineRule="auto"/>
      <w:jc w:val="center"/>
      <w:outlineLvl w:val="5"/>
    </w:pPr>
    <w:rPr>
      <w:rFonts w:ascii="Cambria" w:hAnsi="Cambria" w:eastAsia="微软雅黑"/>
      <w:b/>
      <w:bCs/>
    </w:rPr>
  </w:style>
  <w:style w:type="paragraph" w:styleId="9">
    <w:name w:val="heading 7"/>
    <w:basedOn w:val="1"/>
    <w:next w:val="1"/>
    <w:link w:val="46"/>
    <w:unhideWhenUsed/>
    <w:qFormat/>
    <w:uiPriority w:val="0"/>
    <w:pPr>
      <w:keepNext/>
      <w:keepLines/>
      <w:snapToGrid w:val="0"/>
      <w:spacing w:beforeLines="0" w:beforeAutospacing="0" w:afterLines="0" w:afterAutospacing="0" w:line="480" w:lineRule="auto"/>
      <w:jc w:val="left"/>
      <w:outlineLvl w:val="6"/>
    </w:pPr>
    <w:rPr>
      <w:rFonts w:ascii="Times New Roman" w:hAnsi="Times New Roman" w:eastAsia="微软雅黑" w:cs="Times New Roman"/>
      <w:b/>
      <w:sz w:val="28"/>
      <w:szCs w:val="24"/>
    </w:rPr>
  </w:style>
  <w:style w:type="paragraph" w:styleId="10">
    <w:name w:val="heading 8"/>
    <w:basedOn w:val="1"/>
    <w:next w:val="1"/>
    <w:unhideWhenUsed/>
    <w:qFormat/>
    <w:uiPriority w:val="0"/>
    <w:pPr>
      <w:keepNext/>
      <w:keepLines/>
      <w:adjustRightInd w:val="0"/>
      <w:snapToGrid w:val="0"/>
      <w:spacing w:beforeLines="0" w:beforeAutospacing="0" w:afterLines="0" w:afterAutospacing="0" w:line="480" w:lineRule="auto"/>
      <w:jc w:val="left"/>
      <w:outlineLvl w:val="7"/>
    </w:pPr>
    <w:rPr>
      <w:rFonts w:ascii="Arial" w:hAnsi="Arial" w:eastAsia="微软雅黑" w:cs="Times New Roman"/>
      <w:b/>
      <w:sz w:val="28"/>
      <w:szCs w:val="24"/>
    </w:rPr>
  </w:style>
  <w:style w:type="character" w:default="1" w:styleId="35">
    <w:name w:val="Default Paragraph Font"/>
    <w:semiHidden/>
    <w:unhideWhenUsed/>
    <w:qFormat/>
    <w:uiPriority w:val="1"/>
  </w:style>
  <w:style w:type="table" w:default="1" w:styleId="33">
    <w:name w:val="Normal Table"/>
    <w:semiHidden/>
    <w:qFormat/>
    <w:uiPriority w:val="0"/>
    <w:tblPr>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spacing w:after="200" w:line="276" w:lineRule="auto"/>
    </w:pPr>
    <w:rPr>
      <w:rFonts w:ascii="宋体" w:hAnsi="Times New Roman" w:eastAsia="宋体" w:cs="宋体"/>
      <w:color w:val="000000"/>
      <w:sz w:val="24"/>
      <w:szCs w:val="24"/>
      <w:lang w:val="en-US" w:eastAsia="zh-CN" w:bidi="ar-SA"/>
    </w:rPr>
  </w:style>
  <w:style w:type="paragraph" w:styleId="11">
    <w:name w:val="toc 7"/>
    <w:basedOn w:val="1"/>
    <w:next w:val="1"/>
    <w:qFormat/>
    <w:uiPriority w:val="0"/>
    <w:pPr>
      <w:adjustRightInd w:val="0"/>
      <w:snapToGrid w:val="0"/>
      <w:spacing w:line="480" w:lineRule="auto"/>
      <w:ind w:left="2520" w:leftChars="1200"/>
    </w:pPr>
    <w:rPr>
      <w:rFonts w:ascii="Times New Roman" w:hAnsi="Times New Roman" w:eastAsia="宋体" w:cs="Times New Roman"/>
      <w:szCs w:val="24"/>
    </w:rPr>
  </w:style>
  <w:style w:type="paragraph" w:styleId="12">
    <w:name w:val="Normal Indent"/>
    <w:basedOn w:val="1"/>
    <w:qFormat/>
    <w:uiPriority w:val="0"/>
    <w:pPr>
      <w:ind w:firstLine="420" w:firstLineChars="200"/>
    </w:pPr>
  </w:style>
  <w:style w:type="paragraph" w:styleId="13">
    <w:name w:val="toa heading"/>
    <w:basedOn w:val="1"/>
    <w:next w:val="1"/>
    <w:unhideWhenUsed/>
    <w:qFormat/>
    <w:uiPriority w:val="99"/>
    <w:pPr>
      <w:spacing w:before="120" w:after="100" w:afterAutospacing="1"/>
    </w:pPr>
    <w:rPr>
      <w:rFonts w:ascii="Arial" w:hAnsi="Arial" w:cs="Arial"/>
      <w:szCs w:val="24"/>
    </w:rPr>
  </w:style>
  <w:style w:type="paragraph" w:styleId="14">
    <w:name w:val="Body Text"/>
    <w:basedOn w:val="1"/>
    <w:next w:val="15"/>
    <w:unhideWhenUsed/>
    <w:qFormat/>
    <w:uiPriority w:val="99"/>
    <w:pPr>
      <w:spacing w:after="120"/>
    </w:pPr>
  </w:style>
  <w:style w:type="paragraph" w:customStyle="1" w:styleId="15">
    <w:name w:val="Body Text 21"/>
    <w:basedOn w:val="1"/>
    <w:qFormat/>
    <w:uiPriority w:val="0"/>
    <w:pPr>
      <w:spacing w:line="500" w:lineRule="exact"/>
    </w:pPr>
    <w:rPr>
      <w:color w:val="000000"/>
      <w:sz w:val="30"/>
    </w:rPr>
  </w:style>
  <w:style w:type="paragraph" w:styleId="16">
    <w:name w:val="Body Text Indent"/>
    <w:basedOn w:val="1"/>
    <w:next w:val="17"/>
    <w:qFormat/>
    <w:uiPriority w:val="0"/>
    <w:pPr>
      <w:spacing w:after="120" w:afterLines="0"/>
      <w:ind w:left="420" w:leftChars="200"/>
    </w:pPr>
  </w:style>
  <w:style w:type="paragraph" w:styleId="17">
    <w:name w:val="envelope return"/>
    <w:basedOn w:val="1"/>
    <w:qFormat/>
    <w:uiPriority w:val="0"/>
    <w:pPr>
      <w:snapToGrid w:val="0"/>
    </w:pPr>
    <w:rPr>
      <w:rFonts w:ascii="Arial" w:hAnsi="Arial"/>
    </w:rPr>
  </w:style>
  <w:style w:type="paragraph" w:styleId="18">
    <w:name w:val="List 2"/>
    <w:next w:val="1"/>
    <w:qFormat/>
    <w:uiPriority w:val="0"/>
    <w:pPr>
      <w:widowControl w:val="0"/>
      <w:adjustRightInd w:val="0"/>
      <w:spacing w:line="360" w:lineRule="atLeast"/>
      <w:ind w:left="100" w:leftChars="200" w:hanging="200" w:hangingChars="200"/>
      <w:jc w:val="left"/>
      <w:textAlignment w:val="baseline"/>
    </w:pPr>
    <w:rPr>
      <w:rFonts w:ascii="Times New Roman" w:hAnsi="Times New Roman" w:eastAsia="宋体" w:cs="Times New Roman"/>
      <w:kern w:val="0"/>
      <w:sz w:val="24"/>
      <w:szCs w:val="20"/>
      <w:lang w:val="en-US" w:eastAsia="zh-CN" w:bidi="ar-SA"/>
    </w:rPr>
  </w:style>
  <w:style w:type="paragraph" w:styleId="19">
    <w:name w:val="toc 5"/>
    <w:basedOn w:val="1"/>
    <w:next w:val="1"/>
    <w:qFormat/>
    <w:uiPriority w:val="0"/>
    <w:pPr>
      <w:adjustRightInd w:val="0"/>
      <w:snapToGrid w:val="0"/>
      <w:spacing w:line="480" w:lineRule="auto"/>
      <w:ind w:left="2240" w:leftChars="800"/>
      <w:jc w:val="left"/>
    </w:pPr>
    <w:rPr>
      <w:rFonts w:ascii="金山简黑体" w:hAnsi="金山简黑体" w:eastAsia="宋体" w:cs="金山简黑体"/>
      <w:sz w:val="28"/>
      <w:szCs w:val="18"/>
    </w:rPr>
  </w:style>
  <w:style w:type="paragraph" w:styleId="20">
    <w:name w:val="toc 3"/>
    <w:basedOn w:val="1"/>
    <w:next w:val="1"/>
    <w:link w:val="45"/>
    <w:qFormat/>
    <w:uiPriority w:val="0"/>
    <w:pPr>
      <w:adjustRightInd w:val="0"/>
      <w:snapToGrid w:val="0"/>
      <w:spacing w:line="480" w:lineRule="auto"/>
      <w:ind w:left="1120" w:leftChars="400"/>
      <w:jc w:val="left"/>
    </w:pPr>
    <w:rPr>
      <w:rFonts w:ascii="Times New Roman" w:hAnsi="Times New Roman" w:eastAsia="宋体" w:cs="Times New Roman"/>
      <w:iCs/>
      <w:sz w:val="28"/>
      <w:szCs w:val="20"/>
    </w:rPr>
  </w:style>
  <w:style w:type="paragraph" w:styleId="21">
    <w:name w:val="Plain Text"/>
    <w:basedOn w:val="1"/>
    <w:unhideWhenUsed/>
    <w:qFormat/>
    <w:uiPriority w:val="0"/>
    <w:rPr>
      <w:rFonts w:hAnsi="Courier New"/>
      <w:kern w:val="0"/>
      <w:sz w:val="20"/>
      <w:szCs w:val="20"/>
    </w:rPr>
  </w:style>
  <w:style w:type="paragraph" w:styleId="22">
    <w:name w:val="toc 8"/>
    <w:basedOn w:val="1"/>
    <w:next w:val="1"/>
    <w:qFormat/>
    <w:uiPriority w:val="0"/>
    <w:pPr>
      <w:adjustRightInd w:val="0"/>
      <w:snapToGrid w:val="0"/>
      <w:spacing w:line="480" w:lineRule="auto"/>
      <w:ind w:left="2940" w:leftChars="1400"/>
    </w:pPr>
    <w:rPr>
      <w:rFonts w:ascii="Times New Roman" w:hAnsi="Times New Roman" w:eastAsia="宋体" w:cs="Times New Roman"/>
      <w:sz w:val="28"/>
      <w:szCs w:val="24"/>
    </w:rPr>
  </w:style>
  <w:style w:type="paragraph" w:styleId="23">
    <w:name w:val="footer"/>
    <w:basedOn w:val="1"/>
    <w:qFormat/>
    <w:uiPriority w:val="0"/>
    <w:pPr>
      <w:widowControl/>
      <w:tabs>
        <w:tab w:val="center" w:pos="4153"/>
        <w:tab w:val="right" w:pos="8306"/>
      </w:tabs>
      <w:snapToGrid w:val="0"/>
      <w:jc w:val="left"/>
    </w:pPr>
    <w:rPr>
      <w:rFonts w:ascii="宋体" w:hAnsi="宋体"/>
      <w:kern w:val="0"/>
      <w:sz w:val="18"/>
      <w:szCs w:val="18"/>
    </w:rPr>
  </w:style>
  <w:style w:type="paragraph" w:styleId="2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5">
    <w:name w:val="toc 1"/>
    <w:basedOn w:val="1"/>
    <w:next w:val="1"/>
    <w:link w:val="43"/>
    <w:qFormat/>
    <w:uiPriority w:val="0"/>
    <w:pPr>
      <w:jc w:val="left"/>
    </w:pPr>
    <w:rPr>
      <w:rFonts w:eastAsia="微软雅黑"/>
      <w:b/>
      <w:bCs/>
      <w:caps/>
      <w:sz w:val="28"/>
      <w:szCs w:val="20"/>
    </w:rPr>
  </w:style>
  <w:style w:type="paragraph" w:styleId="26">
    <w:name w:val="toc 4"/>
    <w:basedOn w:val="1"/>
    <w:next w:val="1"/>
    <w:qFormat/>
    <w:uiPriority w:val="0"/>
    <w:pPr>
      <w:adjustRightInd w:val="0"/>
      <w:snapToGrid w:val="0"/>
      <w:spacing w:line="480" w:lineRule="auto"/>
      <w:ind w:left="1260" w:leftChars="600"/>
      <w:jc w:val="left"/>
    </w:pPr>
    <w:rPr>
      <w:rFonts w:ascii="Times New Roman" w:hAnsi="Times New Roman" w:eastAsia="宋体" w:cs="Times New Roman"/>
      <w:sz w:val="28"/>
      <w:szCs w:val="18"/>
    </w:rPr>
  </w:style>
  <w:style w:type="paragraph" w:styleId="27">
    <w:name w:val="toc 6"/>
    <w:basedOn w:val="1"/>
    <w:next w:val="1"/>
    <w:qFormat/>
    <w:uiPriority w:val="0"/>
    <w:pPr>
      <w:adjustRightInd w:val="0"/>
      <w:snapToGrid w:val="0"/>
      <w:spacing w:line="480" w:lineRule="auto"/>
      <w:ind w:left="2100" w:leftChars="1000"/>
      <w:jc w:val="left"/>
    </w:pPr>
    <w:rPr>
      <w:rFonts w:ascii="Times New Roman" w:hAnsi="Times New Roman" w:eastAsia="宋体" w:cs="Times New Roman"/>
      <w:sz w:val="28"/>
      <w:szCs w:val="24"/>
    </w:rPr>
  </w:style>
  <w:style w:type="paragraph" w:styleId="28">
    <w:name w:val="toc 2"/>
    <w:basedOn w:val="1"/>
    <w:next w:val="1"/>
    <w:link w:val="44"/>
    <w:qFormat/>
    <w:uiPriority w:val="0"/>
    <w:pPr>
      <w:ind w:left="560" w:leftChars="200"/>
      <w:jc w:val="left"/>
    </w:pPr>
    <w:rPr>
      <w:b/>
      <w:smallCaps/>
      <w:sz w:val="28"/>
      <w:szCs w:val="20"/>
    </w:rPr>
  </w:style>
  <w:style w:type="paragraph" w:styleId="29">
    <w:name w:val="Body Text 2"/>
    <w:basedOn w:val="1"/>
    <w:qFormat/>
    <w:uiPriority w:val="0"/>
    <w:pPr>
      <w:adjustRightInd w:val="0"/>
      <w:snapToGrid w:val="0"/>
      <w:spacing w:line="480" w:lineRule="atLeast"/>
    </w:pPr>
    <w:rPr>
      <w:rFonts w:ascii="宋体" w:hAnsi="宋体"/>
      <w:sz w:val="28"/>
    </w:rPr>
  </w:style>
  <w:style w:type="paragraph" w:styleId="30">
    <w:name w:val="Title"/>
    <w:basedOn w:val="1"/>
    <w:next w:val="1"/>
    <w:qFormat/>
    <w:uiPriority w:val="99"/>
    <w:pPr>
      <w:spacing w:before="240" w:after="60"/>
      <w:jc w:val="center"/>
      <w:outlineLvl w:val="0"/>
    </w:pPr>
    <w:rPr>
      <w:rFonts w:ascii="Cambria" w:hAnsi="Cambria"/>
      <w:b/>
      <w:bCs/>
      <w:kern w:val="0"/>
      <w:sz w:val="32"/>
      <w:szCs w:val="32"/>
    </w:rPr>
  </w:style>
  <w:style w:type="paragraph" w:styleId="31">
    <w:name w:val="Body Text First Indent"/>
    <w:basedOn w:val="14"/>
    <w:qFormat/>
    <w:uiPriority w:val="0"/>
    <w:pPr>
      <w:ind w:firstLine="420" w:firstLineChars="100"/>
    </w:pPr>
  </w:style>
  <w:style w:type="paragraph" w:styleId="32">
    <w:name w:val="Body Text First Indent 2"/>
    <w:basedOn w:val="16"/>
    <w:next w:val="1"/>
    <w:qFormat/>
    <w:uiPriority w:val="0"/>
    <w:pPr>
      <w:tabs>
        <w:tab w:val="left" w:pos="0"/>
        <w:tab w:val="left" w:pos="993"/>
        <w:tab w:val="left" w:pos="1134"/>
      </w:tabs>
      <w:ind w:firstLine="420" w:firstLineChars="200"/>
    </w:p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6">
    <w:name w:val="Strong"/>
    <w:qFormat/>
    <w:uiPriority w:val="0"/>
    <w:rPr>
      <w:rFonts w:ascii="Times New Roman" w:hAnsi="Times New Roman" w:eastAsia="宋体" w:cs="Times New Roman"/>
      <w:b/>
      <w:bCs/>
    </w:rPr>
  </w:style>
  <w:style w:type="character" w:customStyle="1" w:styleId="37">
    <w:name w:val="标题 1 Char"/>
    <w:link w:val="3"/>
    <w:qFormat/>
    <w:uiPriority w:val="0"/>
    <w:rPr>
      <w:rFonts w:ascii="Times New Roman" w:hAnsi="Times New Roman" w:eastAsia="微软雅黑"/>
      <w:b/>
      <w:bCs/>
      <w:kern w:val="44"/>
      <w:sz w:val="44"/>
      <w:szCs w:val="44"/>
      <w:lang w:val="en-US" w:eastAsia="zh-CN" w:bidi="ar-SA"/>
    </w:rPr>
  </w:style>
  <w:style w:type="character" w:customStyle="1" w:styleId="38">
    <w:name w:val="标题 4 Char"/>
    <w:link w:val="6"/>
    <w:qFormat/>
    <w:uiPriority w:val="0"/>
    <w:rPr>
      <w:rFonts w:ascii="Cambria" w:hAnsi="Cambria" w:eastAsia="微软雅黑" w:cs="Times New Roman"/>
      <w:b/>
      <w:bCs/>
      <w:kern w:val="2"/>
      <w:sz w:val="28"/>
      <w:szCs w:val="28"/>
      <w:lang w:val="en-US" w:eastAsia="zh-CN" w:bidi="ar-SA"/>
    </w:rPr>
  </w:style>
  <w:style w:type="character" w:customStyle="1" w:styleId="39">
    <w:name w:val="标题 6 Char"/>
    <w:link w:val="8"/>
    <w:qFormat/>
    <w:uiPriority w:val="0"/>
    <w:rPr>
      <w:rFonts w:ascii="Cambria" w:hAnsi="Cambria" w:eastAsia="微软雅黑" w:cs="Times New Roman"/>
      <w:b/>
      <w:bCs/>
      <w:kern w:val="2"/>
      <w:sz w:val="28"/>
      <w:szCs w:val="24"/>
    </w:rPr>
  </w:style>
  <w:style w:type="character" w:customStyle="1" w:styleId="40">
    <w:name w:val="标题 2 Char"/>
    <w:link w:val="4"/>
    <w:qFormat/>
    <w:locked/>
    <w:uiPriority w:val="99"/>
    <w:rPr>
      <w:rFonts w:ascii="Cambria" w:hAnsi="Cambria" w:eastAsia="微软雅黑"/>
      <w:b/>
      <w:bCs/>
      <w:kern w:val="2"/>
      <w:sz w:val="36"/>
      <w:szCs w:val="32"/>
      <w:lang w:val="en-US" w:eastAsia="zh-CN" w:bidi="ar-SA"/>
    </w:rPr>
  </w:style>
  <w:style w:type="character" w:customStyle="1" w:styleId="41">
    <w:name w:val="标题 3 Char"/>
    <w:link w:val="5"/>
    <w:qFormat/>
    <w:uiPriority w:val="9"/>
    <w:rPr>
      <w:rFonts w:ascii="Times New Roman" w:hAnsi="Times New Roman" w:eastAsia="微软雅黑" w:cs="Times New Roman"/>
      <w:b/>
      <w:bCs/>
      <w:kern w:val="2"/>
      <w:sz w:val="32"/>
      <w:szCs w:val="32"/>
      <w:lang w:val="en-US" w:eastAsia="zh-CN" w:bidi="ar-SA"/>
    </w:rPr>
  </w:style>
  <w:style w:type="character" w:customStyle="1" w:styleId="42">
    <w:name w:val="标题 5 Char"/>
    <w:link w:val="7"/>
    <w:qFormat/>
    <w:uiPriority w:val="9"/>
    <w:rPr>
      <w:rFonts w:ascii="Times New Roman" w:hAnsi="Times New Roman" w:eastAsia="微软雅黑"/>
      <w:b/>
      <w:bCs/>
      <w:sz w:val="28"/>
      <w:szCs w:val="28"/>
    </w:rPr>
  </w:style>
  <w:style w:type="character" w:customStyle="1" w:styleId="43">
    <w:name w:val="目录 1 Char"/>
    <w:link w:val="25"/>
    <w:qFormat/>
    <w:uiPriority w:val="39"/>
    <w:rPr>
      <w:rFonts w:ascii="Calibri" w:hAnsi="Calibri" w:eastAsia="微软雅黑"/>
      <w:b/>
      <w:bCs/>
      <w:caps/>
      <w:kern w:val="2"/>
      <w:sz w:val="28"/>
    </w:rPr>
  </w:style>
  <w:style w:type="character" w:customStyle="1" w:styleId="44">
    <w:name w:val="目录 2 Char"/>
    <w:link w:val="28"/>
    <w:qFormat/>
    <w:uiPriority w:val="39"/>
    <w:rPr>
      <w:rFonts w:ascii="Calibri" w:hAnsi="Calibri" w:eastAsia="宋体"/>
      <w:b/>
      <w:smallCaps/>
      <w:kern w:val="2"/>
      <w:sz w:val="28"/>
    </w:rPr>
  </w:style>
  <w:style w:type="character" w:customStyle="1" w:styleId="45">
    <w:name w:val="目录 3 Char"/>
    <w:link w:val="20"/>
    <w:qFormat/>
    <w:uiPriority w:val="39"/>
    <w:rPr>
      <w:rFonts w:ascii="Times New Roman" w:hAnsi="Times New Roman" w:eastAsia="宋体" w:cs="Times New Roman"/>
      <w:iCs/>
      <w:kern w:val="2"/>
      <w:sz w:val="28"/>
    </w:rPr>
  </w:style>
  <w:style w:type="character" w:customStyle="1" w:styleId="46">
    <w:name w:val="标题 7 Char"/>
    <w:link w:val="9"/>
    <w:qFormat/>
    <w:uiPriority w:val="0"/>
    <w:rPr>
      <w:rFonts w:ascii="Times New Roman" w:hAnsi="Times New Roman" w:eastAsia="微软雅黑" w:cs="Times New Roman"/>
      <w:b/>
      <w:sz w:val="28"/>
      <w:szCs w:val="24"/>
    </w:rPr>
  </w:style>
  <w:style w:type="paragraph" w:customStyle="1" w:styleId="47">
    <w:name w:val="Normal_1"/>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48">
    <w:name w:val="font61"/>
    <w:basedOn w:val="35"/>
    <w:qFormat/>
    <w:uiPriority w:val="0"/>
    <w:rPr>
      <w:rFonts w:hint="eastAsia" w:ascii="宋体" w:hAnsi="宋体" w:eastAsia="宋体" w:cs="宋体"/>
      <w:color w:val="000000"/>
      <w:sz w:val="20"/>
      <w:szCs w:val="20"/>
      <w:u w:val="none"/>
    </w:rPr>
  </w:style>
  <w:style w:type="character" w:customStyle="1" w:styleId="49">
    <w:name w:val="font51"/>
    <w:basedOn w:val="35"/>
    <w:qFormat/>
    <w:uiPriority w:val="0"/>
    <w:rPr>
      <w:rFonts w:hint="eastAsia" w:ascii="宋体" w:hAnsi="宋体" w:eastAsia="宋体" w:cs="宋体"/>
      <w:b/>
      <w:color w:val="000000"/>
      <w:sz w:val="20"/>
      <w:szCs w:val="20"/>
      <w:u w:val="none"/>
    </w:rPr>
  </w:style>
  <w:style w:type="paragraph" w:customStyle="1" w:styleId="50">
    <w:name w:val="图片"/>
    <w:qFormat/>
    <w:uiPriority w:val="0"/>
    <w:pPr>
      <w:widowControl w:val="0"/>
      <w:spacing w:line="480" w:lineRule="auto"/>
      <w:jc w:val="left"/>
    </w:pPr>
    <w:rPr>
      <w:rFonts w:ascii="Calibri" w:hAnsi="Calibri" w:eastAsia="宋体" w:cs="Times New Roman"/>
      <w:color w:val="ED7D31" w:themeColor="accent2"/>
      <w:kern w:val="2"/>
      <w:sz w:val="24"/>
      <w:szCs w:val="22"/>
      <w:lang w:val="en-US" w:eastAsia="zh-CN" w:bidi="ar-SA"/>
      <w14:textFill>
        <w14:solidFill>
          <w14:schemeClr w14:val="accent2"/>
        </w14:solidFill>
      </w14:textFill>
    </w:rPr>
  </w:style>
  <w:style w:type="paragraph" w:customStyle="1" w:styleId="51">
    <w:name w:val="Compact"/>
    <w:basedOn w:val="14"/>
    <w:qFormat/>
    <w:uiPriority w:val="0"/>
    <w:pPr>
      <w:spacing w:before="36" w:after="36"/>
    </w:pPr>
    <w:rPr>
      <w:rFonts w:ascii="Times New Roman" w:hAnsi="Times New Roman" w:eastAsia="宋体" w:cs="Times New Roman"/>
    </w:rPr>
  </w:style>
  <w:style w:type="paragraph" w:customStyle="1" w:styleId="52">
    <w:name w:val="1居中"/>
    <w:qFormat/>
    <w:uiPriority w:val="0"/>
    <w:pPr>
      <w:widowControl w:val="0"/>
      <w:spacing w:before="60" w:after="60" w:line="360" w:lineRule="auto"/>
      <w:jc w:val="center"/>
    </w:pPr>
    <w:rPr>
      <w:rFonts w:ascii="宋体" w:hAnsi="宋体" w:eastAsia="宋体" w:cs="Times New Roman"/>
      <w:b/>
      <w:bCs/>
      <w:kern w:val="2"/>
      <w:sz w:val="28"/>
      <w:szCs w:val="24"/>
      <w:lang w:val="en-US" w:eastAsia="zh-CN" w:bidi="ar-SA"/>
    </w:rPr>
  </w:style>
  <w:style w:type="paragraph" w:customStyle="1" w:styleId="53">
    <w:name w:val="1表格"/>
    <w:qFormat/>
    <w:uiPriority w:val="0"/>
    <w:pPr>
      <w:spacing w:line="360" w:lineRule="auto"/>
      <w:jc w:val="center"/>
    </w:pPr>
    <w:rPr>
      <w:rFonts w:ascii="宋体" w:hAnsi="宋体" w:eastAsia="宋体" w:cs="Times New Roman"/>
      <w:bCs/>
      <w:kern w:val="2"/>
      <w:sz w:val="24"/>
      <w:szCs w:val="24"/>
      <w:lang w:val="en-US" w:eastAsia="zh-CN" w:bidi="ar-SA"/>
    </w:rPr>
  </w:style>
  <w:style w:type="table" w:customStyle="1" w:styleId="54">
    <w:name w:val="List Table 2 Accent 1"/>
    <w:basedOn w:val="33"/>
    <w:qFormat/>
    <w:uiPriority w:val="47"/>
    <w:tblPr>
      <w:tblBorders>
        <w:top w:val="single" w:color="9CC2E5" w:themeColor="accent1" w:themeTint="99" w:sz="4" w:space="0"/>
        <w:bottom w:val="single" w:color="9CC2E5" w:themeColor="accent1" w:themeTint="99" w:sz="4" w:space="0"/>
        <w:insideH w:val="single" w:color="9CC2E5" w:themeColor="accent1" w:themeTint="99" w:sz="4" w:space="0"/>
      </w:tblBorders>
      <w:tblLayout w:type="fixed"/>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paragraph" w:styleId="55">
    <w:name w:val="List Paragraph"/>
    <w:basedOn w:val="1"/>
    <w:qFormat/>
    <w:uiPriority w:val="34"/>
    <w:pPr>
      <w:ind w:firstLine="420"/>
    </w:pPr>
    <w:rPr>
      <w:szCs w:val="20"/>
    </w:rPr>
  </w:style>
  <w:style w:type="table" w:customStyle="1" w:styleId="56">
    <w:name w:val="清单表 2 - 着色 61"/>
    <w:basedOn w:val="33"/>
    <w:qFormat/>
    <w:uiPriority w:val="47"/>
    <w:rPr>
      <w:kern w:val="0"/>
      <w:sz w:val="20"/>
      <w:szCs w:val="20"/>
    </w:rPr>
    <w:tblPr>
      <w:tblBorders>
        <w:top w:val="single" w:color="A8D08D" w:themeColor="accent6" w:themeTint="99" w:sz="4" w:space="0"/>
        <w:bottom w:val="single" w:color="A8D08D" w:themeColor="accent6" w:themeTint="99" w:sz="4" w:space="0"/>
        <w:insideH w:val="single" w:color="A8D08D" w:themeColor="accent6" w:themeTint="99" w:sz="4" w:space="0"/>
      </w:tblBorders>
      <w:tblLayout w:type="fixed"/>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paragraph" w:customStyle="1" w:styleId="57">
    <w:name w:val="表格"/>
    <w:basedOn w:val="1"/>
    <w:qFormat/>
    <w:uiPriority w:val="0"/>
    <w:pPr>
      <w:tabs>
        <w:tab w:val="left" w:pos="1200"/>
      </w:tabs>
      <w:spacing w:before="0" w:after="0"/>
      <w:ind w:firstLine="0" w:firstLineChars="0"/>
      <w:jc w:val="center"/>
    </w:pPr>
    <w:rPr>
      <w:rFonts w:hAnsi="Times New Roman"/>
      <w:szCs w:val="18"/>
    </w:rPr>
  </w:style>
  <w:style w:type="paragraph" w:customStyle="1" w:styleId="58">
    <w:name w:val="居中"/>
    <w:basedOn w:val="1"/>
    <w:qFormat/>
    <w:uiPriority w:val="0"/>
    <w:pPr>
      <w:spacing w:before="0" w:after="0"/>
      <w:ind w:firstLine="0" w:firstLineChars="0"/>
      <w:jc w:val="center"/>
    </w:pPr>
    <w:rPr>
      <w:rFonts w:asciiTheme="majorHAnsi" w:hAnsiTheme="majorHAnsi" w:cstheme="majorBidi"/>
      <w:b/>
      <w:bCs/>
      <w:sz w:val="28"/>
      <w:szCs w:val="32"/>
    </w:rPr>
  </w:style>
  <w:style w:type="table" w:customStyle="1" w:styleId="59">
    <w:name w:val="Grid Table 3 Accent 6"/>
    <w:basedOn w:val="33"/>
    <w:qFormat/>
    <w:uiPriority w:val="48"/>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bottom w:val="single" w:color="A8D08D" w:themeColor="accent6" w:themeTint="99" w:sz="4" w:space="0"/>
        </w:tcBorders>
      </w:tcPr>
    </w:tblStylePr>
    <w:tblStylePr w:type="nwCell">
      <w:tcPr>
        <w:tcBorders>
          <w:bottom w:val="single" w:color="A8D08D" w:themeColor="accent6" w:themeTint="99" w:sz="4" w:space="0"/>
        </w:tcBorders>
      </w:tcPr>
    </w:tblStylePr>
    <w:tblStylePr w:type="seCell">
      <w:tcPr>
        <w:tcBorders>
          <w:top w:val="single" w:color="A8D08D" w:themeColor="accent6" w:themeTint="99" w:sz="4" w:space="0"/>
        </w:tcBorders>
      </w:tcPr>
    </w:tblStylePr>
    <w:tblStylePr w:type="swCell">
      <w:tcPr>
        <w:tcBorders>
          <w:top w:val="single" w:color="A8D08D" w:themeColor="accent6" w:themeTint="99" w:sz="4" w:space="0"/>
        </w:tcBorders>
      </w:tcPr>
    </w:tblStylePr>
  </w:style>
  <w:style w:type="table" w:customStyle="1" w:styleId="60">
    <w:name w:val="清单表 2 - 着色 11"/>
    <w:basedOn w:val="33"/>
    <w:qFormat/>
    <w:uiPriority w:val="47"/>
    <w:rPr>
      <w:kern w:val="0"/>
      <w:sz w:val="20"/>
      <w:szCs w:val="20"/>
    </w:rPr>
    <w:tblPr>
      <w:tblBorders>
        <w:top w:val="single" w:color="9CC2E5" w:themeColor="accent1" w:themeTint="99" w:sz="4" w:space="0"/>
        <w:bottom w:val="single" w:color="9CC2E5" w:themeColor="accent1" w:themeTint="99" w:sz="4" w:space="0"/>
        <w:insideH w:val="single" w:color="9CC2E5" w:themeColor="accent1" w:themeTint="99" w:sz="4" w:space="0"/>
      </w:tblBorders>
      <w:tblLayout w:type="fixed"/>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61">
    <w:name w:val="Table Normal"/>
    <w:unhideWhenUsed/>
    <w:qFormat/>
    <w:uiPriority w:val="0"/>
    <w:pPr>
      <w:widowControl w:val="0"/>
      <w:autoSpaceDE w:val="0"/>
      <w:autoSpaceDN w:val="0"/>
    </w:pPr>
    <w:rPr>
      <w:kern w:val="0"/>
      <w:sz w:val="22"/>
      <w:szCs w:val="20"/>
      <w:lang w:eastAsia="en-US"/>
    </w:rPr>
    <w:tblPr>
      <w:tblLayout w:type="fixed"/>
      <w:tblCellMar>
        <w:top w:w="0" w:type="dxa"/>
        <w:left w:w="0" w:type="dxa"/>
        <w:bottom w:w="0" w:type="dxa"/>
        <w:right w:w="0" w:type="dxa"/>
      </w:tblCellMar>
    </w:tblPr>
  </w:style>
  <w:style w:type="table" w:customStyle="1" w:styleId="62">
    <w:name w:val="清单表 1 浅色 - 着色 61"/>
    <w:basedOn w:val="33"/>
    <w:qFormat/>
    <w:uiPriority w:val="46"/>
    <w:rPr>
      <w:kern w:val="0"/>
      <w:sz w:val="20"/>
      <w:szCs w:val="20"/>
    </w:rPr>
    <w:tblStylePr w:type="firstRow">
      <w:rPr>
        <w:b/>
        <w:bCs/>
      </w:rPr>
      <w:tcPr>
        <w:tcBorders>
          <w:bottom w:val="single" w:color="A8D08D" w:themeColor="accent6" w:themeTint="99" w:sz="4" w:space="0"/>
        </w:tcBorders>
      </w:tcPr>
    </w:tblStylePr>
    <w:tblStylePr w:type="lastRow">
      <w:rPr>
        <w:b/>
        <w:bCs/>
      </w:rPr>
      <w:tcPr>
        <w:tcBorders>
          <w:top w:val="sing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63">
    <w:name w:val="清单表 4 - 着色 61"/>
    <w:basedOn w:val="33"/>
    <w:qFormat/>
    <w:uiPriority w:val="49"/>
    <w:rPr>
      <w:kern w:val="0"/>
      <w:sz w:val="20"/>
      <w:szCs w:val="20"/>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tblBorders>
      <w:tblLayout w:type="fixed"/>
    </w:tblPr>
    <w:tblStylePr w:type="firstRow">
      <w:rPr>
        <w:b/>
        <w:bCs/>
        <w:color w:val="FFFFFF" w:themeColor="background1"/>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tcBorders>
        <w:shd w:val="clear" w:color="auto" w:fill="70AD47" w:themeFill="accent6"/>
      </w:tcPr>
    </w:tblStylePr>
    <w:tblStylePr w:type="lastRow">
      <w:rPr>
        <w:b/>
        <w:bCs/>
      </w:rPr>
      <w:tcPr>
        <w:tcBorders>
          <w:top w:val="doub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diagramColors" Target="diagrams/colors1.xml"/><Relationship Id="rId7" Type="http://schemas.openxmlformats.org/officeDocument/2006/relationships/diagramQuickStyle" Target="diagrams/quickStyle1.xml"/><Relationship Id="rId68" Type="http://schemas.openxmlformats.org/officeDocument/2006/relationships/fontTable" Target="fontTable.xml"/><Relationship Id="rId67" Type="http://schemas.openxmlformats.org/officeDocument/2006/relationships/customXml" Target="../customXml/item1.xml"/><Relationship Id="rId66" Type="http://schemas.openxmlformats.org/officeDocument/2006/relationships/image" Target="media/image40.png"/><Relationship Id="rId65" Type="http://schemas.openxmlformats.org/officeDocument/2006/relationships/image" Target="media/image39.png"/><Relationship Id="rId64" Type="http://schemas.openxmlformats.org/officeDocument/2006/relationships/image" Target="media/image38.png"/><Relationship Id="rId63" Type="http://schemas.openxmlformats.org/officeDocument/2006/relationships/image" Target="media/image37.png"/><Relationship Id="rId62" Type="http://schemas.openxmlformats.org/officeDocument/2006/relationships/image" Target="media/image36.jpeg"/><Relationship Id="rId61" Type="http://schemas.openxmlformats.org/officeDocument/2006/relationships/image" Target="media/image35.png"/><Relationship Id="rId60" Type="http://schemas.openxmlformats.org/officeDocument/2006/relationships/image" Target="media/image34.png"/><Relationship Id="rId6" Type="http://schemas.openxmlformats.org/officeDocument/2006/relationships/diagramLayout" Target="diagrams/layout1.xml"/><Relationship Id="rId59" Type="http://schemas.openxmlformats.org/officeDocument/2006/relationships/image" Target="media/image33.png"/><Relationship Id="rId58" Type="http://schemas.openxmlformats.org/officeDocument/2006/relationships/image" Target="media/image32.png"/><Relationship Id="rId57" Type="http://schemas.openxmlformats.org/officeDocument/2006/relationships/image" Target="media/image31.png"/><Relationship Id="rId56" Type="http://schemas.openxmlformats.org/officeDocument/2006/relationships/image" Target="media/image30.png"/><Relationship Id="rId55" Type="http://schemas.openxmlformats.org/officeDocument/2006/relationships/image" Target="media/image29.png"/><Relationship Id="rId54" Type="http://schemas.openxmlformats.org/officeDocument/2006/relationships/image" Target="media/image28.png"/><Relationship Id="rId53" Type="http://schemas.openxmlformats.org/officeDocument/2006/relationships/image" Target="media/image27.png"/><Relationship Id="rId52" Type="http://schemas.openxmlformats.org/officeDocument/2006/relationships/diagramColors" Target="diagrams/colors5.xml"/><Relationship Id="rId51" Type="http://schemas.openxmlformats.org/officeDocument/2006/relationships/diagramQuickStyle" Target="diagrams/quickStyle5.xml"/><Relationship Id="rId50" Type="http://schemas.openxmlformats.org/officeDocument/2006/relationships/diagramLayout" Target="diagrams/layout5.xml"/><Relationship Id="rId5" Type="http://schemas.openxmlformats.org/officeDocument/2006/relationships/diagramData" Target="diagrams/data1.xml"/><Relationship Id="rId49" Type="http://schemas.openxmlformats.org/officeDocument/2006/relationships/diagramData" Target="diagrams/data5.xml"/><Relationship Id="rId48" Type="http://schemas.microsoft.com/office/2007/relationships/hdphoto" Target="media/image26.wdp"/><Relationship Id="rId47" Type="http://schemas.openxmlformats.org/officeDocument/2006/relationships/image" Target="media/image25.png"/><Relationship Id="rId46" Type="http://schemas.openxmlformats.org/officeDocument/2006/relationships/image" Target="media/image24.png"/><Relationship Id="rId45" Type="http://schemas.openxmlformats.org/officeDocument/2006/relationships/image" Target="media/image23.emf"/><Relationship Id="rId44" Type="http://schemas.openxmlformats.org/officeDocument/2006/relationships/oleObject" Target="embeddings/oleObject1.bin"/><Relationship Id="rId43" Type="http://schemas.openxmlformats.org/officeDocument/2006/relationships/diagramColors" Target="diagrams/colors4.xml"/><Relationship Id="rId42" Type="http://schemas.openxmlformats.org/officeDocument/2006/relationships/diagramQuickStyle" Target="diagrams/quickStyle4.xml"/><Relationship Id="rId41" Type="http://schemas.openxmlformats.org/officeDocument/2006/relationships/diagramLayout" Target="diagrams/layout4.xml"/><Relationship Id="rId40" Type="http://schemas.openxmlformats.org/officeDocument/2006/relationships/diagramData" Target="diagrams/data4.xml"/><Relationship Id="rId4" Type="http://schemas.openxmlformats.org/officeDocument/2006/relationships/theme" Target="theme/theme1.xml"/><Relationship Id="rId39" Type="http://schemas.openxmlformats.org/officeDocument/2006/relationships/image" Target="media/image22.png"/><Relationship Id="rId38" Type="http://schemas.openxmlformats.org/officeDocument/2006/relationships/diagramColors" Target="diagrams/colors3.xml"/><Relationship Id="rId37" Type="http://schemas.openxmlformats.org/officeDocument/2006/relationships/diagramQuickStyle" Target="diagrams/quickStyle3.xml"/><Relationship Id="rId36" Type="http://schemas.openxmlformats.org/officeDocument/2006/relationships/diagramLayout" Target="diagrams/layout3.xml"/><Relationship Id="rId35" Type="http://schemas.openxmlformats.org/officeDocument/2006/relationships/diagramData" Target="diagrams/data3.xml"/><Relationship Id="rId34" Type="http://schemas.openxmlformats.org/officeDocument/2006/relationships/image" Target="media/image21.jpe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er" Target="foot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chart" Target="charts/chart1.xml"/><Relationship Id="rId25" Type="http://schemas.openxmlformats.org/officeDocument/2006/relationships/image" Target="media/image13.png"/><Relationship Id="rId24" Type="http://schemas.openxmlformats.org/officeDocument/2006/relationships/diagramColors" Target="diagrams/colors2.xml"/><Relationship Id="rId23" Type="http://schemas.openxmlformats.org/officeDocument/2006/relationships/diagramQuickStyle" Target="diagrams/quickStyle2.xml"/><Relationship Id="rId22" Type="http://schemas.openxmlformats.org/officeDocument/2006/relationships/diagramLayout" Target="diagrams/layout2.xml"/><Relationship Id="rId21" Type="http://schemas.openxmlformats.org/officeDocument/2006/relationships/diagramData" Target="diagrams/data2.xm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202210\20221009&#32933;&#26009;\&#29976;&#29305;&#39033;&#30446;&#35268;&#21010;&#221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供货进度计划（</a:t>
            </a:r>
            <a:r>
              <a:rPr lang="en-US" altLang="zh-CN"/>
              <a:t>15</a:t>
            </a:r>
            <a:r>
              <a:rPr lang="zh-CN" altLang="en-US"/>
              <a:t>天完成供货）</a:t>
            </a:r>
            <a:endParaRPr lang="zh-CN" altLang="en-US"/>
          </a:p>
        </c:rich>
      </c:tx>
      <c:layout/>
      <c:overlay val="0"/>
      <c:spPr>
        <a:noFill/>
        <a:ln>
          <a:noFill/>
        </a:ln>
        <a:effectLst/>
      </c:spPr>
    </c:title>
    <c:autoTitleDeleted val="0"/>
    <c:plotArea>
      <c:layout/>
      <c:barChart>
        <c:barDir val="bar"/>
        <c:grouping val="stacked"/>
        <c:varyColors val="0"/>
        <c:ser>
          <c:idx val="0"/>
          <c:order val="0"/>
          <c:tx>
            <c:strRef>
              <c:f>Sheet1!$B$1</c:f>
              <c:strCache>
                <c:ptCount val="1"/>
                <c:pt idx="0">
                  <c:v>开始时间</c:v>
                </c:pt>
              </c:strCache>
            </c:strRef>
          </c:tx>
          <c:spPr>
            <a:noFill/>
            <a:ln>
              <a:noFill/>
            </a:ln>
            <a:effectLst/>
          </c:spPr>
          <c:invertIfNegative val="0"/>
          <c:dLbls>
            <c:delete val="1"/>
          </c:dLbls>
          <c:cat>
            <c:strRef>
              <c:f>Sheet1!$A$2:$A$12</c:f>
              <c:strCache>
                <c:ptCount val="11"/>
                <c:pt idx="0">
                  <c:v>领取中标通知书</c:v>
                </c:pt>
                <c:pt idx="1">
                  <c:v>合同签订</c:v>
                </c:pt>
                <c:pt idx="2">
                  <c:v>准备阶段</c:v>
                </c:pt>
                <c:pt idx="3">
                  <c:v>实施环境调查</c:v>
                </c:pt>
                <c:pt idx="4">
                  <c:v>制定详细实施方案</c:v>
                </c:pt>
                <c:pt idx="5">
                  <c:v>内部技术培训</c:v>
                </c:pt>
                <c:pt idx="6">
                  <c:v>生产调度及库存</c:v>
                </c:pt>
                <c:pt idx="7">
                  <c:v>产品运输</c:v>
                </c:pt>
                <c:pt idx="8">
                  <c:v>有机肥供货及到货验收</c:v>
                </c:pt>
                <c:pt idx="9">
                  <c:v>现场指导优化施用有机肥</c:v>
                </c:pt>
                <c:pt idx="10">
                  <c:v>验收</c:v>
                </c:pt>
              </c:strCache>
            </c:strRef>
          </c:cat>
          <c:val>
            <c:numRef>
              <c:f>Sheet1!$B$2:$B$12</c:f>
              <c:numCache>
                <c:formatCode>m"月"d"日"</c:formatCode>
                <c:ptCount val="11"/>
                <c:pt idx="0">
                  <c:v>44684</c:v>
                </c:pt>
                <c:pt idx="1">
                  <c:v>44684.5</c:v>
                </c:pt>
                <c:pt idx="2">
                  <c:v>44685</c:v>
                </c:pt>
                <c:pt idx="3">
                  <c:v>44686</c:v>
                </c:pt>
                <c:pt idx="4">
                  <c:v>44687</c:v>
                </c:pt>
                <c:pt idx="5">
                  <c:v>44688</c:v>
                </c:pt>
                <c:pt idx="6">
                  <c:v>44689</c:v>
                </c:pt>
                <c:pt idx="7">
                  <c:v>44690</c:v>
                </c:pt>
                <c:pt idx="8">
                  <c:v>44695</c:v>
                </c:pt>
                <c:pt idx="9">
                  <c:v>44696</c:v>
                </c:pt>
                <c:pt idx="10">
                  <c:v>44698</c:v>
                </c:pt>
              </c:numCache>
            </c:numRef>
          </c:val>
        </c:ser>
        <c:ser>
          <c:idx val="1"/>
          <c:order val="1"/>
          <c:tx>
            <c:strRef>
              <c:f>Sheet1!$C$1</c:f>
              <c:strCache>
                <c:ptCount val="1"/>
                <c:pt idx="0">
                  <c:v>工期</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领取中标通知书</c:v>
                </c:pt>
                <c:pt idx="1">
                  <c:v>合同签订</c:v>
                </c:pt>
                <c:pt idx="2">
                  <c:v>准备阶段</c:v>
                </c:pt>
                <c:pt idx="3">
                  <c:v>实施环境调查</c:v>
                </c:pt>
                <c:pt idx="4">
                  <c:v>制定详细实施方案</c:v>
                </c:pt>
                <c:pt idx="5">
                  <c:v>内部技术培训</c:v>
                </c:pt>
                <c:pt idx="6">
                  <c:v>生产调度及库存</c:v>
                </c:pt>
                <c:pt idx="7">
                  <c:v>产品运输</c:v>
                </c:pt>
                <c:pt idx="8">
                  <c:v>有机肥供货及到货验收</c:v>
                </c:pt>
                <c:pt idx="9">
                  <c:v>现场指导优化施用有机肥</c:v>
                </c:pt>
                <c:pt idx="10">
                  <c:v>验收</c:v>
                </c:pt>
              </c:strCache>
            </c:strRef>
          </c:cat>
          <c:val>
            <c:numRef>
              <c:f>Sheet1!$C$2:$C$12</c:f>
              <c:numCache>
                <c:formatCode>General</c:formatCode>
                <c:ptCount val="11"/>
                <c:pt idx="0">
                  <c:v>0.5</c:v>
                </c:pt>
                <c:pt idx="1">
                  <c:v>0.5</c:v>
                </c:pt>
                <c:pt idx="2">
                  <c:v>1</c:v>
                </c:pt>
                <c:pt idx="3">
                  <c:v>1</c:v>
                </c:pt>
                <c:pt idx="4">
                  <c:v>1</c:v>
                </c:pt>
                <c:pt idx="5">
                  <c:v>1</c:v>
                </c:pt>
                <c:pt idx="6">
                  <c:v>1</c:v>
                </c:pt>
                <c:pt idx="7">
                  <c:v>5</c:v>
                </c:pt>
                <c:pt idx="8">
                  <c:v>1</c:v>
                </c:pt>
                <c:pt idx="9">
                  <c:v>2</c:v>
                </c:pt>
                <c:pt idx="10">
                  <c:v>1</c:v>
                </c:pt>
              </c:numCache>
            </c:numRef>
          </c:val>
        </c:ser>
        <c:dLbls>
          <c:showLegendKey val="0"/>
          <c:showVal val="0"/>
          <c:showCatName val="0"/>
          <c:showSerName val="0"/>
          <c:showPercent val="0"/>
          <c:showBubbleSize val="0"/>
        </c:dLbls>
        <c:gapWidth val="150"/>
        <c:overlap val="100"/>
        <c:axId val="1024343720"/>
        <c:axId val="1024346016"/>
      </c:barChart>
      <c:catAx>
        <c:axId val="1024343720"/>
        <c:scaling>
          <c:orientation val="maxMin"/>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24346016"/>
        <c:crosses val="autoZero"/>
        <c:auto val="1"/>
        <c:lblAlgn val="ctr"/>
        <c:lblOffset val="100"/>
        <c:noMultiLvlLbl val="0"/>
      </c:catAx>
      <c:valAx>
        <c:axId val="1024346016"/>
        <c:scaling>
          <c:orientation val="minMax"/>
          <c:max val="44699"/>
          <c:min val="44684"/>
        </c:scaling>
        <c:delete val="1"/>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m&quot;月&quot;d&quot;日&quot;"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243437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3#1">
  <dgm:title val=""/>
  <dgm:desc val=""/>
  <dgm:catLst>
    <dgm:cat type="colorful" pri="10300"/>
  </dgm:catLst>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1">
  <dgm:title val=""/>
  <dgm:desc val=""/>
  <dgm:catLst>
    <dgm:cat type="colorful" pri="10300"/>
  </dgm:catLst>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2">
  <dgm:title val=""/>
  <dgm:desc val=""/>
  <dgm:catLst>
    <dgm:cat type="colorful" pri="10300"/>
  </dgm:catLst>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2">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B6FB286A-38DA-43C0-8C94-32E2C42A7461}" type="doc">
      <dgm:prSet loTypeId="urn:microsoft.com/office/officeart/2005/8/layout/hierarchy1#1" loCatId="hierarchy" qsTypeId="urn:microsoft.com/office/officeart/2005/8/quickstyle/simple1#5" qsCatId="simple" csTypeId="urn:microsoft.com/office/officeart/2005/8/colors/colorful3#1" csCatId="colorful" phldr="1"/>
      <dgm:spPr/>
      <dgm:t>
        <a:bodyPr/>
        <a:p>
          <a:endParaRPr lang="zh-CN" altLang="en-US"/>
        </a:p>
      </dgm:t>
    </dgm:pt>
    <dgm:pt modelId="{B630EE8B-9A1D-4A23-8078-AD47605BEAB9}">
      <dgm:prSet phldrT="[文本]" custT="1"/>
      <dgm:spPr/>
      <dgm:t>
        <a:bodyPr/>
        <a:p>
          <a:pPr algn="ctr"/>
          <a:r>
            <a:rPr lang="zh-CN" altLang="en-US" sz="1200" b="1"/>
            <a:t>项目负责人</a:t>
          </a:r>
          <a:endParaRPr lang="zh-CN" altLang="en-US" sz="1200"/>
        </a:p>
      </dgm:t>
    </dgm:pt>
    <dgm:pt modelId="{AD142BEF-12B7-4A3E-B7BD-98020CD078EE}" cxnId="{02202E5B-CB36-4E7B-B6DB-404E11E089F0}" type="parTrans">
      <dgm:prSet/>
      <dgm:spPr/>
      <dgm:t>
        <a:bodyPr/>
        <a:p>
          <a:pPr algn="ctr"/>
          <a:endParaRPr lang="zh-CN" altLang="en-US" sz="1200"/>
        </a:p>
      </dgm:t>
    </dgm:pt>
    <dgm:pt modelId="{27D3E507-19A4-4EDC-B1EF-C8BA6EDE2913}" cxnId="{02202E5B-CB36-4E7B-B6DB-404E11E089F0}" type="sibTrans">
      <dgm:prSet/>
      <dgm:spPr/>
      <dgm:t>
        <a:bodyPr/>
        <a:p>
          <a:pPr algn="ctr"/>
          <a:endParaRPr lang="zh-CN" altLang="en-US" sz="1200"/>
        </a:p>
      </dgm:t>
    </dgm:pt>
    <dgm:pt modelId="{31E892D7-55EB-4120-8DEE-C89FF439487E}">
      <dgm:prSet custT="1"/>
      <dgm:spPr/>
      <dgm:t>
        <a:bodyPr/>
        <a:p>
          <a:pPr algn="ctr"/>
          <a:r>
            <a:rPr lang="zh-CN" altLang="en-US" sz="1200" b="1"/>
            <a:t>客服专员</a:t>
          </a:r>
        </a:p>
      </dgm:t>
    </dgm:pt>
    <dgm:pt modelId="{A5650198-7B04-4157-9C73-49E37B662FE1}" cxnId="{66BD3486-0467-4AEC-BE62-E5EBBDAB47BC}" type="parTrans">
      <dgm:prSet/>
      <dgm:spPr/>
      <dgm:t>
        <a:bodyPr/>
        <a:p>
          <a:pPr algn="ctr"/>
          <a:endParaRPr lang="zh-CN" altLang="en-US" sz="1200"/>
        </a:p>
      </dgm:t>
    </dgm:pt>
    <dgm:pt modelId="{0FC8DD16-7D4D-46DB-AB99-1491AE150BC3}" cxnId="{66BD3486-0467-4AEC-BE62-E5EBBDAB47BC}" type="sibTrans">
      <dgm:prSet/>
      <dgm:spPr/>
      <dgm:t>
        <a:bodyPr/>
        <a:p>
          <a:pPr algn="ctr"/>
          <a:endParaRPr lang="zh-CN" altLang="en-US" sz="1200"/>
        </a:p>
      </dgm:t>
    </dgm:pt>
    <dgm:pt modelId="{0B7B43E0-DE0F-4C19-A515-C6FCAF024E05}">
      <dgm:prSet custT="1"/>
      <dgm:spPr/>
      <dgm:t>
        <a:bodyPr/>
        <a:p>
          <a:pPr algn="ctr"/>
          <a:r>
            <a:rPr lang="zh-CN" altLang="en-US" sz="1200" b="1"/>
            <a:t>采购部</a:t>
          </a:r>
        </a:p>
      </dgm:t>
    </dgm:pt>
    <dgm:pt modelId="{B11928F5-9E09-4355-ABED-7947B95DDF8A}" cxnId="{E27EC550-79D2-4FB9-AC65-0BDC7C86FEFC}" type="parTrans">
      <dgm:prSet/>
      <dgm:spPr/>
      <dgm:t>
        <a:bodyPr/>
        <a:p>
          <a:pPr algn="ctr"/>
          <a:endParaRPr lang="zh-CN" altLang="en-US" sz="1200"/>
        </a:p>
      </dgm:t>
    </dgm:pt>
    <dgm:pt modelId="{740DD046-38DB-4359-973E-EF2567BFA381}" cxnId="{E27EC550-79D2-4FB9-AC65-0BDC7C86FEFC}" type="sibTrans">
      <dgm:prSet/>
      <dgm:spPr/>
      <dgm:t>
        <a:bodyPr/>
        <a:p>
          <a:pPr algn="ctr"/>
          <a:endParaRPr lang="zh-CN" altLang="en-US" sz="1200"/>
        </a:p>
      </dgm:t>
    </dgm:pt>
    <dgm:pt modelId="{D33BED65-2945-43E8-A7BE-FC88EB933ED4}">
      <dgm:prSet custT="1"/>
      <dgm:spPr/>
      <dgm:t>
        <a:bodyPr/>
        <a:p>
          <a:pPr algn="ctr"/>
          <a:r>
            <a:rPr lang="zh-CN" altLang="en-US" sz="1200" b="1"/>
            <a:t>技术部</a:t>
          </a:r>
        </a:p>
      </dgm:t>
    </dgm:pt>
    <dgm:pt modelId="{8B2EFE20-744B-4787-9B12-701483587BF3}" cxnId="{30138921-0081-4B2D-BBEC-8154FBEA141D}" type="parTrans">
      <dgm:prSet/>
      <dgm:spPr/>
      <dgm:t>
        <a:bodyPr/>
        <a:p>
          <a:pPr algn="ctr"/>
          <a:endParaRPr lang="zh-CN" altLang="en-US" sz="1200"/>
        </a:p>
      </dgm:t>
    </dgm:pt>
    <dgm:pt modelId="{84464183-8B68-420B-8445-554433619443}" cxnId="{30138921-0081-4B2D-BBEC-8154FBEA141D}" type="sibTrans">
      <dgm:prSet/>
      <dgm:spPr/>
      <dgm:t>
        <a:bodyPr/>
        <a:p>
          <a:pPr algn="ctr"/>
          <a:endParaRPr lang="zh-CN" altLang="en-US" sz="1200"/>
        </a:p>
      </dgm:t>
    </dgm:pt>
    <dgm:pt modelId="{BB4C7F4B-3788-4F91-9B2E-4DA556E159DC}">
      <dgm:prSet custT="1"/>
      <dgm:spPr/>
      <dgm:t>
        <a:bodyPr/>
        <a:p>
          <a:pPr algn="ctr"/>
          <a:r>
            <a:rPr lang="zh-CN" altLang="en-US" sz="1200" b="1"/>
            <a:t>物流运输管理</a:t>
          </a:r>
        </a:p>
      </dgm:t>
    </dgm:pt>
    <dgm:pt modelId="{7AC25F6B-785A-4A8B-ACCC-147CCC442F13}" cxnId="{EB4A817C-97CF-42F0-B5C9-90B06FB149B2}" type="parTrans">
      <dgm:prSet/>
      <dgm:spPr/>
      <dgm:t>
        <a:bodyPr/>
        <a:p>
          <a:pPr algn="ctr"/>
          <a:endParaRPr lang="zh-CN" altLang="en-US" sz="1200"/>
        </a:p>
      </dgm:t>
    </dgm:pt>
    <dgm:pt modelId="{C9F10DF0-F50C-43F3-8F00-CF6308A3BF9A}" cxnId="{EB4A817C-97CF-42F0-B5C9-90B06FB149B2}" type="sibTrans">
      <dgm:prSet/>
      <dgm:spPr/>
      <dgm:t>
        <a:bodyPr/>
        <a:p>
          <a:pPr algn="ctr"/>
          <a:endParaRPr lang="zh-CN" altLang="en-US" sz="1200"/>
        </a:p>
      </dgm:t>
    </dgm:pt>
    <dgm:pt modelId="{5D4D9EEB-4823-4D83-A0BB-A007DB568DE9}">
      <dgm:prSet custT="1"/>
      <dgm:spPr/>
      <dgm:t>
        <a:bodyPr/>
        <a:p>
          <a:pPr algn="ctr"/>
          <a:r>
            <a:rPr lang="zh-CN" altLang="en-US" sz="1200" b="1"/>
            <a:t>质监员</a:t>
          </a:r>
        </a:p>
      </dgm:t>
    </dgm:pt>
    <dgm:pt modelId="{743E2991-B1AA-44F4-8224-89E418F0E592}" cxnId="{69CCA262-97EE-49D0-8291-309F7E11E825}" type="parTrans">
      <dgm:prSet/>
      <dgm:spPr/>
      <dgm:t>
        <a:bodyPr/>
        <a:p>
          <a:pPr algn="ctr"/>
          <a:endParaRPr lang="zh-CN" altLang="en-US" sz="1200"/>
        </a:p>
      </dgm:t>
    </dgm:pt>
    <dgm:pt modelId="{53D4D2DA-A435-40A8-8EF0-781A6CC417A6}" cxnId="{69CCA262-97EE-49D0-8291-309F7E11E825}" type="sibTrans">
      <dgm:prSet/>
      <dgm:spPr/>
      <dgm:t>
        <a:bodyPr/>
        <a:p>
          <a:pPr algn="ctr"/>
          <a:endParaRPr lang="zh-CN" altLang="en-US" sz="1200"/>
        </a:p>
      </dgm:t>
    </dgm:pt>
    <dgm:pt modelId="{AA0EE94F-F78A-4498-87B9-C1440797EC7E}">
      <dgm:prSet custT="1"/>
      <dgm:spPr/>
      <dgm:t>
        <a:bodyPr/>
        <a:p>
          <a:pPr algn="ctr"/>
          <a:r>
            <a:rPr lang="zh-CN" altLang="en-US" sz="1200" b="1"/>
            <a:t>售后专员</a:t>
          </a:r>
        </a:p>
      </dgm:t>
    </dgm:pt>
    <dgm:pt modelId="{F59B3663-86E2-4274-90E3-98D5C2894DF1}" cxnId="{C69AFD23-7624-4BE6-9D69-1B85B35BCD6F}" type="parTrans">
      <dgm:prSet/>
      <dgm:spPr/>
      <dgm:t>
        <a:bodyPr/>
        <a:p>
          <a:pPr algn="ctr"/>
          <a:endParaRPr lang="zh-CN" altLang="en-US" sz="1200"/>
        </a:p>
      </dgm:t>
    </dgm:pt>
    <dgm:pt modelId="{CD50F4F3-1F81-46C4-A404-5A940F6F408D}" cxnId="{C69AFD23-7624-4BE6-9D69-1B85B35BCD6F}" type="sibTrans">
      <dgm:prSet/>
      <dgm:spPr/>
      <dgm:t>
        <a:bodyPr/>
        <a:p>
          <a:pPr algn="ctr"/>
          <a:endParaRPr lang="zh-CN" altLang="en-US" sz="1200"/>
        </a:p>
      </dgm:t>
    </dgm:pt>
    <dgm:pt modelId="{7ED479F1-1645-42FF-ADE9-E2B13ECFCBE7}" type="pres">
      <dgm:prSet presAssocID="{B6FB286A-38DA-43C0-8C94-32E2C42A7461}" presName="hierChild1" presStyleCnt="0">
        <dgm:presLayoutVars>
          <dgm:chPref val="1"/>
          <dgm:dir/>
          <dgm:animOne val="branch"/>
          <dgm:animLvl val="lvl"/>
          <dgm:resizeHandles/>
        </dgm:presLayoutVars>
      </dgm:prSet>
      <dgm:spPr/>
    </dgm:pt>
    <dgm:pt modelId="{CAB8A9F8-460A-4D06-90F9-E37BA129C857}" type="pres">
      <dgm:prSet presAssocID="{B630EE8B-9A1D-4A23-8078-AD47605BEAB9}" presName="hierRoot1" presStyleCnt="0"/>
      <dgm:spPr/>
    </dgm:pt>
    <dgm:pt modelId="{033694DE-10A4-4F18-B4F5-79DB2D957FCA}" type="pres">
      <dgm:prSet presAssocID="{B630EE8B-9A1D-4A23-8078-AD47605BEAB9}" presName="composite" presStyleCnt="0"/>
      <dgm:spPr/>
    </dgm:pt>
    <dgm:pt modelId="{56D1C601-2C93-4AA9-A4F7-CF2F41A3108D}" type="pres">
      <dgm:prSet presAssocID="{B630EE8B-9A1D-4A23-8078-AD47605BEAB9}" presName="background" presStyleLbl="node0" presStyleIdx="0" presStyleCnt="1"/>
      <dgm:spPr/>
    </dgm:pt>
    <dgm:pt modelId="{16255E62-CE74-4EC7-9DD6-B071F7F1EB3D}" type="pres">
      <dgm:prSet presAssocID="{B630EE8B-9A1D-4A23-8078-AD47605BEAB9}" presName="text" presStyleLbl="fgAcc0" presStyleIdx="0" presStyleCnt="1">
        <dgm:presLayoutVars>
          <dgm:chPref val="3"/>
        </dgm:presLayoutVars>
      </dgm:prSet>
      <dgm:spPr/>
    </dgm:pt>
    <dgm:pt modelId="{068C438E-6AF2-42CA-9373-5FD0CFF16F4F}" type="pres">
      <dgm:prSet presAssocID="{B630EE8B-9A1D-4A23-8078-AD47605BEAB9}" presName="hierChild2" presStyleCnt="0"/>
      <dgm:spPr/>
    </dgm:pt>
    <dgm:pt modelId="{AE1DBD73-9C2C-401B-A5F6-744D3257FA90}" type="pres">
      <dgm:prSet presAssocID="{A5650198-7B04-4157-9C73-49E37B662FE1}" presName="Name10" presStyleLbl="parChTrans1D2" presStyleIdx="0" presStyleCnt="6"/>
      <dgm:spPr/>
    </dgm:pt>
    <dgm:pt modelId="{A08F856A-F14A-4672-A932-5EE2EC1DFAE1}" type="pres">
      <dgm:prSet presAssocID="{31E892D7-55EB-4120-8DEE-C89FF439487E}" presName="hierRoot2" presStyleCnt="0"/>
      <dgm:spPr/>
    </dgm:pt>
    <dgm:pt modelId="{E049BECB-3E6B-4592-9955-35E8FEFBF485}" type="pres">
      <dgm:prSet presAssocID="{31E892D7-55EB-4120-8DEE-C89FF439487E}" presName="composite2" presStyleCnt="0"/>
      <dgm:spPr/>
    </dgm:pt>
    <dgm:pt modelId="{B93C9C78-6C51-4177-AFFC-496C969B2716}" type="pres">
      <dgm:prSet presAssocID="{31E892D7-55EB-4120-8DEE-C89FF439487E}" presName="background2" presStyleLbl="node2" presStyleIdx="0" presStyleCnt="6"/>
      <dgm:spPr/>
    </dgm:pt>
    <dgm:pt modelId="{EF5A8C79-5A9C-4EE9-BA2C-9A7F03A0E2D9}" type="pres">
      <dgm:prSet presAssocID="{31E892D7-55EB-4120-8DEE-C89FF439487E}" presName="text2" presStyleLbl="fgAcc2" presStyleIdx="0" presStyleCnt="6">
        <dgm:presLayoutVars>
          <dgm:chPref val="3"/>
        </dgm:presLayoutVars>
      </dgm:prSet>
      <dgm:spPr/>
    </dgm:pt>
    <dgm:pt modelId="{054C89FF-2E2F-45B3-AF26-1F360BEBA5CD}" type="pres">
      <dgm:prSet presAssocID="{31E892D7-55EB-4120-8DEE-C89FF439487E}" presName="hierChild3" presStyleCnt="0"/>
      <dgm:spPr/>
    </dgm:pt>
    <dgm:pt modelId="{AD665521-B088-4FB2-B870-8B6EAE234EDF}" type="pres">
      <dgm:prSet presAssocID="{B11928F5-9E09-4355-ABED-7947B95DDF8A}" presName="Name10" presStyleLbl="parChTrans1D2" presStyleIdx="1" presStyleCnt="6"/>
      <dgm:spPr/>
    </dgm:pt>
    <dgm:pt modelId="{9A3D523E-4931-422E-90ED-1A5056E8025C}" type="pres">
      <dgm:prSet presAssocID="{0B7B43E0-DE0F-4C19-A515-C6FCAF024E05}" presName="hierRoot2" presStyleCnt="0"/>
      <dgm:spPr/>
    </dgm:pt>
    <dgm:pt modelId="{2008FD0C-8874-46A3-997B-03A315DA2D87}" type="pres">
      <dgm:prSet presAssocID="{0B7B43E0-DE0F-4C19-A515-C6FCAF024E05}" presName="composite2" presStyleCnt="0"/>
      <dgm:spPr/>
    </dgm:pt>
    <dgm:pt modelId="{A93CC859-0C4A-4B39-A27D-62078977A161}" type="pres">
      <dgm:prSet presAssocID="{0B7B43E0-DE0F-4C19-A515-C6FCAF024E05}" presName="background2" presStyleLbl="node2" presStyleIdx="1" presStyleCnt="6"/>
      <dgm:spPr/>
    </dgm:pt>
    <dgm:pt modelId="{60F7B0B1-CD98-4E94-A7ED-5319E948663D}" type="pres">
      <dgm:prSet presAssocID="{0B7B43E0-DE0F-4C19-A515-C6FCAF024E05}" presName="text2" presStyleLbl="fgAcc2" presStyleIdx="1" presStyleCnt="6">
        <dgm:presLayoutVars>
          <dgm:chPref val="3"/>
        </dgm:presLayoutVars>
      </dgm:prSet>
      <dgm:spPr/>
    </dgm:pt>
    <dgm:pt modelId="{8D606D5F-D980-4F22-84F0-D2DFE5D9B147}" type="pres">
      <dgm:prSet presAssocID="{0B7B43E0-DE0F-4C19-A515-C6FCAF024E05}" presName="hierChild3" presStyleCnt="0"/>
      <dgm:spPr/>
    </dgm:pt>
    <dgm:pt modelId="{3261F6F6-5589-48D2-A7AF-6B07DBD72BDD}" type="pres">
      <dgm:prSet presAssocID="{8B2EFE20-744B-4787-9B12-701483587BF3}" presName="Name10" presStyleLbl="parChTrans1D2" presStyleIdx="2" presStyleCnt="6"/>
      <dgm:spPr/>
    </dgm:pt>
    <dgm:pt modelId="{3AB420BC-2AF6-494E-8313-CFE06BDF8029}" type="pres">
      <dgm:prSet presAssocID="{D33BED65-2945-43E8-A7BE-FC88EB933ED4}" presName="hierRoot2" presStyleCnt="0"/>
      <dgm:spPr/>
    </dgm:pt>
    <dgm:pt modelId="{28DAD757-7229-405C-BF02-0DE9538DADE5}" type="pres">
      <dgm:prSet presAssocID="{D33BED65-2945-43E8-A7BE-FC88EB933ED4}" presName="composite2" presStyleCnt="0"/>
      <dgm:spPr/>
    </dgm:pt>
    <dgm:pt modelId="{79E97CB3-6101-49C6-A94D-E357D3AD6083}" type="pres">
      <dgm:prSet presAssocID="{D33BED65-2945-43E8-A7BE-FC88EB933ED4}" presName="background2" presStyleLbl="node2" presStyleIdx="2" presStyleCnt="6"/>
      <dgm:spPr/>
    </dgm:pt>
    <dgm:pt modelId="{6FA440F1-E298-459D-A105-F0A344FFEAFF}" type="pres">
      <dgm:prSet presAssocID="{D33BED65-2945-43E8-A7BE-FC88EB933ED4}" presName="text2" presStyleLbl="fgAcc2" presStyleIdx="2" presStyleCnt="6">
        <dgm:presLayoutVars>
          <dgm:chPref val="3"/>
        </dgm:presLayoutVars>
      </dgm:prSet>
      <dgm:spPr/>
    </dgm:pt>
    <dgm:pt modelId="{F36267C4-250E-4B6F-9161-09A854B66DEC}" type="pres">
      <dgm:prSet presAssocID="{D33BED65-2945-43E8-A7BE-FC88EB933ED4}" presName="hierChild3" presStyleCnt="0"/>
      <dgm:spPr/>
    </dgm:pt>
    <dgm:pt modelId="{B76493B1-6D5A-4F0C-BC71-CBCFCC7FEE82}" type="pres">
      <dgm:prSet presAssocID="{7AC25F6B-785A-4A8B-ACCC-147CCC442F13}" presName="Name10" presStyleLbl="parChTrans1D2" presStyleIdx="3" presStyleCnt="6"/>
      <dgm:spPr/>
    </dgm:pt>
    <dgm:pt modelId="{A4B92B19-8676-4A19-BC1C-A3A2BD2E31D8}" type="pres">
      <dgm:prSet presAssocID="{BB4C7F4B-3788-4F91-9B2E-4DA556E159DC}" presName="hierRoot2" presStyleCnt="0"/>
      <dgm:spPr/>
    </dgm:pt>
    <dgm:pt modelId="{33AA2FFC-BFCC-483E-AF76-F9A92363DD74}" type="pres">
      <dgm:prSet presAssocID="{BB4C7F4B-3788-4F91-9B2E-4DA556E159DC}" presName="composite2" presStyleCnt="0"/>
      <dgm:spPr/>
    </dgm:pt>
    <dgm:pt modelId="{A34D984A-D386-4A55-B873-76B7436FE427}" type="pres">
      <dgm:prSet presAssocID="{BB4C7F4B-3788-4F91-9B2E-4DA556E159DC}" presName="background2" presStyleLbl="node2" presStyleIdx="3" presStyleCnt="6"/>
      <dgm:spPr/>
    </dgm:pt>
    <dgm:pt modelId="{3669B6E0-BF71-434F-B14B-F3951B7B80A7}" type="pres">
      <dgm:prSet presAssocID="{BB4C7F4B-3788-4F91-9B2E-4DA556E159DC}" presName="text2" presStyleLbl="fgAcc2" presStyleIdx="3" presStyleCnt="6">
        <dgm:presLayoutVars>
          <dgm:chPref val="3"/>
        </dgm:presLayoutVars>
      </dgm:prSet>
      <dgm:spPr/>
    </dgm:pt>
    <dgm:pt modelId="{EAD628A4-2E03-4EB4-AAF2-75FBD277BB60}" type="pres">
      <dgm:prSet presAssocID="{BB4C7F4B-3788-4F91-9B2E-4DA556E159DC}" presName="hierChild3" presStyleCnt="0"/>
      <dgm:spPr/>
    </dgm:pt>
    <dgm:pt modelId="{1E0A3DB5-B797-4E10-9E27-536F9140F0BC}" type="pres">
      <dgm:prSet presAssocID="{743E2991-B1AA-44F4-8224-89E418F0E592}" presName="Name10" presStyleLbl="parChTrans1D2" presStyleIdx="4" presStyleCnt="6"/>
      <dgm:spPr/>
    </dgm:pt>
    <dgm:pt modelId="{6E69FFB9-B5E1-4AE7-8999-97AA3F7804D5}" type="pres">
      <dgm:prSet presAssocID="{5D4D9EEB-4823-4D83-A0BB-A007DB568DE9}" presName="hierRoot2" presStyleCnt="0"/>
      <dgm:spPr/>
    </dgm:pt>
    <dgm:pt modelId="{8A5FD063-A3F7-422E-94BC-1F77C13DECCD}" type="pres">
      <dgm:prSet presAssocID="{5D4D9EEB-4823-4D83-A0BB-A007DB568DE9}" presName="composite2" presStyleCnt="0"/>
      <dgm:spPr/>
    </dgm:pt>
    <dgm:pt modelId="{88990396-FDFB-4B9D-8EBA-E7DB9C514C6C}" type="pres">
      <dgm:prSet presAssocID="{5D4D9EEB-4823-4D83-A0BB-A007DB568DE9}" presName="background2" presStyleLbl="node2" presStyleIdx="4" presStyleCnt="6"/>
      <dgm:spPr/>
    </dgm:pt>
    <dgm:pt modelId="{32E75E48-A66B-4066-B0BF-FE14EB5C7982}" type="pres">
      <dgm:prSet presAssocID="{5D4D9EEB-4823-4D83-A0BB-A007DB568DE9}" presName="text2" presStyleLbl="fgAcc2" presStyleIdx="4" presStyleCnt="6">
        <dgm:presLayoutVars>
          <dgm:chPref val="3"/>
        </dgm:presLayoutVars>
      </dgm:prSet>
      <dgm:spPr/>
    </dgm:pt>
    <dgm:pt modelId="{A0BB189A-3B43-4953-B2BE-456B4311901F}" type="pres">
      <dgm:prSet presAssocID="{5D4D9EEB-4823-4D83-A0BB-A007DB568DE9}" presName="hierChild3" presStyleCnt="0"/>
      <dgm:spPr/>
    </dgm:pt>
    <dgm:pt modelId="{B4E87755-22E1-418A-A308-518FE78D6DB3}" type="pres">
      <dgm:prSet presAssocID="{F59B3663-86E2-4274-90E3-98D5C2894DF1}" presName="Name10" presStyleLbl="parChTrans1D2" presStyleIdx="5" presStyleCnt="6"/>
      <dgm:spPr/>
    </dgm:pt>
    <dgm:pt modelId="{A5F666BF-36FB-4016-B910-CC80A5404260}" type="pres">
      <dgm:prSet presAssocID="{AA0EE94F-F78A-4498-87B9-C1440797EC7E}" presName="hierRoot2" presStyleCnt="0"/>
      <dgm:spPr/>
    </dgm:pt>
    <dgm:pt modelId="{824FBD67-C98A-406B-8E7B-A4D0275E58A6}" type="pres">
      <dgm:prSet presAssocID="{AA0EE94F-F78A-4498-87B9-C1440797EC7E}" presName="composite2" presStyleCnt="0"/>
      <dgm:spPr/>
    </dgm:pt>
    <dgm:pt modelId="{08382B9E-C6D3-4C70-8A08-8B57F13E9D0C}" type="pres">
      <dgm:prSet presAssocID="{AA0EE94F-F78A-4498-87B9-C1440797EC7E}" presName="background2" presStyleLbl="node2" presStyleIdx="5" presStyleCnt="6"/>
      <dgm:spPr/>
    </dgm:pt>
    <dgm:pt modelId="{880FFFA8-ACD5-45E6-8E00-685BE6FE364F}" type="pres">
      <dgm:prSet presAssocID="{AA0EE94F-F78A-4498-87B9-C1440797EC7E}" presName="text2" presStyleLbl="fgAcc2" presStyleIdx="5" presStyleCnt="6">
        <dgm:presLayoutVars>
          <dgm:chPref val="3"/>
        </dgm:presLayoutVars>
      </dgm:prSet>
      <dgm:spPr/>
    </dgm:pt>
    <dgm:pt modelId="{05D3C0DA-C069-4647-BC64-AE9C75AF3622}" type="pres">
      <dgm:prSet presAssocID="{AA0EE94F-F78A-4498-87B9-C1440797EC7E}" presName="hierChild3" presStyleCnt="0"/>
      <dgm:spPr/>
    </dgm:pt>
  </dgm:ptLst>
  <dgm:cxnLst>
    <dgm:cxn modelId="{EE990E10-CC52-4FB8-A0D6-7EBC1C907AEF}" type="presOf" srcId="{8B2EFE20-744B-4787-9B12-701483587BF3}" destId="{3261F6F6-5589-48D2-A7AF-6B07DBD72BDD}" srcOrd="0" destOrd="0" presId="urn:microsoft.com/office/officeart/2005/8/layout/hierarchy1#1"/>
    <dgm:cxn modelId="{30138921-0081-4B2D-BBEC-8154FBEA141D}" srcId="{B630EE8B-9A1D-4A23-8078-AD47605BEAB9}" destId="{D33BED65-2945-43E8-A7BE-FC88EB933ED4}" srcOrd="2" destOrd="0" parTransId="{8B2EFE20-744B-4787-9B12-701483587BF3}" sibTransId="{84464183-8B68-420B-8445-554433619443}"/>
    <dgm:cxn modelId="{C69AFD23-7624-4BE6-9D69-1B85B35BCD6F}" srcId="{B630EE8B-9A1D-4A23-8078-AD47605BEAB9}" destId="{AA0EE94F-F78A-4498-87B9-C1440797EC7E}" srcOrd="5" destOrd="0" parTransId="{F59B3663-86E2-4274-90E3-98D5C2894DF1}" sibTransId="{CD50F4F3-1F81-46C4-A404-5A940F6F408D}"/>
    <dgm:cxn modelId="{02202E5B-CB36-4E7B-B6DB-404E11E089F0}" srcId="{B6FB286A-38DA-43C0-8C94-32E2C42A7461}" destId="{B630EE8B-9A1D-4A23-8078-AD47605BEAB9}" srcOrd="0" destOrd="0" parTransId="{AD142BEF-12B7-4A3E-B7BD-98020CD078EE}" sibTransId="{27D3E507-19A4-4EDC-B1EF-C8BA6EDE2913}"/>
    <dgm:cxn modelId="{69CCA262-97EE-49D0-8291-309F7E11E825}" srcId="{B630EE8B-9A1D-4A23-8078-AD47605BEAB9}" destId="{5D4D9EEB-4823-4D83-A0BB-A007DB568DE9}" srcOrd="4" destOrd="0" parTransId="{743E2991-B1AA-44F4-8224-89E418F0E592}" sibTransId="{53D4D2DA-A435-40A8-8EF0-781A6CC417A6}"/>
    <dgm:cxn modelId="{53CDBF43-7D49-4951-8152-7809D9F52B87}" type="presOf" srcId="{7AC25F6B-785A-4A8B-ACCC-147CCC442F13}" destId="{B76493B1-6D5A-4F0C-BC71-CBCFCC7FEE82}" srcOrd="0" destOrd="0" presId="urn:microsoft.com/office/officeart/2005/8/layout/hierarchy1#1"/>
    <dgm:cxn modelId="{39DA8C6B-CB3D-4F58-8A3E-66C5062623A2}" type="presOf" srcId="{B11928F5-9E09-4355-ABED-7947B95DDF8A}" destId="{AD665521-B088-4FB2-B870-8B6EAE234EDF}" srcOrd="0" destOrd="0" presId="urn:microsoft.com/office/officeart/2005/8/layout/hierarchy1#1"/>
    <dgm:cxn modelId="{AD0F096F-4B31-4B44-B4E3-9C738D0260F0}" type="presOf" srcId="{B630EE8B-9A1D-4A23-8078-AD47605BEAB9}" destId="{16255E62-CE74-4EC7-9DD6-B071F7F1EB3D}" srcOrd="0" destOrd="0" presId="urn:microsoft.com/office/officeart/2005/8/layout/hierarchy1#1"/>
    <dgm:cxn modelId="{DE5BA550-19FD-4C33-9E35-4F6A0802B35F}" type="presOf" srcId="{B6FB286A-38DA-43C0-8C94-32E2C42A7461}" destId="{7ED479F1-1645-42FF-ADE9-E2B13ECFCBE7}" srcOrd="0" destOrd="0" presId="urn:microsoft.com/office/officeart/2005/8/layout/hierarchy1#1"/>
    <dgm:cxn modelId="{E27EC550-79D2-4FB9-AC65-0BDC7C86FEFC}" srcId="{B630EE8B-9A1D-4A23-8078-AD47605BEAB9}" destId="{0B7B43E0-DE0F-4C19-A515-C6FCAF024E05}" srcOrd="1" destOrd="0" parTransId="{B11928F5-9E09-4355-ABED-7947B95DDF8A}" sibTransId="{740DD046-38DB-4359-973E-EF2567BFA381}"/>
    <dgm:cxn modelId="{FCEF3575-AC8E-40B6-81C5-14E8530E02D7}" type="presOf" srcId="{A5650198-7B04-4157-9C73-49E37B662FE1}" destId="{AE1DBD73-9C2C-401B-A5F6-744D3257FA90}" srcOrd="0" destOrd="0" presId="urn:microsoft.com/office/officeart/2005/8/layout/hierarchy1#1"/>
    <dgm:cxn modelId="{EB4A817C-97CF-42F0-B5C9-90B06FB149B2}" srcId="{B630EE8B-9A1D-4A23-8078-AD47605BEAB9}" destId="{BB4C7F4B-3788-4F91-9B2E-4DA556E159DC}" srcOrd="3" destOrd="0" parTransId="{7AC25F6B-785A-4A8B-ACCC-147CCC442F13}" sibTransId="{C9F10DF0-F50C-43F3-8F00-CF6308A3BF9A}"/>
    <dgm:cxn modelId="{66BD3486-0467-4AEC-BE62-E5EBBDAB47BC}" srcId="{B630EE8B-9A1D-4A23-8078-AD47605BEAB9}" destId="{31E892D7-55EB-4120-8DEE-C89FF439487E}" srcOrd="0" destOrd="0" parTransId="{A5650198-7B04-4157-9C73-49E37B662FE1}" sibTransId="{0FC8DD16-7D4D-46DB-AB99-1491AE150BC3}"/>
    <dgm:cxn modelId="{F8CA4D8A-5AFC-4824-9002-92342218EE03}" type="presOf" srcId="{AA0EE94F-F78A-4498-87B9-C1440797EC7E}" destId="{880FFFA8-ACD5-45E6-8E00-685BE6FE364F}" srcOrd="0" destOrd="0" presId="urn:microsoft.com/office/officeart/2005/8/layout/hierarchy1#1"/>
    <dgm:cxn modelId="{CFD15098-C46C-4F3C-8BFA-B37BC74E7050}" type="presOf" srcId="{0B7B43E0-DE0F-4C19-A515-C6FCAF024E05}" destId="{60F7B0B1-CD98-4E94-A7ED-5319E948663D}" srcOrd="0" destOrd="0" presId="urn:microsoft.com/office/officeart/2005/8/layout/hierarchy1#1"/>
    <dgm:cxn modelId="{B768A79A-351E-47C2-A02F-3D6993E2D563}" type="presOf" srcId="{31E892D7-55EB-4120-8DEE-C89FF439487E}" destId="{EF5A8C79-5A9C-4EE9-BA2C-9A7F03A0E2D9}" srcOrd="0" destOrd="0" presId="urn:microsoft.com/office/officeart/2005/8/layout/hierarchy1#1"/>
    <dgm:cxn modelId="{03F929CD-212B-468F-B811-93D4834B70E8}" type="presOf" srcId="{743E2991-B1AA-44F4-8224-89E418F0E592}" destId="{1E0A3DB5-B797-4E10-9E27-536F9140F0BC}" srcOrd="0" destOrd="0" presId="urn:microsoft.com/office/officeart/2005/8/layout/hierarchy1#1"/>
    <dgm:cxn modelId="{8BE2E8D1-A86A-44EC-B9D3-A5E085B2EF87}" type="presOf" srcId="{D33BED65-2945-43E8-A7BE-FC88EB933ED4}" destId="{6FA440F1-E298-459D-A105-F0A344FFEAFF}" srcOrd="0" destOrd="0" presId="urn:microsoft.com/office/officeart/2005/8/layout/hierarchy1#1"/>
    <dgm:cxn modelId="{5126CBD3-4798-4DDD-8DB7-D19FBBB040CD}" type="presOf" srcId="{F59B3663-86E2-4274-90E3-98D5C2894DF1}" destId="{B4E87755-22E1-418A-A308-518FE78D6DB3}" srcOrd="0" destOrd="0" presId="urn:microsoft.com/office/officeart/2005/8/layout/hierarchy1#1"/>
    <dgm:cxn modelId="{94310DDA-B860-42C7-B1E6-F91E2750C36D}" type="presOf" srcId="{5D4D9EEB-4823-4D83-A0BB-A007DB568DE9}" destId="{32E75E48-A66B-4066-B0BF-FE14EB5C7982}" srcOrd="0" destOrd="0" presId="urn:microsoft.com/office/officeart/2005/8/layout/hierarchy1#1"/>
    <dgm:cxn modelId="{A18CD8E4-1B08-47FC-ABF8-6F16958D1ADF}" type="presOf" srcId="{BB4C7F4B-3788-4F91-9B2E-4DA556E159DC}" destId="{3669B6E0-BF71-434F-B14B-F3951B7B80A7}" srcOrd="0" destOrd="0" presId="urn:microsoft.com/office/officeart/2005/8/layout/hierarchy1#1"/>
    <dgm:cxn modelId="{290EAA6B-8801-4DB0-BCD3-3B35935A7F5D}" type="presParOf" srcId="{7ED479F1-1645-42FF-ADE9-E2B13ECFCBE7}" destId="{CAB8A9F8-460A-4D06-90F9-E37BA129C857}" srcOrd="0" destOrd="0" presId="urn:microsoft.com/office/officeart/2005/8/layout/hierarchy1#1"/>
    <dgm:cxn modelId="{C852B905-A2C0-4744-B99D-681566D1BEF7}" type="presParOf" srcId="{CAB8A9F8-460A-4D06-90F9-E37BA129C857}" destId="{033694DE-10A4-4F18-B4F5-79DB2D957FCA}" srcOrd="0" destOrd="0" presId="urn:microsoft.com/office/officeart/2005/8/layout/hierarchy1#1"/>
    <dgm:cxn modelId="{3BDE00B0-66CC-4023-B5AA-6E463CDB5915}" type="presParOf" srcId="{033694DE-10A4-4F18-B4F5-79DB2D957FCA}" destId="{56D1C601-2C93-4AA9-A4F7-CF2F41A3108D}" srcOrd="0" destOrd="0" presId="urn:microsoft.com/office/officeart/2005/8/layout/hierarchy1#1"/>
    <dgm:cxn modelId="{826DAA07-25A7-4FB7-A154-38B9B94FECDA}" type="presParOf" srcId="{033694DE-10A4-4F18-B4F5-79DB2D957FCA}" destId="{16255E62-CE74-4EC7-9DD6-B071F7F1EB3D}" srcOrd="1" destOrd="0" presId="urn:microsoft.com/office/officeart/2005/8/layout/hierarchy1#1"/>
    <dgm:cxn modelId="{5E21F4A7-9ABA-44B4-A2F5-C6F6A63950EA}" type="presParOf" srcId="{CAB8A9F8-460A-4D06-90F9-E37BA129C857}" destId="{068C438E-6AF2-42CA-9373-5FD0CFF16F4F}" srcOrd="1" destOrd="0" presId="urn:microsoft.com/office/officeart/2005/8/layout/hierarchy1#1"/>
    <dgm:cxn modelId="{A3E7B673-5D47-4DDD-B304-B18D2C306F1E}" type="presParOf" srcId="{068C438E-6AF2-42CA-9373-5FD0CFF16F4F}" destId="{AE1DBD73-9C2C-401B-A5F6-744D3257FA90}" srcOrd="0" destOrd="0" presId="urn:microsoft.com/office/officeart/2005/8/layout/hierarchy1#1"/>
    <dgm:cxn modelId="{61D8323A-15A8-47F5-A4FB-DC6A6BFB3168}" type="presParOf" srcId="{068C438E-6AF2-42CA-9373-5FD0CFF16F4F}" destId="{A08F856A-F14A-4672-A932-5EE2EC1DFAE1}" srcOrd="1" destOrd="0" presId="urn:microsoft.com/office/officeart/2005/8/layout/hierarchy1#1"/>
    <dgm:cxn modelId="{2D9AFDCB-DFC9-411C-A2D0-931ADAA753F0}" type="presParOf" srcId="{A08F856A-F14A-4672-A932-5EE2EC1DFAE1}" destId="{E049BECB-3E6B-4592-9955-35E8FEFBF485}" srcOrd="0" destOrd="0" presId="urn:microsoft.com/office/officeart/2005/8/layout/hierarchy1#1"/>
    <dgm:cxn modelId="{FCA54E78-B810-4BC0-B797-3F54657B0FBC}" type="presParOf" srcId="{E049BECB-3E6B-4592-9955-35E8FEFBF485}" destId="{B93C9C78-6C51-4177-AFFC-496C969B2716}" srcOrd="0" destOrd="0" presId="urn:microsoft.com/office/officeart/2005/8/layout/hierarchy1#1"/>
    <dgm:cxn modelId="{FF71E3AD-B250-449B-98E2-3628C30DD9B6}" type="presParOf" srcId="{E049BECB-3E6B-4592-9955-35E8FEFBF485}" destId="{EF5A8C79-5A9C-4EE9-BA2C-9A7F03A0E2D9}" srcOrd="1" destOrd="0" presId="urn:microsoft.com/office/officeart/2005/8/layout/hierarchy1#1"/>
    <dgm:cxn modelId="{A91D106A-E108-40D0-B2F5-79CA3AD504B8}" type="presParOf" srcId="{A08F856A-F14A-4672-A932-5EE2EC1DFAE1}" destId="{054C89FF-2E2F-45B3-AF26-1F360BEBA5CD}" srcOrd="1" destOrd="0" presId="urn:microsoft.com/office/officeart/2005/8/layout/hierarchy1#1"/>
    <dgm:cxn modelId="{C4D5C7F9-E6D8-4F66-8A05-02CF0B44BB3E}" type="presParOf" srcId="{068C438E-6AF2-42CA-9373-5FD0CFF16F4F}" destId="{AD665521-B088-4FB2-B870-8B6EAE234EDF}" srcOrd="2" destOrd="0" presId="urn:microsoft.com/office/officeart/2005/8/layout/hierarchy1#1"/>
    <dgm:cxn modelId="{3E4F1CE1-AB1A-408C-9379-82E000C67910}" type="presParOf" srcId="{068C438E-6AF2-42CA-9373-5FD0CFF16F4F}" destId="{9A3D523E-4931-422E-90ED-1A5056E8025C}" srcOrd="3" destOrd="0" presId="urn:microsoft.com/office/officeart/2005/8/layout/hierarchy1#1"/>
    <dgm:cxn modelId="{71590169-F8ED-4671-8852-6B38F10A5722}" type="presParOf" srcId="{9A3D523E-4931-422E-90ED-1A5056E8025C}" destId="{2008FD0C-8874-46A3-997B-03A315DA2D87}" srcOrd="0" destOrd="0" presId="urn:microsoft.com/office/officeart/2005/8/layout/hierarchy1#1"/>
    <dgm:cxn modelId="{7EE9A999-220E-4A28-A22E-7764DD9DB642}" type="presParOf" srcId="{2008FD0C-8874-46A3-997B-03A315DA2D87}" destId="{A93CC859-0C4A-4B39-A27D-62078977A161}" srcOrd="0" destOrd="0" presId="urn:microsoft.com/office/officeart/2005/8/layout/hierarchy1#1"/>
    <dgm:cxn modelId="{1DF71DBF-BC50-429B-B15D-6AEEE9DCE327}" type="presParOf" srcId="{2008FD0C-8874-46A3-997B-03A315DA2D87}" destId="{60F7B0B1-CD98-4E94-A7ED-5319E948663D}" srcOrd="1" destOrd="0" presId="urn:microsoft.com/office/officeart/2005/8/layout/hierarchy1#1"/>
    <dgm:cxn modelId="{F9ACDB84-5324-4FED-8CED-7B4B071BF5BD}" type="presParOf" srcId="{9A3D523E-4931-422E-90ED-1A5056E8025C}" destId="{8D606D5F-D980-4F22-84F0-D2DFE5D9B147}" srcOrd="1" destOrd="0" presId="urn:microsoft.com/office/officeart/2005/8/layout/hierarchy1#1"/>
    <dgm:cxn modelId="{A31B7BE6-BB58-4B3D-AA7C-D1A29F6DA78C}" type="presParOf" srcId="{068C438E-6AF2-42CA-9373-5FD0CFF16F4F}" destId="{3261F6F6-5589-48D2-A7AF-6B07DBD72BDD}" srcOrd="4" destOrd="0" presId="urn:microsoft.com/office/officeart/2005/8/layout/hierarchy1#1"/>
    <dgm:cxn modelId="{55F554A6-FE4A-4A83-898A-9DC27D3318C3}" type="presParOf" srcId="{068C438E-6AF2-42CA-9373-5FD0CFF16F4F}" destId="{3AB420BC-2AF6-494E-8313-CFE06BDF8029}" srcOrd="5" destOrd="0" presId="urn:microsoft.com/office/officeart/2005/8/layout/hierarchy1#1"/>
    <dgm:cxn modelId="{08A542B3-173C-4F24-8F40-BA03663D5FDD}" type="presParOf" srcId="{3AB420BC-2AF6-494E-8313-CFE06BDF8029}" destId="{28DAD757-7229-405C-BF02-0DE9538DADE5}" srcOrd="0" destOrd="0" presId="urn:microsoft.com/office/officeart/2005/8/layout/hierarchy1#1"/>
    <dgm:cxn modelId="{ED8A141C-779E-4EBF-86FF-042CBB23A4AF}" type="presParOf" srcId="{28DAD757-7229-405C-BF02-0DE9538DADE5}" destId="{79E97CB3-6101-49C6-A94D-E357D3AD6083}" srcOrd="0" destOrd="0" presId="urn:microsoft.com/office/officeart/2005/8/layout/hierarchy1#1"/>
    <dgm:cxn modelId="{69D234D6-73B2-46B8-A18E-2DF90BB974EC}" type="presParOf" srcId="{28DAD757-7229-405C-BF02-0DE9538DADE5}" destId="{6FA440F1-E298-459D-A105-F0A344FFEAFF}" srcOrd="1" destOrd="0" presId="urn:microsoft.com/office/officeart/2005/8/layout/hierarchy1#1"/>
    <dgm:cxn modelId="{0D219BD8-81E5-40B5-B012-6BAC9B204DBB}" type="presParOf" srcId="{3AB420BC-2AF6-494E-8313-CFE06BDF8029}" destId="{F36267C4-250E-4B6F-9161-09A854B66DEC}" srcOrd="1" destOrd="0" presId="urn:microsoft.com/office/officeart/2005/8/layout/hierarchy1#1"/>
    <dgm:cxn modelId="{72865521-9D8D-4F59-A9C2-0344AC0A4412}" type="presParOf" srcId="{068C438E-6AF2-42CA-9373-5FD0CFF16F4F}" destId="{B76493B1-6D5A-4F0C-BC71-CBCFCC7FEE82}" srcOrd="6" destOrd="0" presId="urn:microsoft.com/office/officeart/2005/8/layout/hierarchy1#1"/>
    <dgm:cxn modelId="{0626AE06-4338-4694-949E-08C147DCD111}" type="presParOf" srcId="{068C438E-6AF2-42CA-9373-5FD0CFF16F4F}" destId="{A4B92B19-8676-4A19-BC1C-A3A2BD2E31D8}" srcOrd="7" destOrd="0" presId="urn:microsoft.com/office/officeart/2005/8/layout/hierarchy1#1"/>
    <dgm:cxn modelId="{CDE9815E-941A-4404-B519-D32F8C184A86}" type="presParOf" srcId="{A4B92B19-8676-4A19-BC1C-A3A2BD2E31D8}" destId="{33AA2FFC-BFCC-483E-AF76-F9A92363DD74}" srcOrd="0" destOrd="0" presId="urn:microsoft.com/office/officeart/2005/8/layout/hierarchy1#1"/>
    <dgm:cxn modelId="{E5310818-2963-4141-B8BD-213D987CD1E4}" type="presParOf" srcId="{33AA2FFC-BFCC-483E-AF76-F9A92363DD74}" destId="{A34D984A-D386-4A55-B873-76B7436FE427}" srcOrd="0" destOrd="0" presId="urn:microsoft.com/office/officeart/2005/8/layout/hierarchy1#1"/>
    <dgm:cxn modelId="{A4FB53F4-6C6F-42D5-A185-DA8C397A0091}" type="presParOf" srcId="{33AA2FFC-BFCC-483E-AF76-F9A92363DD74}" destId="{3669B6E0-BF71-434F-B14B-F3951B7B80A7}" srcOrd="1" destOrd="0" presId="urn:microsoft.com/office/officeart/2005/8/layout/hierarchy1#1"/>
    <dgm:cxn modelId="{04E2367A-F1BD-46C2-980F-3222AAF38EC8}" type="presParOf" srcId="{A4B92B19-8676-4A19-BC1C-A3A2BD2E31D8}" destId="{EAD628A4-2E03-4EB4-AAF2-75FBD277BB60}" srcOrd="1" destOrd="0" presId="urn:microsoft.com/office/officeart/2005/8/layout/hierarchy1#1"/>
    <dgm:cxn modelId="{033E149C-AF32-40CD-BD5A-09D6E59C3EA0}" type="presParOf" srcId="{068C438E-6AF2-42CA-9373-5FD0CFF16F4F}" destId="{1E0A3DB5-B797-4E10-9E27-536F9140F0BC}" srcOrd="8" destOrd="0" presId="urn:microsoft.com/office/officeart/2005/8/layout/hierarchy1#1"/>
    <dgm:cxn modelId="{E8E5AA31-F060-4CD5-8019-E5D8FEC5B5E7}" type="presParOf" srcId="{068C438E-6AF2-42CA-9373-5FD0CFF16F4F}" destId="{6E69FFB9-B5E1-4AE7-8999-97AA3F7804D5}" srcOrd="9" destOrd="0" presId="urn:microsoft.com/office/officeart/2005/8/layout/hierarchy1#1"/>
    <dgm:cxn modelId="{E35D6849-CB84-4256-A54D-B9AE67952898}" type="presParOf" srcId="{6E69FFB9-B5E1-4AE7-8999-97AA3F7804D5}" destId="{8A5FD063-A3F7-422E-94BC-1F77C13DECCD}" srcOrd="0" destOrd="0" presId="urn:microsoft.com/office/officeart/2005/8/layout/hierarchy1#1"/>
    <dgm:cxn modelId="{2C98EC7B-293A-4F95-B360-B3FD9F813122}" type="presParOf" srcId="{8A5FD063-A3F7-422E-94BC-1F77C13DECCD}" destId="{88990396-FDFB-4B9D-8EBA-E7DB9C514C6C}" srcOrd="0" destOrd="0" presId="urn:microsoft.com/office/officeart/2005/8/layout/hierarchy1#1"/>
    <dgm:cxn modelId="{1A192C2C-8C42-4EBD-9DA9-2FDEDA23E1A9}" type="presParOf" srcId="{8A5FD063-A3F7-422E-94BC-1F77C13DECCD}" destId="{32E75E48-A66B-4066-B0BF-FE14EB5C7982}" srcOrd="1" destOrd="0" presId="urn:microsoft.com/office/officeart/2005/8/layout/hierarchy1#1"/>
    <dgm:cxn modelId="{6A4BF0D6-EE88-47A9-BB6F-A2D0C795BFCA}" type="presParOf" srcId="{6E69FFB9-B5E1-4AE7-8999-97AA3F7804D5}" destId="{A0BB189A-3B43-4953-B2BE-456B4311901F}" srcOrd="1" destOrd="0" presId="urn:microsoft.com/office/officeart/2005/8/layout/hierarchy1#1"/>
    <dgm:cxn modelId="{B45132C4-D431-4EE8-91C2-544AF108A37C}" type="presParOf" srcId="{068C438E-6AF2-42CA-9373-5FD0CFF16F4F}" destId="{B4E87755-22E1-418A-A308-518FE78D6DB3}" srcOrd="10" destOrd="0" presId="urn:microsoft.com/office/officeart/2005/8/layout/hierarchy1#1"/>
    <dgm:cxn modelId="{157D838A-6213-4196-AF4F-2EB5D00783D5}" type="presParOf" srcId="{068C438E-6AF2-42CA-9373-5FD0CFF16F4F}" destId="{A5F666BF-36FB-4016-B910-CC80A5404260}" srcOrd="11" destOrd="0" presId="urn:microsoft.com/office/officeart/2005/8/layout/hierarchy1#1"/>
    <dgm:cxn modelId="{276724C3-7CB8-45F9-92D8-6EAE1E37869C}" type="presParOf" srcId="{A5F666BF-36FB-4016-B910-CC80A5404260}" destId="{824FBD67-C98A-406B-8E7B-A4D0275E58A6}" srcOrd="0" destOrd="0" presId="urn:microsoft.com/office/officeart/2005/8/layout/hierarchy1#1"/>
    <dgm:cxn modelId="{213E68A9-7A9A-4ECE-92D9-159E0F0C05CE}" type="presParOf" srcId="{824FBD67-C98A-406B-8E7B-A4D0275E58A6}" destId="{08382B9E-C6D3-4C70-8A08-8B57F13E9D0C}" srcOrd="0" destOrd="0" presId="urn:microsoft.com/office/officeart/2005/8/layout/hierarchy1#1"/>
    <dgm:cxn modelId="{D864F778-1FF0-478D-8F51-E167ED11755A}" type="presParOf" srcId="{824FBD67-C98A-406B-8E7B-A4D0275E58A6}" destId="{880FFFA8-ACD5-45E6-8E00-685BE6FE364F}" srcOrd="1" destOrd="0" presId="urn:microsoft.com/office/officeart/2005/8/layout/hierarchy1#1"/>
    <dgm:cxn modelId="{6713AA55-2286-4451-A871-1DFBC95B14A9}" type="presParOf" srcId="{A5F666BF-36FB-4016-B910-CC80A5404260}" destId="{05D3C0DA-C069-4647-BC64-AE9C75AF3622}" srcOrd="1" destOrd="0" presId="urn:microsoft.com/office/officeart/2005/8/layout/hierarchy1#1"/>
  </dgm:cxnLst>
  <dgm:bg/>
  <dgm:whole/>
</dgm:dataModel>
</file>

<file path=word/diagrams/data2.xml><?xml version="1.0" encoding="utf-8"?>
<dgm:dataModel xmlns:dgm="http://schemas.openxmlformats.org/drawingml/2006/diagram" xmlns:a="http://schemas.openxmlformats.org/drawingml/2006/main">
  <dgm:ptLst>
    <dgm:pt modelId="{B6FB286A-38DA-43C0-8C94-32E2C42A7461}" type="doc">
      <dgm:prSet loTypeId="urn:microsoft.com/office/officeart/2008/layout/HorizontalMultiLevelHierarchy" loCatId="hierarchy" qsTypeId="urn:microsoft.com/office/officeart/2005/8/quickstyle/simple3" qsCatId="simple" csTypeId="urn:microsoft.com/office/officeart/2005/8/colors/colorful3#1" csCatId="colorful" phldr="1"/>
      <dgm:spPr/>
      <dgm:t>
        <a:bodyPr/>
        <a:p>
          <a:endParaRPr lang="zh-CN" altLang="en-US"/>
        </a:p>
      </dgm:t>
    </dgm:pt>
    <dgm:pt modelId="{B630EE8B-9A1D-4A23-8078-AD47605BEAB9}">
      <dgm:prSet phldrT="[文本]" custT="1"/>
      <dgm:spPr/>
      <dgm:t>
        <a:bodyPr/>
        <a:p>
          <a:r>
            <a:rPr lang="zh-CN" altLang="en-US" sz="1200" b="1"/>
            <a:t>项目负责人</a:t>
          </a:r>
          <a:endParaRPr lang="zh-CN" altLang="en-US" sz="1200"/>
        </a:p>
      </dgm:t>
    </dgm:pt>
    <dgm:pt modelId="{AD142BEF-12B7-4A3E-B7BD-98020CD078EE}" cxnId="{02202E5B-CB36-4E7B-B6DB-404E11E089F0}" type="parTrans">
      <dgm:prSet/>
      <dgm:spPr/>
      <dgm:t>
        <a:bodyPr/>
        <a:p>
          <a:endParaRPr lang="zh-CN" altLang="en-US" sz="1200"/>
        </a:p>
      </dgm:t>
    </dgm:pt>
    <dgm:pt modelId="{27D3E507-19A4-4EDC-B1EF-C8BA6EDE2913}" cxnId="{02202E5B-CB36-4E7B-B6DB-404E11E089F0}" type="sibTrans">
      <dgm:prSet/>
      <dgm:spPr/>
      <dgm:t>
        <a:bodyPr/>
        <a:p>
          <a:endParaRPr lang="zh-CN" altLang="en-US" sz="1200"/>
        </a:p>
      </dgm:t>
    </dgm:pt>
    <dgm:pt modelId="{0B7B43E0-DE0F-4C19-A515-C6FCAF024E05}">
      <dgm:prSet custT="1"/>
      <dgm:spPr/>
      <dgm:t>
        <a:bodyPr/>
        <a:p>
          <a:r>
            <a:rPr lang="zh-CN" altLang="en-US" sz="1200" b="1"/>
            <a:t>采购部</a:t>
          </a:r>
        </a:p>
      </dgm:t>
    </dgm:pt>
    <dgm:pt modelId="{B11928F5-9E09-4355-ABED-7947B95DDF8A}" cxnId="{E27EC550-79D2-4FB9-AC65-0BDC7C86FEFC}" type="parTrans">
      <dgm:prSet/>
      <dgm:spPr/>
      <dgm:t>
        <a:bodyPr/>
        <a:p>
          <a:endParaRPr lang="zh-CN" altLang="en-US" sz="1200"/>
        </a:p>
      </dgm:t>
    </dgm:pt>
    <dgm:pt modelId="{740DD046-38DB-4359-973E-EF2567BFA381}" cxnId="{E27EC550-79D2-4FB9-AC65-0BDC7C86FEFC}" type="sibTrans">
      <dgm:prSet/>
      <dgm:spPr/>
      <dgm:t>
        <a:bodyPr/>
        <a:p>
          <a:endParaRPr lang="zh-CN" altLang="en-US" sz="1200"/>
        </a:p>
      </dgm:t>
    </dgm:pt>
    <dgm:pt modelId="{D33BED65-2945-43E8-A7BE-FC88EB933ED4}">
      <dgm:prSet custT="1"/>
      <dgm:spPr/>
      <dgm:t>
        <a:bodyPr/>
        <a:p>
          <a:r>
            <a:rPr lang="zh-CN" altLang="en-US" sz="1200" b="1"/>
            <a:t>技术部</a:t>
          </a:r>
        </a:p>
      </dgm:t>
    </dgm:pt>
    <dgm:pt modelId="{8B2EFE20-744B-4787-9B12-701483587BF3}" cxnId="{30138921-0081-4B2D-BBEC-8154FBEA141D}" type="parTrans">
      <dgm:prSet/>
      <dgm:spPr/>
      <dgm:t>
        <a:bodyPr/>
        <a:p>
          <a:endParaRPr lang="zh-CN" altLang="en-US" sz="1200"/>
        </a:p>
      </dgm:t>
    </dgm:pt>
    <dgm:pt modelId="{84464183-8B68-420B-8445-554433619443}" cxnId="{30138921-0081-4B2D-BBEC-8154FBEA141D}" type="sibTrans">
      <dgm:prSet/>
      <dgm:spPr/>
      <dgm:t>
        <a:bodyPr/>
        <a:p>
          <a:endParaRPr lang="zh-CN" altLang="en-US" sz="1200"/>
        </a:p>
      </dgm:t>
    </dgm:pt>
    <dgm:pt modelId="{BB4C7F4B-3788-4F91-9B2E-4DA556E159DC}">
      <dgm:prSet custT="1"/>
      <dgm:spPr/>
      <dgm:t>
        <a:bodyPr/>
        <a:p>
          <a:r>
            <a:rPr lang="zh-CN" altLang="en-US" sz="1200" b="1"/>
            <a:t>配送中心</a:t>
          </a:r>
        </a:p>
      </dgm:t>
    </dgm:pt>
    <dgm:pt modelId="{7AC25F6B-785A-4A8B-ACCC-147CCC442F13}" cxnId="{EB4A817C-97CF-42F0-B5C9-90B06FB149B2}" type="parTrans">
      <dgm:prSet/>
      <dgm:spPr/>
      <dgm:t>
        <a:bodyPr/>
        <a:p>
          <a:endParaRPr lang="zh-CN" altLang="en-US" sz="1200"/>
        </a:p>
      </dgm:t>
    </dgm:pt>
    <dgm:pt modelId="{C9F10DF0-F50C-43F3-8F00-CF6308A3BF9A}" cxnId="{EB4A817C-97CF-42F0-B5C9-90B06FB149B2}" type="sibTrans">
      <dgm:prSet/>
      <dgm:spPr/>
      <dgm:t>
        <a:bodyPr/>
        <a:p>
          <a:endParaRPr lang="zh-CN" altLang="en-US" sz="1200"/>
        </a:p>
      </dgm:t>
    </dgm:pt>
    <dgm:pt modelId="{5D4D9EEB-4823-4D83-A0BB-A007DB568DE9}">
      <dgm:prSet custT="1"/>
      <dgm:spPr/>
      <dgm:t>
        <a:bodyPr/>
        <a:p>
          <a:r>
            <a:rPr lang="zh-CN" altLang="en-US" sz="1200" b="1"/>
            <a:t>质监员</a:t>
          </a:r>
        </a:p>
      </dgm:t>
    </dgm:pt>
    <dgm:pt modelId="{743E2991-B1AA-44F4-8224-89E418F0E592}" cxnId="{69CCA262-97EE-49D0-8291-309F7E11E825}" type="parTrans">
      <dgm:prSet/>
      <dgm:spPr/>
      <dgm:t>
        <a:bodyPr/>
        <a:p>
          <a:endParaRPr lang="zh-CN" altLang="en-US" sz="1200"/>
        </a:p>
      </dgm:t>
    </dgm:pt>
    <dgm:pt modelId="{53D4D2DA-A435-40A8-8EF0-781A6CC417A6}" cxnId="{69CCA262-97EE-49D0-8291-309F7E11E825}" type="sibTrans">
      <dgm:prSet/>
      <dgm:spPr/>
      <dgm:t>
        <a:bodyPr/>
        <a:p>
          <a:endParaRPr lang="zh-CN" altLang="en-US" sz="1200"/>
        </a:p>
      </dgm:t>
    </dgm:pt>
    <dgm:pt modelId="{AA0EE94F-F78A-4498-87B9-C1440797EC7E}">
      <dgm:prSet custT="1"/>
      <dgm:spPr/>
      <dgm:t>
        <a:bodyPr/>
        <a:p>
          <a:r>
            <a:rPr lang="zh-CN" altLang="en-US" sz="1200" b="1"/>
            <a:t>售后专员</a:t>
          </a:r>
        </a:p>
      </dgm:t>
    </dgm:pt>
    <dgm:pt modelId="{F59B3663-86E2-4274-90E3-98D5C2894DF1}" cxnId="{C69AFD23-7624-4BE6-9D69-1B85B35BCD6F}" type="parTrans">
      <dgm:prSet/>
      <dgm:spPr/>
      <dgm:t>
        <a:bodyPr/>
        <a:p>
          <a:endParaRPr lang="zh-CN" altLang="en-US" sz="1200"/>
        </a:p>
      </dgm:t>
    </dgm:pt>
    <dgm:pt modelId="{CD50F4F3-1F81-46C4-A404-5A940F6F408D}" cxnId="{C69AFD23-7624-4BE6-9D69-1B85B35BCD6F}" type="sibTrans">
      <dgm:prSet/>
      <dgm:spPr/>
      <dgm:t>
        <a:bodyPr/>
        <a:p>
          <a:endParaRPr lang="zh-CN" altLang="en-US" sz="1200"/>
        </a:p>
      </dgm:t>
    </dgm:pt>
    <dgm:pt modelId="{E7969C7F-7A8B-4180-85B2-05044E28D8AA}">
      <dgm:prSet custT="1"/>
      <dgm:spPr/>
      <dgm:t>
        <a:bodyPr/>
        <a:p>
          <a:r>
            <a:rPr lang="zh-CN" altLang="en-US" sz="1200" b="1"/>
            <a:t>仓储部</a:t>
          </a:r>
        </a:p>
      </dgm:t>
    </dgm:pt>
    <dgm:pt modelId="{7C31B141-4B8A-446F-801C-A8DBED15E116}" cxnId="{2744878A-4E37-4CD7-B69D-839F4C9D2813}" type="parTrans">
      <dgm:prSet/>
      <dgm:spPr/>
      <dgm:t>
        <a:bodyPr/>
        <a:p>
          <a:endParaRPr lang="zh-CN" altLang="en-US"/>
        </a:p>
      </dgm:t>
    </dgm:pt>
    <dgm:pt modelId="{66846292-8BDF-47FA-9738-55DE05605121}" cxnId="{2744878A-4E37-4CD7-B69D-839F4C9D2813}" type="sibTrans">
      <dgm:prSet/>
      <dgm:spPr/>
      <dgm:t>
        <a:bodyPr/>
        <a:p>
          <a:endParaRPr lang="zh-CN" altLang="en-US"/>
        </a:p>
      </dgm:t>
    </dgm:pt>
    <dgm:pt modelId="{F82E8117-F3FE-4C8D-B0E6-ED0B7EF00C0B}">
      <dgm:prSet custT="1"/>
      <dgm:spPr/>
      <dgm:t>
        <a:bodyPr/>
        <a:p>
          <a:r>
            <a:rPr lang="zh-CN" altLang="en-US" sz="1200" b="1"/>
            <a:t>物资储存</a:t>
          </a:r>
        </a:p>
      </dgm:t>
    </dgm:pt>
    <dgm:pt modelId="{1A301DC8-4243-4906-B5D5-72B17777AB5C}" cxnId="{353D2631-65C1-4089-823C-A05D3E107ABC}" type="parTrans">
      <dgm:prSet/>
      <dgm:spPr/>
      <dgm:t>
        <a:bodyPr/>
        <a:p>
          <a:endParaRPr lang="zh-CN" altLang="en-US"/>
        </a:p>
      </dgm:t>
    </dgm:pt>
    <dgm:pt modelId="{21575B99-67ED-4DB6-B2FB-DE156FFF50CA}" cxnId="{353D2631-65C1-4089-823C-A05D3E107ABC}" type="sibTrans">
      <dgm:prSet/>
      <dgm:spPr/>
      <dgm:t>
        <a:bodyPr/>
        <a:p>
          <a:endParaRPr lang="zh-CN" altLang="en-US"/>
        </a:p>
      </dgm:t>
    </dgm:pt>
    <dgm:pt modelId="{9BA0A71D-A869-47A8-B9E6-B978F7A3D9D1}">
      <dgm:prSet custT="1"/>
      <dgm:spPr/>
      <dgm:t>
        <a:bodyPr/>
        <a:p>
          <a:r>
            <a:rPr lang="zh-CN" altLang="en-US" sz="1200" b="1"/>
            <a:t>组织配送及车辆调度</a:t>
          </a:r>
        </a:p>
      </dgm:t>
    </dgm:pt>
    <dgm:pt modelId="{041C2221-AE63-47CB-926F-8EDB22B5DB9A}" cxnId="{189FF2B2-CC6A-4B59-A106-753607A39774}" type="parTrans">
      <dgm:prSet/>
      <dgm:spPr/>
      <dgm:t>
        <a:bodyPr/>
        <a:p>
          <a:endParaRPr lang="zh-CN" altLang="en-US"/>
        </a:p>
      </dgm:t>
    </dgm:pt>
    <dgm:pt modelId="{1EC6C91C-B7FC-4606-B287-3E437B60A2A7}" cxnId="{189FF2B2-CC6A-4B59-A106-753607A39774}" type="sibTrans">
      <dgm:prSet/>
      <dgm:spPr/>
      <dgm:t>
        <a:bodyPr/>
        <a:p>
          <a:endParaRPr lang="zh-CN" altLang="en-US"/>
        </a:p>
      </dgm:t>
    </dgm:pt>
    <dgm:pt modelId="{4FD1E0B9-8772-4D91-B030-27263CDB2342}">
      <dgm:prSet custT="1"/>
      <dgm:spPr/>
      <dgm:t>
        <a:bodyPr/>
        <a:p>
          <a:r>
            <a:rPr lang="zh-CN" altLang="en-US" sz="1200" b="1"/>
            <a:t>客服</a:t>
          </a:r>
        </a:p>
      </dgm:t>
    </dgm:pt>
    <dgm:pt modelId="{ABC0915D-293F-4E3D-9CBB-D2B96E37B4AB}" cxnId="{C0C1A9F1-F428-4FA5-A505-C3F4AA45CC38}" type="parTrans">
      <dgm:prSet/>
      <dgm:spPr/>
      <dgm:t>
        <a:bodyPr/>
        <a:p>
          <a:endParaRPr lang="zh-CN" altLang="en-US"/>
        </a:p>
      </dgm:t>
    </dgm:pt>
    <dgm:pt modelId="{BF916EE1-A88B-4012-AA63-850DEAD22454}" cxnId="{C0C1A9F1-F428-4FA5-A505-C3F4AA45CC38}" type="sibTrans">
      <dgm:prSet/>
      <dgm:spPr/>
      <dgm:t>
        <a:bodyPr/>
        <a:p>
          <a:endParaRPr lang="zh-CN" altLang="en-US"/>
        </a:p>
      </dgm:t>
    </dgm:pt>
    <dgm:pt modelId="{1B989A1A-892B-4E40-ACB0-4E95F250E03C}">
      <dgm:prSet custT="1"/>
      <dgm:spPr/>
      <dgm:t>
        <a:bodyPr/>
        <a:p>
          <a:r>
            <a:rPr lang="zh-CN" altLang="en-US" sz="1200" b="1"/>
            <a:t>办公室</a:t>
          </a:r>
        </a:p>
      </dgm:t>
    </dgm:pt>
    <dgm:pt modelId="{47A0FD99-C021-48B1-9C44-EC834E979456}" cxnId="{53FC4CDD-E0AE-4A30-8700-0537A41C5F39}" type="parTrans">
      <dgm:prSet/>
      <dgm:spPr/>
      <dgm:t>
        <a:bodyPr/>
        <a:p>
          <a:endParaRPr lang="zh-CN" altLang="en-US"/>
        </a:p>
      </dgm:t>
    </dgm:pt>
    <dgm:pt modelId="{0F7D9424-84D7-43E0-B755-D34908320630}" cxnId="{53FC4CDD-E0AE-4A30-8700-0537A41C5F39}" type="sibTrans">
      <dgm:prSet/>
      <dgm:spPr/>
      <dgm:t>
        <a:bodyPr/>
        <a:p>
          <a:endParaRPr lang="zh-CN" altLang="en-US"/>
        </a:p>
      </dgm:t>
    </dgm:pt>
    <dgm:pt modelId="{5C66B384-7C4C-4F2A-A63F-ADAA079B3C0F}">
      <dgm:prSet custT="1"/>
      <dgm:spPr/>
      <dgm:t>
        <a:bodyPr/>
        <a:p>
          <a:r>
            <a:rPr lang="zh-CN" altLang="en-US" sz="1200" b="1"/>
            <a:t>其它事项</a:t>
          </a:r>
        </a:p>
      </dgm:t>
    </dgm:pt>
    <dgm:pt modelId="{9E2EA7D4-8319-449C-B6D2-2DE2A71114EC}" cxnId="{3C2D0303-EFBB-447F-9FAE-9886F966BFF1}" type="parTrans">
      <dgm:prSet/>
      <dgm:spPr/>
      <dgm:t>
        <a:bodyPr/>
        <a:p>
          <a:endParaRPr lang="zh-CN" altLang="en-US"/>
        </a:p>
      </dgm:t>
    </dgm:pt>
    <dgm:pt modelId="{49B483BA-B4F6-44B0-8379-052C170A1BD4}" cxnId="{3C2D0303-EFBB-447F-9FAE-9886F966BFF1}" type="sibTrans">
      <dgm:prSet/>
      <dgm:spPr/>
      <dgm:t>
        <a:bodyPr/>
        <a:p>
          <a:endParaRPr lang="zh-CN" altLang="en-US"/>
        </a:p>
      </dgm:t>
    </dgm:pt>
    <dgm:pt modelId="{7EAE1D1F-45A6-42EF-85A6-F623308F78B7}">
      <dgm:prSet custT="1"/>
      <dgm:spPr/>
      <dgm:t>
        <a:bodyPr/>
        <a:p>
          <a:r>
            <a:rPr lang="zh-CN" altLang="en-US" sz="1200" b="1"/>
            <a:t>人员培训</a:t>
          </a:r>
        </a:p>
      </dgm:t>
    </dgm:pt>
    <dgm:pt modelId="{B485AED4-8907-48BD-B030-4A84058530BF}" cxnId="{C6FC36D6-AE1A-4A8C-A8E1-5CCEF38CBF29}" type="parTrans">
      <dgm:prSet/>
      <dgm:spPr/>
      <dgm:t>
        <a:bodyPr/>
        <a:p>
          <a:endParaRPr lang="zh-CN" altLang="en-US"/>
        </a:p>
      </dgm:t>
    </dgm:pt>
    <dgm:pt modelId="{EDDAC37F-8D70-4C3D-AE80-13FAFAF48ABD}" cxnId="{C6FC36D6-AE1A-4A8C-A8E1-5CCEF38CBF29}" type="sibTrans">
      <dgm:prSet/>
      <dgm:spPr/>
      <dgm:t>
        <a:bodyPr/>
        <a:p>
          <a:endParaRPr lang="zh-CN" altLang="en-US"/>
        </a:p>
      </dgm:t>
    </dgm:pt>
    <dgm:pt modelId="{E9DE3C7B-9C1E-4208-A6AC-17FD2FAA6C0F}">
      <dgm:prSet custT="1"/>
      <dgm:spPr/>
      <dgm:t>
        <a:bodyPr/>
        <a:p>
          <a:r>
            <a:rPr lang="zh-CN" altLang="en-US" sz="1200" b="1"/>
            <a:t>原材料采购等</a:t>
          </a:r>
        </a:p>
      </dgm:t>
    </dgm:pt>
    <dgm:pt modelId="{7847BB6E-7CB7-423C-963D-19AF9D066DC6}" cxnId="{07E318FB-E92E-433C-B6A2-D79188586330}" type="parTrans">
      <dgm:prSet/>
      <dgm:spPr/>
      <dgm:t>
        <a:bodyPr/>
        <a:p>
          <a:endParaRPr lang="zh-CN" altLang="en-US"/>
        </a:p>
      </dgm:t>
    </dgm:pt>
    <dgm:pt modelId="{9F758F76-AFDA-4961-A260-2B5789C2C992}" cxnId="{07E318FB-E92E-433C-B6A2-D79188586330}" type="sibTrans">
      <dgm:prSet/>
      <dgm:spPr/>
      <dgm:t>
        <a:bodyPr/>
        <a:p>
          <a:endParaRPr lang="zh-CN" altLang="en-US"/>
        </a:p>
      </dgm:t>
    </dgm:pt>
    <dgm:pt modelId="{70788621-CCE5-43E8-B1C1-933B96269836}">
      <dgm:prSet custT="1"/>
      <dgm:spPr/>
      <dgm:t>
        <a:bodyPr/>
        <a:p>
          <a:r>
            <a:rPr lang="zh-CN" altLang="en-US" sz="1200" b="1"/>
            <a:t>产品检验</a:t>
          </a:r>
        </a:p>
      </dgm:t>
    </dgm:pt>
    <dgm:pt modelId="{584D9B1C-24D5-4A52-A793-40F751CEF1A5}" cxnId="{2FCEA162-E7E1-49C0-90E0-0D1E4A7EE581}" type="parTrans">
      <dgm:prSet/>
      <dgm:spPr/>
      <dgm:t>
        <a:bodyPr/>
        <a:p>
          <a:endParaRPr lang="zh-CN" altLang="en-US"/>
        </a:p>
      </dgm:t>
    </dgm:pt>
    <dgm:pt modelId="{CFB46675-8788-43DB-8296-A85640E684DE}" cxnId="{2FCEA162-E7E1-49C0-90E0-0D1E4A7EE581}" type="sibTrans">
      <dgm:prSet/>
      <dgm:spPr/>
      <dgm:t>
        <a:bodyPr/>
        <a:p>
          <a:endParaRPr lang="zh-CN" altLang="en-US"/>
        </a:p>
      </dgm:t>
    </dgm:pt>
    <dgm:pt modelId="{435F1428-2B83-46AC-B38A-ED38F4F64F5C}" type="pres">
      <dgm:prSet presAssocID="{B6FB286A-38DA-43C0-8C94-32E2C42A7461}" presName="Name0" presStyleCnt="0">
        <dgm:presLayoutVars>
          <dgm:chPref val="1"/>
          <dgm:dir/>
          <dgm:animOne val="branch"/>
          <dgm:animLvl val="lvl"/>
          <dgm:resizeHandles val="exact"/>
        </dgm:presLayoutVars>
      </dgm:prSet>
      <dgm:spPr/>
    </dgm:pt>
    <dgm:pt modelId="{7DC16F00-FEDE-4FA2-AC50-1497ADBDB646}" type="pres">
      <dgm:prSet presAssocID="{B630EE8B-9A1D-4A23-8078-AD47605BEAB9}" presName="root1" presStyleCnt="0"/>
      <dgm:spPr/>
    </dgm:pt>
    <dgm:pt modelId="{2D23180B-20CA-464B-83B9-6115F912E418}" type="pres">
      <dgm:prSet presAssocID="{B630EE8B-9A1D-4A23-8078-AD47605BEAB9}" presName="LevelOneTextNode" presStyleLbl="node0" presStyleIdx="0" presStyleCnt="1">
        <dgm:presLayoutVars>
          <dgm:chPref val="3"/>
        </dgm:presLayoutVars>
      </dgm:prSet>
      <dgm:spPr/>
    </dgm:pt>
    <dgm:pt modelId="{5E1E3B77-3AC5-4AEE-8394-0D4EF6CCDCE2}" type="pres">
      <dgm:prSet presAssocID="{B630EE8B-9A1D-4A23-8078-AD47605BEAB9}" presName="level2hierChild" presStyleCnt="0"/>
      <dgm:spPr/>
    </dgm:pt>
    <dgm:pt modelId="{34D79EA9-2B71-403F-8F2A-16B6D341AA0B}" type="pres">
      <dgm:prSet presAssocID="{B11928F5-9E09-4355-ABED-7947B95DDF8A}" presName="conn2-1" presStyleLbl="parChTrans1D2" presStyleIdx="0" presStyleCnt="8"/>
      <dgm:spPr/>
    </dgm:pt>
    <dgm:pt modelId="{FED64A02-63B3-4D73-B2D6-B7D740FDE6E5}" type="pres">
      <dgm:prSet presAssocID="{B11928F5-9E09-4355-ABED-7947B95DDF8A}" presName="connTx" presStyleLbl="parChTrans1D2" presStyleIdx="0" presStyleCnt="8"/>
      <dgm:spPr/>
    </dgm:pt>
    <dgm:pt modelId="{26B40842-6015-48FC-99F1-BD39575C40FB}" type="pres">
      <dgm:prSet presAssocID="{0B7B43E0-DE0F-4C19-A515-C6FCAF024E05}" presName="root2" presStyleCnt="0"/>
      <dgm:spPr/>
    </dgm:pt>
    <dgm:pt modelId="{BF59C357-0F04-48C9-979A-3B9777282C92}" type="pres">
      <dgm:prSet presAssocID="{0B7B43E0-DE0F-4C19-A515-C6FCAF024E05}" presName="LevelTwoTextNode" presStyleLbl="node2" presStyleIdx="0" presStyleCnt="8">
        <dgm:presLayoutVars>
          <dgm:chPref val="3"/>
        </dgm:presLayoutVars>
      </dgm:prSet>
      <dgm:spPr/>
    </dgm:pt>
    <dgm:pt modelId="{52624067-CA76-4355-9D5C-945D09485F57}" type="pres">
      <dgm:prSet presAssocID="{0B7B43E0-DE0F-4C19-A515-C6FCAF024E05}" presName="level3hierChild" presStyleCnt="0"/>
      <dgm:spPr/>
    </dgm:pt>
    <dgm:pt modelId="{50FDE6D4-F57F-4334-820E-B2338A41A543}" type="pres">
      <dgm:prSet presAssocID="{7847BB6E-7CB7-423C-963D-19AF9D066DC6}" presName="conn2-1" presStyleLbl="parChTrans1D3" presStyleIdx="0" presStyleCnt="6"/>
      <dgm:spPr/>
    </dgm:pt>
    <dgm:pt modelId="{8062113A-1BCF-4572-8944-C1802EDF7E66}" type="pres">
      <dgm:prSet presAssocID="{7847BB6E-7CB7-423C-963D-19AF9D066DC6}" presName="connTx" presStyleLbl="parChTrans1D3" presStyleIdx="0" presStyleCnt="6"/>
      <dgm:spPr/>
    </dgm:pt>
    <dgm:pt modelId="{23E04653-8008-4717-9546-67DD43F55818}" type="pres">
      <dgm:prSet presAssocID="{E9DE3C7B-9C1E-4208-A6AC-17FD2FAA6C0F}" presName="root2" presStyleCnt="0"/>
      <dgm:spPr/>
    </dgm:pt>
    <dgm:pt modelId="{DB1457C3-6D70-486C-A24F-8DEC5BEFC8C5}" type="pres">
      <dgm:prSet presAssocID="{E9DE3C7B-9C1E-4208-A6AC-17FD2FAA6C0F}" presName="LevelTwoTextNode" presStyleLbl="node3" presStyleIdx="0" presStyleCnt="6">
        <dgm:presLayoutVars>
          <dgm:chPref val="3"/>
        </dgm:presLayoutVars>
      </dgm:prSet>
      <dgm:spPr/>
    </dgm:pt>
    <dgm:pt modelId="{A2811640-878E-4B62-A396-D6263432CDFC}" type="pres">
      <dgm:prSet presAssocID="{E9DE3C7B-9C1E-4208-A6AC-17FD2FAA6C0F}" presName="level3hierChild" presStyleCnt="0"/>
      <dgm:spPr/>
    </dgm:pt>
    <dgm:pt modelId="{D53C34DD-B694-401B-A83D-A6B1C3A20E1C}" type="pres">
      <dgm:prSet presAssocID="{584D9B1C-24D5-4A52-A793-40F751CEF1A5}" presName="conn2-1" presStyleLbl="parChTrans1D3" presStyleIdx="1" presStyleCnt="6"/>
      <dgm:spPr/>
    </dgm:pt>
    <dgm:pt modelId="{FAB11CC9-A43A-4114-BA77-9CF6F514EE05}" type="pres">
      <dgm:prSet presAssocID="{584D9B1C-24D5-4A52-A793-40F751CEF1A5}" presName="connTx" presStyleLbl="parChTrans1D3" presStyleIdx="1" presStyleCnt="6"/>
      <dgm:spPr/>
    </dgm:pt>
    <dgm:pt modelId="{96DE1C48-CD4B-4210-A5BB-97E5BC169FB2}" type="pres">
      <dgm:prSet presAssocID="{70788621-CCE5-43E8-B1C1-933B96269836}" presName="root2" presStyleCnt="0"/>
      <dgm:spPr/>
    </dgm:pt>
    <dgm:pt modelId="{7958384A-0D96-4703-A8AF-364CE4B9EDC1}" type="pres">
      <dgm:prSet presAssocID="{70788621-CCE5-43E8-B1C1-933B96269836}" presName="LevelTwoTextNode" presStyleLbl="node3" presStyleIdx="1" presStyleCnt="6">
        <dgm:presLayoutVars>
          <dgm:chPref val="3"/>
        </dgm:presLayoutVars>
      </dgm:prSet>
      <dgm:spPr/>
    </dgm:pt>
    <dgm:pt modelId="{E86B1308-2F03-4C86-B249-A2D2988C2A1D}" type="pres">
      <dgm:prSet presAssocID="{70788621-CCE5-43E8-B1C1-933B96269836}" presName="level3hierChild" presStyleCnt="0"/>
      <dgm:spPr/>
    </dgm:pt>
    <dgm:pt modelId="{66501721-55DE-409D-A7B1-1BB9A941D560}" type="pres">
      <dgm:prSet presAssocID="{7C31B141-4B8A-446F-801C-A8DBED15E116}" presName="conn2-1" presStyleLbl="parChTrans1D2" presStyleIdx="1" presStyleCnt="8"/>
      <dgm:spPr/>
    </dgm:pt>
    <dgm:pt modelId="{25F8669B-ECE7-46CD-9EDF-EFC4E2AADACD}" type="pres">
      <dgm:prSet presAssocID="{7C31B141-4B8A-446F-801C-A8DBED15E116}" presName="connTx" presStyleLbl="parChTrans1D2" presStyleIdx="1" presStyleCnt="8"/>
      <dgm:spPr/>
    </dgm:pt>
    <dgm:pt modelId="{7B97F096-717D-4AD8-A7A2-C39DC27293BE}" type="pres">
      <dgm:prSet presAssocID="{E7969C7F-7A8B-4180-85B2-05044E28D8AA}" presName="root2" presStyleCnt="0"/>
      <dgm:spPr/>
    </dgm:pt>
    <dgm:pt modelId="{EB706AFB-D9D1-4A08-BD04-A9A29236E126}" type="pres">
      <dgm:prSet presAssocID="{E7969C7F-7A8B-4180-85B2-05044E28D8AA}" presName="LevelTwoTextNode" presStyleLbl="node2" presStyleIdx="1" presStyleCnt="8">
        <dgm:presLayoutVars>
          <dgm:chPref val="3"/>
        </dgm:presLayoutVars>
      </dgm:prSet>
      <dgm:spPr/>
    </dgm:pt>
    <dgm:pt modelId="{98B743E5-4A79-4DFA-88D4-A4E182B36F0A}" type="pres">
      <dgm:prSet presAssocID="{E7969C7F-7A8B-4180-85B2-05044E28D8AA}" presName="level3hierChild" presStyleCnt="0"/>
      <dgm:spPr/>
    </dgm:pt>
    <dgm:pt modelId="{E5B9AABC-25B3-46F6-AB87-F11570AC6DF3}" type="pres">
      <dgm:prSet presAssocID="{1A301DC8-4243-4906-B5D5-72B17777AB5C}" presName="conn2-1" presStyleLbl="parChTrans1D2" presStyleIdx="2" presStyleCnt="8"/>
      <dgm:spPr/>
    </dgm:pt>
    <dgm:pt modelId="{6B182213-E588-4C63-875E-B3D9BEB29C3A}" type="pres">
      <dgm:prSet presAssocID="{1A301DC8-4243-4906-B5D5-72B17777AB5C}" presName="connTx" presStyleLbl="parChTrans1D2" presStyleIdx="2" presStyleCnt="8"/>
      <dgm:spPr/>
    </dgm:pt>
    <dgm:pt modelId="{E4DA360A-4705-4809-A9CE-55A544DCF691}" type="pres">
      <dgm:prSet presAssocID="{F82E8117-F3FE-4C8D-B0E6-ED0B7EF00C0B}" presName="root2" presStyleCnt="0"/>
      <dgm:spPr/>
    </dgm:pt>
    <dgm:pt modelId="{43AAF3DC-85F7-4D50-8B1C-71955E6D45D2}" type="pres">
      <dgm:prSet presAssocID="{F82E8117-F3FE-4C8D-B0E6-ED0B7EF00C0B}" presName="LevelTwoTextNode" presStyleLbl="node2" presStyleIdx="2" presStyleCnt="8">
        <dgm:presLayoutVars>
          <dgm:chPref val="3"/>
        </dgm:presLayoutVars>
      </dgm:prSet>
      <dgm:spPr/>
    </dgm:pt>
    <dgm:pt modelId="{8A56A518-1A4C-457F-ADDF-BA1EB8FD1F73}" type="pres">
      <dgm:prSet presAssocID="{F82E8117-F3FE-4C8D-B0E6-ED0B7EF00C0B}" presName="level3hierChild" presStyleCnt="0"/>
      <dgm:spPr/>
    </dgm:pt>
    <dgm:pt modelId="{6243DC1B-4EAE-428C-BF0B-C7F306241B3A}" type="pres">
      <dgm:prSet presAssocID="{8B2EFE20-744B-4787-9B12-701483587BF3}" presName="conn2-1" presStyleLbl="parChTrans1D2" presStyleIdx="3" presStyleCnt="8"/>
      <dgm:spPr/>
    </dgm:pt>
    <dgm:pt modelId="{DCC7ACC2-95F0-4D4E-8597-4FFBC9950304}" type="pres">
      <dgm:prSet presAssocID="{8B2EFE20-744B-4787-9B12-701483587BF3}" presName="connTx" presStyleLbl="parChTrans1D2" presStyleIdx="3" presStyleCnt="8"/>
      <dgm:spPr/>
    </dgm:pt>
    <dgm:pt modelId="{E756CAE8-E95A-4AEC-B2B6-7DAA21021283}" type="pres">
      <dgm:prSet presAssocID="{D33BED65-2945-43E8-A7BE-FC88EB933ED4}" presName="root2" presStyleCnt="0"/>
      <dgm:spPr/>
    </dgm:pt>
    <dgm:pt modelId="{D9138398-0B5D-401E-AEAC-6856C1BC5121}" type="pres">
      <dgm:prSet presAssocID="{D33BED65-2945-43E8-A7BE-FC88EB933ED4}" presName="LevelTwoTextNode" presStyleLbl="node2" presStyleIdx="3" presStyleCnt="8">
        <dgm:presLayoutVars>
          <dgm:chPref val="3"/>
        </dgm:presLayoutVars>
      </dgm:prSet>
      <dgm:spPr/>
    </dgm:pt>
    <dgm:pt modelId="{CBFD26EC-5D76-48C4-B3F3-2549CF470586}" type="pres">
      <dgm:prSet presAssocID="{D33BED65-2945-43E8-A7BE-FC88EB933ED4}" presName="level3hierChild" presStyleCnt="0"/>
      <dgm:spPr/>
    </dgm:pt>
    <dgm:pt modelId="{4BB0676D-2872-4A33-946A-F7E41D608A5A}" type="pres">
      <dgm:prSet presAssocID="{7AC25F6B-785A-4A8B-ACCC-147CCC442F13}" presName="conn2-1" presStyleLbl="parChTrans1D2" presStyleIdx="4" presStyleCnt="8"/>
      <dgm:spPr/>
    </dgm:pt>
    <dgm:pt modelId="{576CA4F9-308A-46A2-8123-A3BB7AA25430}" type="pres">
      <dgm:prSet presAssocID="{7AC25F6B-785A-4A8B-ACCC-147CCC442F13}" presName="connTx" presStyleLbl="parChTrans1D2" presStyleIdx="4" presStyleCnt="8"/>
      <dgm:spPr/>
    </dgm:pt>
    <dgm:pt modelId="{3A588468-2979-473E-82C5-6623070C572C}" type="pres">
      <dgm:prSet presAssocID="{BB4C7F4B-3788-4F91-9B2E-4DA556E159DC}" presName="root2" presStyleCnt="0"/>
      <dgm:spPr/>
    </dgm:pt>
    <dgm:pt modelId="{FA25414A-4D7F-44B9-A703-5AE52BFC5B58}" type="pres">
      <dgm:prSet presAssocID="{BB4C7F4B-3788-4F91-9B2E-4DA556E159DC}" presName="LevelTwoTextNode" presStyleLbl="node2" presStyleIdx="4" presStyleCnt="8">
        <dgm:presLayoutVars>
          <dgm:chPref val="3"/>
        </dgm:presLayoutVars>
      </dgm:prSet>
      <dgm:spPr/>
    </dgm:pt>
    <dgm:pt modelId="{D8B7AC2B-D57D-4F85-AACD-317774E9A13A}" type="pres">
      <dgm:prSet presAssocID="{BB4C7F4B-3788-4F91-9B2E-4DA556E159DC}" presName="level3hierChild" presStyleCnt="0"/>
      <dgm:spPr/>
    </dgm:pt>
    <dgm:pt modelId="{50989DDD-9C69-437F-8069-7ECDB393303F}" type="pres">
      <dgm:prSet presAssocID="{041C2221-AE63-47CB-926F-8EDB22B5DB9A}" presName="conn2-1" presStyleLbl="parChTrans1D3" presStyleIdx="2" presStyleCnt="6"/>
      <dgm:spPr/>
    </dgm:pt>
    <dgm:pt modelId="{6DEA6101-ED03-4089-9348-D943707A78D5}" type="pres">
      <dgm:prSet presAssocID="{041C2221-AE63-47CB-926F-8EDB22B5DB9A}" presName="connTx" presStyleLbl="parChTrans1D3" presStyleIdx="2" presStyleCnt="6"/>
      <dgm:spPr/>
    </dgm:pt>
    <dgm:pt modelId="{DC89F724-30DA-4223-AF52-102BCF92D2CE}" type="pres">
      <dgm:prSet presAssocID="{9BA0A71D-A869-47A8-B9E6-B978F7A3D9D1}" presName="root2" presStyleCnt="0"/>
      <dgm:spPr/>
    </dgm:pt>
    <dgm:pt modelId="{1A3C3D3D-C445-4C13-9EA9-CD59A10FB865}" type="pres">
      <dgm:prSet presAssocID="{9BA0A71D-A869-47A8-B9E6-B978F7A3D9D1}" presName="LevelTwoTextNode" presStyleLbl="node3" presStyleIdx="2" presStyleCnt="6">
        <dgm:presLayoutVars>
          <dgm:chPref val="3"/>
        </dgm:presLayoutVars>
      </dgm:prSet>
      <dgm:spPr/>
    </dgm:pt>
    <dgm:pt modelId="{D5FB15F8-49B4-44E8-99A4-E9AF314CBC5D}" type="pres">
      <dgm:prSet presAssocID="{9BA0A71D-A869-47A8-B9E6-B978F7A3D9D1}" presName="level3hierChild" presStyleCnt="0"/>
      <dgm:spPr/>
    </dgm:pt>
    <dgm:pt modelId="{1450E69D-640B-441C-B3FE-8032F928C12F}" type="pres">
      <dgm:prSet presAssocID="{743E2991-B1AA-44F4-8224-89E418F0E592}" presName="conn2-1" presStyleLbl="parChTrans1D2" presStyleIdx="5" presStyleCnt="8"/>
      <dgm:spPr/>
    </dgm:pt>
    <dgm:pt modelId="{C066E613-E133-42E3-A444-F7360801B013}" type="pres">
      <dgm:prSet presAssocID="{743E2991-B1AA-44F4-8224-89E418F0E592}" presName="connTx" presStyleLbl="parChTrans1D2" presStyleIdx="5" presStyleCnt="8"/>
      <dgm:spPr/>
    </dgm:pt>
    <dgm:pt modelId="{691FF547-8435-4ACF-B800-7D354068265F}" type="pres">
      <dgm:prSet presAssocID="{5D4D9EEB-4823-4D83-A0BB-A007DB568DE9}" presName="root2" presStyleCnt="0"/>
      <dgm:spPr/>
    </dgm:pt>
    <dgm:pt modelId="{54C24482-0CA5-41B5-982E-ABCCBDCD1954}" type="pres">
      <dgm:prSet presAssocID="{5D4D9EEB-4823-4D83-A0BB-A007DB568DE9}" presName="LevelTwoTextNode" presStyleLbl="node2" presStyleIdx="5" presStyleCnt="8">
        <dgm:presLayoutVars>
          <dgm:chPref val="3"/>
        </dgm:presLayoutVars>
      </dgm:prSet>
      <dgm:spPr/>
    </dgm:pt>
    <dgm:pt modelId="{B8A830ED-F07A-4609-883B-9666494FA719}" type="pres">
      <dgm:prSet presAssocID="{5D4D9EEB-4823-4D83-A0BB-A007DB568DE9}" presName="level3hierChild" presStyleCnt="0"/>
      <dgm:spPr/>
    </dgm:pt>
    <dgm:pt modelId="{400B3B7E-8A7D-4B33-BC79-94BD15FA05B9}" type="pres">
      <dgm:prSet presAssocID="{F59B3663-86E2-4274-90E3-98D5C2894DF1}" presName="conn2-1" presStyleLbl="parChTrans1D2" presStyleIdx="6" presStyleCnt="8"/>
      <dgm:spPr/>
    </dgm:pt>
    <dgm:pt modelId="{46597CA5-E095-4BFB-A29F-1E7B307C0F78}" type="pres">
      <dgm:prSet presAssocID="{F59B3663-86E2-4274-90E3-98D5C2894DF1}" presName="connTx" presStyleLbl="parChTrans1D2" presStyleIdx="6" presStyleCnt="8"/>
      <dgm:spPr/>
    </dgm:pt>
    <dgm:pt modelId="{60C40F32-6A0E-4CE7-A6C1-61B928DF3A44}" type="pres">
      <dgm:prSet presAssocID="{AA0EE94F-F78A-4498-87B9-C1440797EC7E}" presName="root2" presStyleCnt="0"/>
      <dgm:spPr/>
    </dgm:pt>
    <dgm:pt modelId="{A1563F5D-BCC3-4F8C-BB86-05313608EF2D}" type="pres">
      <dgm:prSet presAssocID="{AA0EE94F-F78A-4498-87B9-C1440797EC7E}" presName="LevelTwoTextNode" presStyleLbl="node2" presStyleIdx="6" presStyleCnt="8">
        <dgm:presLayoutVars>
          <dgm:chPref val="3"/>
        </dgm:presLayoutVars>
      </dgm:prSet>
      <dgm:spPr/>
    </dgm:pt>
    <dgm:pt modelId="{639D805D-A485-44B1-8819-9EB717AF61E7}" type="pres">
      <dgm:prSet presAssocID="{AA0EE94F-F78A-4498-87B9-C1440797EC7E}" presName="level3hierChild" presStyleCnt="0"/>
      <dgm:spPr/>
    </dgm:pt>
    <dgm:pt modelId="{67076895-AC32-48FA-8ED5-BDFA892740B5}" type="pres">
      <dgm:prSet presAssocID="{ABC0915D-293F-4E3D-9CBB-D2B96E37B4AB}" presName="conn2-1" presStyleLbl="parChTrans1D3" presStyleIdx="3" presStyleCnt="6"/>
      <dgm:spPr/>
    </dgm:pt>
    <dgm:pt modelId="{AA27F495-1F03-4658-9C8C-6A75ED946FF0}" type="pres">
      <dgm:prSet presAssocID="{ABC0915D-293F-4E3D-9CBB-D2B96E37B4AB}" presName="connTx" presStyleLbl="parChTrans1D3" presStyleIdx="3" presStyleCnt="6"/>
      <dgm:spPr/>
    </dgm:pt>
    <dgm:pt modelId="{3C0C9029-E689-4D73-B8B5-D408E9EF593B}" type="pres">
      <dgm:prSet presAssocID="{4FD1E0B9-8772-4D91-B030-27263CDB2342}" presName="root2" presStyleCnt="0"/>
      <dgm:spPr/>
    </dgm:pt>
    <dgm:pt modelId="{3C1258DB-4B53-417E-8F5C-2DD2C1730327}" type="pres">
      <dgm:prSet presAssocID="{4FD1E0B9-8772-4D91-B030-27263CDB2342}" presName="LevelTwoTextNode" presStyleLbl="node3" presStyleIdx="3" presStyleCnt="6">
        <dgm:presLayoutVars>
          <dgm:chPref val="3"/>
        </dgm:presLayoutVars>
      </dgm:prSet>
      <dgm:spPr/>
    </dgm:pt>
    <dgm:pt modelId="{3CC2B70E-97EA-4BF4-B9F4-738DB0EB4B88}" type="pres">
      <dgm:prSet presAssocID="{4FD1E0B9-8772-4D91-B030-27263CDB2342}" presName="level3hierChild" presStyleCnt="0"/>
      <dgm:spPr/>
    </dgm:pt>
    <dgm:pt modelId="{0C7637EB-A9FB-4674-9E2F-DF31683CF547}" type="pres">
      <dgm:prSet presAssocID="{47A0FD99-C021-48B1-9C44-EC834E979456}" presName="conn2-1" presStyleLbl="parChTrans1D2" presStyleIdx="7" presStyleCnt="8"/>
      <dgm:spPr/>
    </dgm:pt>
    <dgm:pt modelId="{174314BD-D82E-4378-8EB6-4A7D6998F27F}" type="pres">
      <dgm:prSet presAssocID="{47A0FD99-C021-48B1-9C44-EC834E979456}" presName="connTx" presStyleLbl="parChTrans1D2" presStyleIdx="7" presStyleCnt="8"/>
      <dgm:spPr/>
    </dgm:pt>
    <dgm:pt modelId="{E7E4B2E5-E2A8-4069-82B0-7F38BDA51617}" type="pres">
      <dgm:prSet presAssocID="{1B989A1A-892B-4E40-ACB0-4E95F250E03C}" presName="root2" presStyleCnt="0"/>
      <dgm:spPr/>
    </dgm:pt>
    <dgm:pt modelId="{C72EA3EB-886E-4034-BAEC-3E1032C0FA34}" type="pres">
      <dgm:prSet presAssocID="{1B989A1A-892B-4E40-ACB0-4E95F250E03C}" presName="LevelTwoTextNode" presStyleLbl="node2" presStyleIdx="7" presStyleCnt="8">
        <dgm:presLayoutVars>
          <dgm:chPref val="3"/>
        </dgm:presLayoutVars>
      </dgm:prSet>
      <dgm:spPr/>
    </dgm:pt>
    <dgm:pt modelId="{88CE960F-3A2C-4F73-A4CE-59F0AFDFF0F3}" type="pres">
      <dgm:prSet presAssocID="{1B989A1A-892B-4E40-ACB0-4E95F250E03C}" presName="level3hierChild" presStyleCnt="0"/>
      <dgm:spPr/>
    </dgm:pt>
    <dgm:pt modelId="{2AB6A527-9313-4639-8AB2-7765A98B8095}" type="pres">
      <dgm:prSet presAssocID="{9E2EA7D4-8319-449C-B6D2-2DE2A71114EC}" presName="conn2-1" presStyleLbl="parChTrans1D3" presStyleIdx="4" presStyleCnt="6"/>
      <dgm:spPr/>
    </dgm:pt>
    <dgm:pt modelId="{F8928D2D-07B6-4540-853A-2DD9B7E11349}" type="pres">
      <dgm:prSet presAssocID="{9E2EA7D4-8319-449C-B6D2-2DE2A71114EC}" presName="connTx" presStyleLbl="parChTrans1D3" presStyleIdx="4" presStyleCnt="6"/>
      <dgm:spPr/>
    </dgm:pt>
    <dgm:pt modelId="{E1C72AF3-D7F7-47EF-834C-C076ED0987FB}" type="pres">
      <dgm:prSet presAssocID="{5C66B384-7C4C-4F2A-A63F-ADAA079B3C0F}" presName="root2" presStyleCnt="0"/>
      <dgm:spPr/>
    </dgm:pt>
    <dgm:pt modelId="{DD58D80A-8117-463A-879B-AFB36B182EE9}" type="pres">
      <dgm:prSet presAssocID="{5C66B384-7C4C-4F2A-A63F-ADAA079B3C0F}" presName="LevelTwoTextNode" presStyleLbl="node3" presStyleIdx="4" presStyleCnt="6">
        <dgm:presLayoutVars>
          <dgm:chPref val="3"/>
        </dgm:presLayoutVars>
      </dgm:prSet>
      <dgm:spPr/>
    </dgm:pt>
    <dgm:pt modelId="{8C9BA5E8-3798-49DB-BB4E-13021C5E165E}" type="pres">
      <dgm:prSet presAssocID="{5C66B384-7C4C-4F2A-A63F-ADAA079B3C0F}" presName="level3hierChild" presStyleCnt="0"/>
      <dgm:spPr/>
    </dgm:pt>
    <dgm:pt modelId="{82E7FB69-0CED-4B9D-8B71-DB724B7D6C83}" type="pres">
      <dgm:prSet presAssocID="{B485AED4-8907-48BD-B030-4A84058530BF}" presName="conn2-1" presStyleLbl="parChTrans1D3" presStyleIdx="5" presStyleCnt="6"/>
      <dgm:spPr/>
    </dgm:pt>
    <dgm:pt modelId="{B81313CF-E954-4D0B-981F-FBBA3D670158}" type="pres">
      <dgm:prSet presAssocID="{B485AED4-8907-48BD-B030-4A84058530BF}" presName="connTx" presStyleLbl="parChTrans1D3" presStyleIdx="5" presStyleCnt="6"/>
      <dgm:spPr/>
    </dgm:pt>
    <dgm:pt modelId="{AD33BC60-FCC3-47FA-9A73-C12FFEE637D1}" type="pres">
      <dgm:prSet presAssocID="{7EAE1D1F-45A6-42EF-85A6-F623308F78B7}" presName="root2" presStyleCnt="0"/>
      <dgm:spPr/>
    </dgm:pt>
    <dgm:pt modelId="{73138FFD-41FD-4AB4-B56D-0DE4D76A3090}" type="pres">
      <dgm:prSet presAssocID="{7EAE1D1F-45A6-42EF-85A6-F623308F78B7}" presName="LevelTwoTextNode" presStyleLbl="node3" presStyleIdx="5" presStyleCnt="6">
        <dgm:presLayoutVars>
          <dgm:chPref val="3"/>
        </dgm:presLayoutVars>
      </dgm:prSet>
      <dgm:spPr/>
    </dgm:pt>
    <dgm:pt modelId="{43416D41-263D-4920-8C20-C2832A815025}" type="pres">
      <dgm:prSet presAssocID="{7EAE1D1F-45A6-42EF-85A6-F623308F78B7}" presName="level3hierChild" presStyleCnt="0"/>
      <dgm:spPr/>
    </dgm:pt>
  </dgm:ptLst>
  <dgm:cxnLst>
    <dgm:cxn modelId="{3C2D0303-EFBB-447F-9FAE-9886F966BFF1}" srcId="{1B989A1A-892B-4E40-ACB0-4E95F250E03C}" destId="{5C66B384-7C4C-4F2A-A63F-ADAA079B3C0F}" srcOrd="0" destOrd="0" parTransId="{9E2EA7D4-8319-449C-B6D2-2DE2A71114EC}" sibTransId="{49B483BA-B4F6-44B0-8379-052C170A1BD4}"/>
    <dgm:cxn modelId="{B0E96F09-C467-474B-8CB8-224947EBEC2B}" type="presOf" srcId="{7C31B141-4B8A-446F-801C-A8DBED15E116}" destId="{66501721-55DE-409D-A7B1-1BB9A941D560}" srcOrd="0" destOrd="0" presId="urn:microsoft.com/office/officeart/2008/layout/HorizontalMultiLevelHierarchy"/>
    <dgm:cxn modelId="{C74DC30E-3D54-4279-809B-3668254449F2}" type="presOf" srcId="{7EAE1D1F-45A6-42EF-85A6-F623308F78B7}" destId="{73138FFD-41FD-4AB4-B56D-0DE4D76A3090}" srcOrd="0" destOrd="0" presId="urn:microsoft.com/office/officeart/2008/layout/HorizontalMultiLevelHierarchy"/>
    <dgm:cxn modelId="{82E65F10-6731-4143-90A8-AD5E55E8C1E7}" type="presOf" srcId="{47A0FD99-C021-48B1-9C44-EC834E979456}" destId="{174314BD-D82E-4378-8EB6-4A7D6998F27F}" srcOrd="1" destOrd="0" presId="urn:microsoft.com/office/officeart/2008/layout/HorizontalMultiLevelHierarchy"/>
    <dgm:cxn modelId="{C4BBDD14-F635-4673-84C5-A1967CB057DA}" type="presOf" srcId="{F82E8117-F3FE-4C8D-B0E6-ED0B7EF00C0B}" destId="{43AAF3DC-85F7-4D50-8B1C-71955E6D45D2}" srcOrd="0" destOrd="0" presId="urn:microsoft.com/office/officeart/2008/layout/HorizontalMultiLevelHierarchy"/>
    <dgm:cxn modelId="{FD65B01D-715D-4567-AFE8-1C35E0030F5B}" type="presOf" srcId="{584D9B1C-24D5-4A52-A793-40F751CEF1A5}" destId="{FAB11CC9-A43A-4114-BA77-9CF6F514EE05}" srcOrd="1" destOrd="0" presId="urn:microsoft.com/office/officeart/2008/layout/HorizontalMultiLevelHierarchy"/>
    <dgm:cxn modelId="{A540031F-48CC-4D50-A366-A86C705F464F}" type="presOf" srcId="{B11928F5-9E09-4355-ABED-7947B95DDF8A}" destId="{FED64A02-63B3-4D73-B2D6-B7D740FDE6E5}" srcOrd="1" destOrd="0" presId="urn:microsoft.com/office/officeart/2008/layout/HorizontalMultiLevelHierarchy"/>
    <dgm:cxn modelId="{CD312820-2FAB-48E5-8E50-D04A13C28210}" type="presOf" srcId="{70788621-CCE5-43E8-B1C1-933B96269836}" destId="{7958384A-0D96-4703-A8AF-364CE4B9EDC1}" srcOrd="0" destOrd="0" presId="urn:microsoft.com/office/officeart/2008/layout/HorizontalMultiLevelHierarchy"/>
    <dgm:cxn modelId="{30138921-0081-4B2D-BBEC-8154FBEA141D}" srcId="{B630EE8B-9A1D-4A23-8078-AD47605BEAB9}" destId="{D33BED65-2945-43E8-A7BE-FC88EB933ED4}" srcOrd="3" destOrd="0" parTransId="{8B2EFE20-744B-4787-9B12-701483587BF3}" sibTransId="{84464183-8B68-420B-8445-554433619443}"/>
    <dgm:cxn modelId="{C69AFD23-7624-4BE6-9D69-1B85B35BCD6F}" srcId="{B630EE8B-9A1D-4A23-8078-AD47605BEAB9}" destId="{AA0EE94F-F78A-4498-87B9-C1440797EC7E}" srcOrd="6" destOrd="0" parTransId="{F59B3663-86E2-4274-90E3-98D5C2894DF1}" sibTransId="{CD50F4F3-1F81-46C4-A404-5A940F6F408D}"/>
    <dgm:cxn modelId="{7005F72C-E8CC-4AEC-B409-E721B9D430FC}" type="presOf" srcId="{9E2EA7D4-8319-449C-B6D2-2DE2A71114EC}" destId="{F8928D2D-07B6-4540-853A-2DD9B7E11349}" srcOrd="1" destOrd="0" presId="urn:microsoft.com/office/officeart/2008/layout/HorizontalMultiLevelHierarchy"/>
    <dgm:cxn modelId="{D64D632D-D9DA-45E5-AE22-866B70B9B23D}" type="presOf" srcId="{0B7B43E0-DE0F-4C19-A515-C6FCAF024E05}" destId="{BF59C357-0F04-48C9-979A-3B9777282C92}" srcOrd="0" destOrd="0" presId="urn:microsoft.com/office/officeart/2008/layout/HorizontalMultiLevelHierarchy"/>
    <dgm:cxn modelId="{3D89FC2E-78CC-4E68-9360-F575595F2C35}" type="presOf" srcId="{743E2991-B1AA-44F4-8224-89E418F0E592}" destId="{1450E69D-640B-441C-B3FE-8032F928C12F}" srcOrd="0" destOrd="0" presId="urn:microsoft.com/office/officeart/2008/layout/HorizontalMultiLevelHierarchy"/>
    <dgm:cxn modelId="{353D2631-65C1-4089-823C-A05D3E107ABC}" srcId="{B630EE8B-9A1D-4A23-8078-AD47605BEAB9}" destId="{F82E8117-F3FE-4C8D-B0E6-ED0B7EF00C0B}" srcOrd="2" destOrd="0" parTransId="{1A301DC8-4243-4906-B5D5-72B17777AB5C}" sibTransId="{21575B99-67ED-4DB6-B2FB-DE156FFF50CA}"/>
    <dgm:cxn modelId="{36FFDE32-8CE8-42FD-84B8-050D3F8A75C4}" type="presOf" srcId="{743E2991-B1AA-44F4-8224-89E418F0E592}" destId="{C066E613-E133-42E3-A444-F7360801B013}" srcOrd="1" destOrd="0" presId="urn:microsoft.com/office/officeart/2008/layout/HorizontalMultiLevelHierarchy"/>
    <dgm:cxn modelId="{D317B838-0216-4E9A-A0E2-8B412F711552}" type="presOf" srcId="{584D9B1C-24D5-4A52-A793-40F751CEF1A5}" destId="{D53C34DD-B694-401B-A83D-A6B1C3A20E1C}" srcOrd="0" destOrd="0" presId="urn:microsoft.com/office/officeart/2008/layout/HorizontalMultiLevelHierarchy"/>
    <dgm:cxn modelId="{5BA4D638-A47D-4EC4-81E0-7C749DF73292}" type="presOf" srcId="{BB4C7F4B-3788-4F91-9B2E-4DA556E159DC}" destId="{FA25414A-4D7F-44B9-A703-5AE52BFC5B58}" srcOrd="0" destOrd="0" presId="urn:microsoft.com/office/officeart/2008/layout/HorizontalMultiLevelHierarchy"/>
    <dgm:cxn modelId="{AF3C1F3A-3526-4CE6-BF4D-417551A73687}" type="presOf" srcId="{ABC0915D-293F-4E3D-9CBB-D2B96E37B4AB}" destId="{AA27F495-1F03-4658-9C8C-6A75ED946FF0}" srcOrd="1" destOrd="0" presId="urn:microsoft.com/office/officeart/2008/layout/HorizontalMultiLevelHierarchy"/>
    <dgm:cxn modelId="{7F61463D-0DFB-4DE0-A674-75F808E102FD}" type="presOf" srcId="{1A301DC8-4243-4906-B5D5-72B17777AB5C}" destId="{6B182213-E588-4C63-875E-B3D9BEB29C3A}" srcOrd="1" destOrd="0" presId="urn:microsoft.com/office/officeart/2008/layout/HorizontalMultiLevelHierarchy"/>
    <dgm:cxn modelId="{02202E5B-CB36-4E7B-B6DB-404E11E089F0}" srcId="{B6FB286A-38DA-43C0-8C94-32E2C42A7461}" destId="{B630EE8B-9A1D-4A23-8078-AD47605BEAB9}" srcOrd="0" destOrd="0" parTransId="{AD142BEF-12B7-4A3E-B7BD-98020CD078EE}" sibTransId="{27D3E507-19A4-4EDC-B1EF-C8BA6EDE2913}"/>
    <dgm:cxn modelId="{2FCEA162-E7E1-49C0-90E0-0D1E4A7EE581}" srcId="{0B7B43E0-DE0F-4C19-A515-C6FCAF024E05}" destId="{70788621-CCE5-43E8-B1C1-933B96269836}" srcOrd="1" destOrd="0" parTransId="{584D9B1C-24D5-4A52-A793-40F751CEF1A5}" sibTransId="{CFB46675-8788-43DB-8296-A85640E684DE}"/>
    <dgm:cxn modelId="{69CCA262-97EE-49D0-8291-309F7E11E825}" srcId="{B630EE8B-9A1D-4A23-8078-AD47605BEAB9}" destId="{5D4D9EEB-4823-4D83-A0BB-A007DB568DE9}" srcOrd="5" destOrd="0" parTransId="{743E2991-B1AA-44F4-8224-89E418F0E592}" sibTransId="{53D4D2DA-A435-40A8-8EF0-781A6CC417A6}"/>
    <dgm:cxn modelId="{A64B9965-1836-4D38-961B-8F23F906F08C}" type="presOf" srcId="{041C2221-AE63-47CB-926F-8EDB22B5DB9A}" destId="{50989DDD-9C69-437F-8069-7ECDB393303F}" srcOrd="0" destOrd="0" presId="urn:microsoft.com/office/officeart/2008/layout/HorizontalMultiLevelHierarchy"/>
    <dgm:cxn modelId="{E27EC550-79D2-4FB9-AC65-0BDC7C86FEFC}" srcId="{B630EE8B-9A1D-4A23-8078-AD47605BEAB9}" destId="{0B7B43E0-DE0F-4C19-A515-C6FCAF024E05}" srcOrd="0" destOrd="0" parTransId="{B11928F5-9E09-4355-ABED-7947B95DDF8A}" sibTransId="{740DD046-38DB-4359-973E-EF2567BFA381}"/>
    <dgm:cxn modelId="{2E07BB53-C919-4A4B-AC99-89492C186F38}" type="presOf" srcId="{F59B3663-86E2-4274-90E3-98D5C2894DF1}" destId="{400B3B7E-8A7D-4B33-BC79-94BD15FA05B9}" srcOrd="0" destOrd="0" presId="urn:microsoft.com/office/officeart/2008/layout/HorizontalMultiLevelHierarchy"/>
    <dgm:cxn modelId="{F42A3D75-1AD7-4AFF-91DA-D46C2CE21728}" type="presOf" srcId="{7AC25F6B-785A-4A8B-ACCC-147CCC442F13}" destId="{576CA4F9-308A-46A2-8123-A3BB7AA25430}" srcOrd="1" destOrd="0" presId="urn:microsoft.com/office/officeart/2008/layout/HorizontalMultiLevelHierarchy"/>
    <dgm:cxn modelId="{29D8FB76-B875-40D4-B10A-A3B059DDDB1E}" type="presOf" srcId="{4FD1E0B9-8772-4D91-B030-27263CDB2342}" destId="{3C1258DB-4B53-417E-8F5C-2DD2C1730327}" srcOrd="0" destOrd="0" presId="urn:microsoft.com/office/officeart/2008/layout/HorizontalMultiLevelHierarchy"/>
    <dgm:cxn modelId="{A49A8279-9344-4AEA-B68F-E7C26296D978}" type="presOf" srcId="{7847BB6E-7CB7-423C-963D-19AF9D066DC6}" destId="{8062113A-1BCF-4572-8944-C1802EDF7E66}" srcOrd="1" destOrd="0" presId="urn:microsoft.com/office/officeart/2008/layout/HorizontalMultiLevelHierarchy"/>
    <dgm:cxn modelId="{9E29655A-885A-4FA4-9A11-C814B79E1394}" type="presOf" srcId="{041C2221-AE63-47CB-926F-8EDB22B5DB9A}" destId="{6DEA6101-ED03-4089-9348-D943707A78D5}" srcOrd="1" destOrd="0" presId="urn:microsoft.com/office/officeart/2008/layout/HorizontalMultiLevelHierarchy"/>
    <dgm:cxn modelId="{39F3347B-F644-4330-BFAE-B67BEF63461D}" type="presOf" srcId="{9E2EA7D4-8319-449C-B6D2-2DE2A71114EC}" destId="{2AB6A527-9313-4639-8AB2-7765A98B8095}" srcOrd="0" destOrd="0" presId="urn:microsoft.com/office/officeart/2008/layout/HorizontalMultiLevelHierarchy"/>
    <dgm:cxn modelId="{EB4A817C-97CF-42F0-B5C9-90B06FB149B2}" srcId="{B630EE8B-9A1D-4A23-8078-AD47605BEAB9}" destId="{BB4C7F4B-3788-4F91-9B2E-4DA556E159DC}" srcOrd="4" destOrd="0" parTransId="{7AC25F6B-785A-4A8B-ACCC-147CCC442F13}" sibTransId="{C9F10DF0-F50C-43F3-8F00-CF6308A3BF9A}"/>
    <dgm:cxn modelId="{0104BA7D-4752-47B4-B171-F94406EE6D84}" type="presOf" srcId="{B6FB286A-38DA-43C0-8C94-32E2C42A7461}" destId="{435F1428-2B83-46AC-B38A-ED38F4F64F5C}" srcOrd="0" destOrd="0" presId="urn:microsoft.com/office/officeart/2008/layout/HorizontalMultiLevelHierarchy"/>
    <dgm:cxn modelId="{47894983-1F3F-4429-81A2-84D4138CA8F9}" type="presOf" srcId="{8B2EFE20-744B-4787-9B12-701483587BF3}" destId="{6243DC1B-4EAE-428C-BF0B-C7F306241B3A}" srcOrd="0" destOrd="0" presId="urn:microsoft.com/office/officeart/2008/layout/HorizontalMultiLevelHierarchy"/>
    <dgm:cxn modelId="{97ECA284-F572-425B-8011-3754BA752DA1}" type="presOf" srcId="{E9DE3C7B-9C1E-4208-A6AC-17FD2FAA6C0F}" destId="{DB1457C3-6D70-486C-A24F-8DEC5BEFC8C5}" srcOrd="0" destOrd="0" presId="urn:microsoft.com/office/officeart/2008/layout/HorizontalMultiLevelHierarchy"/>
    <dgm:cxn modelId="{9D50A884-96CE-4DAE-956A-2F612D25FB92}" type="presOf" srcId="{7847BB6E-7CB7-423C-963D-19AF9D066DC6}" destId="{50FDE6D4-F57F-4334-820E-B2338A41A543}" srcOrd="0" destOrd="0" presId="urn:microsoft.com/office/officeart/2008/layout/HorizontalMultiLevelHierarchy"/>
    <dgm:cxn modelId="{95B2C784-9D70-406A-A7AD-4C09040B1A4B}" type="presOf" srcId="{8B2EFE20-744B-4787-9B12-701483587BF3}" destId="{DCC7ACC2-95F0-4D4E-8597-4FFBC9950304}" srcOrd="1" destOrd="0" presId="urn:microsoft.com/office/officeart/2008/layout/HorizontalMultiLevelHierarchy"/>
    <dgm:cxn modelId="{2744878A-4E37-4CD7-B69D-839F4C9D2813}" srcId="{B630EE8B-9A1D-4A23-8078-AD47605BEAB9}" destId="{E7969C7F-7A8B-4180-85B2-05044E28D8AA}" srcOrd="1" destOrd="0" parTransId="{7C31B141-4B8A-446F-801C-A8DBED15E116}" sibTransId="{66846292-8BDF-47FA-9738-55DE05605121}"/>
    <dgm:cxn modelId="{94CE9E8E-9098-4890-85E1-D3A2677DE7C1}" type="presOf" srcId="{B11928F5-9E09-4355-ABED-7947B95DDF8A}" destId="{34D79EA9-2B71-403F-8F2A-16B6D341AA0B}" srcOrd="0" destOrd="0" presId="urn:microsoft.com/office/officeart/2008/layout/HorizontalMultiLevelHierarchy"/>
    <dgm:cxn modelId="{8E310E92-5427-431F-8C78-105D08DF42C6}" type="presOf" srcId="{9BA0A71D-A869-47A8-B9E6-B978F7A3D9D1}" destId="{1A3C3D3D-C445-4C13-9EA9-CD59A10FB865}" srcOrd="0" destOrd="0" presId="urn:microsoft.com/office/officeart/2008/layout/HorizontalMultiLevelHierarchy"/>
    <dgm:cxn modelId="{286D5698-CB0F-45BB-ACEB-D99387840B17}" type="presOf" srcId="{7C31B141-4B8A-446F-801C-A8DBED15E116}" destId="{25F8669B-ECE7-46CD-9EDF-EFC4E2AADACD}" srcOrd="1" destOrd="0" presId="urn:microsoft.com/office/officeart/2008/layout/HorizontalMultiLevelHierarchy"/>
    <dgm:cxn modelId="{D0D03AA5-ED21-4F1F-A596-9D3F4260865F}" type="presOf" srcId="{E7969C7F-7A8B-4180-85B2-05044E28D8AA}" destId="{EB706AFB-D9D1-4A08-BD04-A9A29236E126}" srcOrd="0" destOrd="0" presId="urn:microsoft.com/office/officeart/2008/layout/HorizontalMultiLevelHierarchy"/>
    <dgm:cxn modelId="{EBE23FB2-6679-4A9B-94FE-53A41499E790}" type="presOf" srcId="{5C66B384-7C4C-4F2A-A63F-ADAA079B3C0F}" destId="{DD58D80A-8117-463A-879B-AFB36B182EE9}" srcOrd="0" destOrd="0" presId="urn:microsoft.com/office/officeart/2008/layout/HorizontalMultiLevelHierarchy"/>
    <dgm:cxn modelId="{189FF2B2-CC6A-4B59-A106-753607A39774}" srcId="{BB4C7F4B-3788-4F91-9B2E-4DA556E159DC}" destId="{9BA0A71D-A869-47A8-B9E6-B978F7A3D9D1}" srcOrd="0" destOrd="0" parTransId="{041C2221-AE63-47CB-926F-8EDB22B5DB9A}" sibTransId="{1EC6C91C-B7FC-4606-B287-3E437B60A2A7}"/>
    <dgm:cxn modelId="{0687E2BB-E1ED-4A5D-9BF8-70D26D4B0564}" type="presOf" srcId="{F59B3663-86E2-4274-90E3-98D5C2894DF1}" destId="{46597CA5-E095-4BFB-A29F-1E7B307C0F78}" srcOrd="1" destOrd="0" presId="urn:microsoft.com/office/officeart/2008/layout/HorizontalMultiLevelHierarchy"/>
    <dgm:cxn modelId="{853176BC-1AF9-4494-9B62-3A641085D748}" type="presOf" srcId="{ABC0915D-293F-4E3D-9CBB-D2B96E37B4AB}" destId="{67076895-AC32-48FA-8ED5-BDFA892740B5}" srcOrd="0" destOrd="0" presId="urn:microsoft.com/office/officeart/2008/layout/HorizontalMultiLevelHierarchy"/>
    <dgm:cxn modelId="{E5CAACC3-7B7F-488D-BD70-FA8DBB8856FE}" type="presOf" srcId="{B485AED4-8907-48BD-B030-4A84058530BF}" destId="{B81313CF-E954-4D0B-981F-FBBA3D670158}" srcOrd="1" destOrd="0" presId="urn:microsoft.com/office/officeart/2008/layout/HorizontalMultiLevelHierarchy"/>
    <dgm:cxn modelId="{95459BC9-CEBF-41D9-B4F3-1AEE295AB73D}" type="presOf" srcId="{B630EE8B-9A1D-4A23-8078-AD47605BEAB9}" destId="{2D23180B-20CA-464B-83B9-6115F912E418}" srcOrd="0" destOrd="0" presId="urn:microsoft.com/office/officeart/2008/layout/HorizontalMultiLevelHierarchy"/>
    <dgm:cxn modelId="{71DF4ECB-3AC7-419C-B0CF-9EE384E48D35}" type="presOf" srcId="{B485AED4-8907-48BD-B030-4A84058530BF}" destId="{82E7FB69-0CED-4B9D-8B71-DB724B7D6C83}" srcOrd="0" destOrd="0" presId="urn:microsoft.com/office/officeart/2008/layout/HorizontalMultiLevelHierarchy"/>
    <dgm:cxn modelId="{95463CD1-D294-4360-8FF5-408789A238D0}" type="presOf" srcId="{5D4D9EEB-4823-4D83-A0BB-A007DB568DE9}" destId="{54C24482-0CA5-41B5-982E-ABCCBDCD1954}" srcOrd="0" destOrd="0" presId="urn:microsoft.com/office/officeart/2008/layout/HorizontalMultiLevelHierarchy"/>
    <dgm:cxn modelId="{C6FC36D6-AE1A-4A8C-A8E1-5CCEF38CBF29}" srcId="{1B989A1A-892B-4E40-ACB0-4E95F250E03C}" destId="{7EAE1D1F-45A6-42EF-85A6-F623308F78B7}" srcOrd="1" destOrd="0" parTransId="{B485AED4-8907-48BD-B030-4A84058530BF}" sibTransId="{EDDAC37F-8D70-4C3D-AE80-13FAFAF48ABD}"/>
    <dgm:cxn modelId="{B1DECCD6-0D03-46C4-96F3-83686BD392A3}" type="presOf" srcId="{47A0FD99-C021-48B1-9C44-EC834E979456}" destId="{0C7637EB-A9FB-4674-9E2F-DF31683CF547}" srcOrd="0" destOrd="0" presId="urn:microsoft.com/office/officeart/2008/layout/HorizontalMultiLevelHierarchy"/>
    <dgm:cxn modelId="{EB5106DB-2C2B-4D6F-827F-B36900EA8C14}" type="presOf" srcId="{1A301DC8-4243-4906-B5D5-72B17777AB5C}" destId="{E5B9AABC-25B3-46F6-AB87-F11570AC6DF3}" srcOrd="0" destOrd="0" presId="urn:microsoft.com/office/officeart/2008/layout/HorizontalMultiLevelHierarchy"/>
    <dgm:cxn modelId="{53FC4CDD-E0AE-4A30-8700-0537A41C5F39}" srcId="{B630EE8B-9A1D-4A23-8078-AD47605BEAB9}" destId="{1B989A1A-892B-4E40-ACB0-4E95F250E03C}" srcOrd="7" destOrd="0" parTransId="{47A0FD99-C021-48B1-9C44-EC834E979456}" sibTransId="{0F7D9424-84D7-43E0-B755-D34908320630}"/>
    <dgm:cxn modelId="{A1B8D9E3-A354-4361-9A2A-A5AFAAFF68BE}" type="presOf" srcId="{7AC25F6B-785A-4A8B-ACCC-147CCC442F13}" destId="{4BB0676D-2872-4A33-946A-F7E41D608A5A}" srcOrd="0" destOrd="0" presId="urn:microsoft.com/office/officeart/2008/layout/HorizontalMultiLevelHierarchy"/>
    <dgm:cxn modelId="{C0C1A9F1-F428-4FA5-A505-C3F4AA45CC38}" srcId="{AA0EE94F-F78A-4498-87B9-C1440797EC7E}" destId="{4FD1E0B9-8772-4D91-B030-27263CDB2342}" srcOrd="0" destOrd="0" parTransId="{ABC0915D-293F-4E3D-9CBB-D2B96E37B4AB}" sibTransId="{BF916EE1-A88B-4012-AA63-850DEAD22454}"/>
    <dgm:cxn modelId="{561F63F7-AB07-47DE-8EBE-D313416D7034}" type="presOf" srcId="{D33BED65-2945-43E8-A7BE-FC88EB933ED4}" destId="{D9138398-0B5D-401E-AEAC-6856C1BC5121}" srcOrd="0" destOrd="0" presId="urn:microsoft.com/office/officeart/2008/layout/HorizontalMultiLevelHierarchy"/>
    <dgm:cxn modelId="{07E318FB-E92E-433C-B6A2-D79188586330}" srcId="{0B7B43E0-DE0F-4C19-A515-C6FCAF024E05}" destId="{E9DE3C7B-9C1E-4208-A6AC-17FD2FAA6C0F}" srcOrd="0" destOrd="0" parTransId="{7847BB6E-7CB7-423C-963D-19AF9D066DC6}" sibTransId="{9F758F76-AFDA-4961-A260-2B5789C2C992}"/>
    <dgm:cxn modelId="{448DB9FD-BD26-423D-9BB0-851BCED88B4D}" type="presOf" srcId="{AA0EE94F-F78A-4498-87B9-C1440797EC7E}" destId="{A1563F5D-BCC3-4F8C-BB86-05313608EF2D}" srcOrd="0" destOrd="0" presId="urn:microsoft.com/office/officeart/2008/layout/HorizontalMultiLevelHierarchy"/>
    <dgm:cxn modelId="{1864A1FF-DB06-4FE6-837E-8166502B3771}" type="presOf" srcId="{1B989A1A-892B-4E40-ACB0-4E95F250E03C}" destId="{C72EA3EB-886E-4034-BAEC-3E1032C0FA34}" srcOrd="0" destOrd="0" presId="urn:microsoft.com/office/officeart/2008/layout/HorizontalMultiLevelHierarchy"/>
    <dgm:cxn modelId="{6D8A176C-9B1F-4397-B0CA-025EBD890DCD}" type="presParOf" srcId="{435F1428-2B83-46AC-B38A-ED38F4F64F5C}" destId="{7DC16F00-FEDE-4FA2-AC50-1497ADBDB646}" srcOrd="0" destOrd="0" presId="urn:microsoft.com/office/officeart/2008/layout/HorizontalMultiLevelHierarchy"/>
    <dgm:cxn modelId="{56241254-CEF0-4484-AB0B-B7B23FEC6023}" type="presParOf" srcId="{7DC16F00-FEDE-4FA2-AC50-1497ADBDB646}" destId="{2D23180B-20CA-464B-83B9-6115F912E418}" srcOrd="0" destOrd="0" presId="urn:microsoft.com/office/officeart/2008/layout/HorizontalMultiLevelHierarchy"/>
    <dgm:cxn modelId="{8179B847-1AFE-4350-AA1C-F3A0299CFF64}" type="presParOf" srcId="{7DC16F00-FEDE-4FA2-AC50-1497ADBDB646}" destId="{5E1E3B77-3AC5-4AEE-8394-0D4EF6CCDCE2}" srcOrd="1" destOrd="0" presId="urn:microsoft.com/office/officeart/2008/layout/HorizontalMultiLevelHierarchy"/>
    <dgm:cxn modelId="{EC455FB5-C7CB-4E80-8118-23C80FF49EB1}" type="presParOf" srcId="{5E1E3B77-3AC5-4AEE-8394-0D4EF6CCDCE2}" destId="{34D79EA9-2B71-403F-8F2A-16B6D341AA0B}" srcOrd="0" destOrd="0" presId="urn:microsoft.com/office/officeart/2008/layout/HorizontalMultiLevelHierarchy"/>
    <dgm:cxn modelId="{D4A0AAB9-9570-4BFC-8108-1382D3A49C20}" type="presParOf" srcId="{34D79EA9-2B71-403F-8F2A-16B6D341AA0B}" destId="{FED64A02-63B3-4D73-B2D6-B7D740FDE6E5}" srcOrd="0" destOrd="0" presId="urn:microsoft.com/office/officeart/2008/layout/HorizontalMultiLevelHierarchy"/>
    <dgm:cxn modelId="{720E6B7D-4655-4354-A50C-B59E397B1A46}" type="presParOf" srcId="{5E1E3B77-3AC5-4AEE-8394-0D4EF6CCDCE2}" destId="{26B40842-6015-48FC-99F1-BD39575C40FB}" srcOrd="1" destOrd="0" presId="urn:microsoft.com/office/officeart/2008/layout/HorizontalMultiLevelHierarchy"/>
    <dgm:cxn modelId="{93F36793-72CF-44DA-B89D-A7D61F204CF6}" type="presParOf" srcId="{26B40842-6015-48FC-99F1-BD39575C40FB}" destId="{BF59C357-0F04-48C9-979A-3B9777282C92}" srcOrd="0" destOrd="0" presId="urn:microsoft.com/office/officeart/2008/layout/HorizontalMultiLevelHierarchy"/>
    <dgm:cxn modelId="{18B97DBD-50DC-476E-8296-56E3E4F7903F}" type="presParOf" srcId="{26B40842-6015-48FC-99F1-BD39575C40FB}" destId="{52624067-CA76-4355-9D5C-945D09485F57}" srcOrd="1" destOrd="0" presId="urn:microsoft.com/office/officeart/2008/layout/HorizontalMultiLevelHierarchy"/>
    <dgm:cxn modelId="{26EDA9B9-054E-41B1-AE3C-228EE77387A2}" type="presParOf" srcId="{52624067-CA76-4355-9D5C-945D09485F57}" destId="{50FDE6D4-F57F-4334-820E-B2338A41A543}" srcOrd="0" destOrd="0" presId="urn:microsoft.com/office/officeart/2008/layout/HorizontalMultiLevelHierarchy"/>
    <dgm:cxn modelId="{4957DA43-C200-4E01-BE0B-D383E9DF5370}" type="presParOf" srcId="{50FDE6D4-F57F-4334-820E-B2338A41A543}" destId="{8062113A-1BCF-4572-8944-C1802EDF7E66}" srcOrd="0" destOrd="0" presId="urn:microsoft.com/office/officeart/2008/layout/HorizontalMultiLevelHierarchy"/>
    <dgm:cxn modelId="{52C8644F-BBBB-4A41-8296-B7D339451FCF}" type="presParOf" srcId="{52624067-CA76-4355-9D5C-945D09485F57}" destId="{23E04653-8008-4717-9546-67DD43F55818}" srcOrd="1" destOrd="0" presId="urn:microsoft.com/office/officeart/2008/layout/HorizontalMultiLevelHierarchy"/>
    <dgm:cxn modelId="{9B6DC604-6B97-4AE6-9BA5-E622A1BA7664}" type="presParOf" srcId="{23E04653-8008-4717-9546-67DD43F55818}" destId="{DB1457C3-6D70-486C-A24F-8DEC5BEFC8C5}" srcOrd="0" destOrd="0" presId="urn:microsoft.com/office/officeart/2008/layout/HorizontalMultiLevelHierarchy"/>
    <dgm:cxn modelId="{4F926AD0-502C-48F6-A951-DD768A6EF030}" type="presParOf" srcId="{23E04653-8008-4717-9546-67DD43F55818}" destId="{A2811640-878E-4B62-A396-D6263432CDFC}" srcOrd="1" destOrd="0" presId="urn:microsoft.com/office/officeart/2008/layout/HorizontalMultiLevelHierarchy"/>
    <dgm:cxn modelId="{C9DDE94E-27F5-4AA9-B97F-9ED26500B998}" type="presParOf" srcId="{52624067-CA76-4355-9D5C-945D09485F57}" destId="{D53C34DD-B694-401B-A83D-A6B1C3A20E1C}" srcOrd="2" destOrd="0" presId="urn:microsoft.com/office/officeart/2008/layout/HorizontalMultiLevelHierarchy"/>
    <dgm:cxn modelId="{4BD31FDE-9441-4748-B1CD-AF41F5FC2825}" type="presParOf" srcId="{D53C34DD-B694-401B-A83D-A6B1C3A20E1C}" destId="{FAB11CC9-A43A-4114-BA77-9CF6F514EE05}" srcOrd="0" destOrd="0" presId="urn:microsoft.com/office/officeart/2008/layout/HorizontalMultiLevelHierarchy"/>
    <dgm:cxn modelId="{9E0C83E6-FE65-4212-A1C7-4BBCE1996BED}" type="presParOf" srcId="{52624067-CA76-4355-9D5C-945D09485F57}" destId="{96DE1C48-CD4B-4210-A5BB-97E5BC169FB2}" srcOrd="3" destOrd="0" presId="urn:microsoft.com/office/officeart/2008/layout/HorizontalMultiLevelHierarchy"/>
    <dgm:cxn modelId="{A7EA14CA-5294-4197-B978-F894ADE70B53}" type="presParOf" srcId="{96DE1C48-CD4B-4210-A5BB-97E5BC169FB2}" destId="{7958384A-0D96-4703-A8AF-364CE4B9EDC1}" srcOrd="0" destOrd="0" presId="urn:microsoft.com/office/officeart/2008/layout/HorizontalMultiLevelHierarchy"/>
    <dgm:cxn modelId="{F7C5E2B7-9E96-4A63-90AB-1A4302DA2933}" type="presParOf" srcId="{96DE1C48-CD4B-4210-A5BB-97E5BC169FB2}" destId="{E86B1308-2F03-4C86-B249-A2D2988C2A1D}" srcOrd="1" destOrd="0" presId="urn:microsoft.com/office/officeart/2008/layout/HorizontalMultiLevelHierarchy"/>
    <dgm:cxn modelId="{AB0EA213-2407-471F-B7C1-92BF5AD5A2CA}" type="presParOf" srcId="{5E1E3B77-3AC5-4AEE-8394-0D4EF6CCDCE2}" destId="{66501721-55DE-409D-A7B1-1BB9A941D560}" srcOrd="2" destOrd="0" presId="urn:microsoft.com/office/officeart/2008/layout/HorizontalMultiLevelHierarchy"/>
    <dgm:cxn modelId="{F70D7956-A43B-4895-A6C9-033572A7478D}" type="presParOf" srcId="{66501721-55DE-409D-A7B1-1BB9A941D560}" destId="{25F8669B-ECE7-46CD-9EDF-EFC4E2AADACD}" srcOrd="0" destOrd="0" presId="urn:microsoft.com/office/officeart/2008/layout/HorizontalMultiLevelHierarchy"/>
    <dgm:cxn modelId="{900F300C-93D4-4037-BA5D-0C26044F4C32}" type="presParOf" srcId="{5E1E3B77-3AC5-4AEE-8394-0D4EF6CCDCE2}" destId="{7B97F096-717D-4AD8-A7A2-C39DC27293BE}" srcOrd="3" destOrd="0" presId="urn:microsoft.com/office/officeart/2008/layout/HorizontalMultiLevelHierarchy"/>
    <dgm:cxn modelId="{B6BDE32C-B80E-4106-91C9-CDDD010A75E5}" type="presParOf" srcId="{7B97F096-717D-4AD8-A7A2-C39DC27293BE}" destId="{EB706AFB-D9D1-4A08-BD04-A9A29236E126}" srcOrd="0" destOrd="0" presId="urn:microsoft.com/office/officeart/2008/layout/HorizontalMultiLevelHierarchy"/>
    <dgm:cxn modelId="{75062D02-43ED-44C2-88FE-3B31B7F3548C}" type="presParOf" srcId="{7B97F096-717D-4AD8-A7A2-C39DC27293BE}" destId="{98B743E5-4A79-4DFA-88D4-A4E182B36F0A}" srcOrd="1" destOrd="0" presId="urn:microsoft.com/office/officeart/2008/layout/HorizontalMultiLevelHierarchy"/>
    <dgm:cxn modelId="{D854080E-1C30-4217-A824-25C8DC538BAC}" type="presParOf" srcId="{5E1E3B77-3AC5-4AEE-8394-0D4EF6CCDCE2}" destId="{E5B9AABC-25B3-46F6-AB87-F11570AC6DF3}" srcOrd="4" destOrd="0" presId="urn:microsoft.com/office/officeart/2008/layout/HorizontalMultiLevelHierarchy"/>
    <dgm:cxn modelId="{A6534F36-415D-4E5E-8F75-29C17696CB9D}" type="presParOf" srcId="{E5B9AABC-25B3-46F6-AB87-F11570AC6DF3}" destId="{6B182213-E588-4C63-875E-B3D9BEB29C3A}" srcOrd="0" destOrd="0" presId="urn:microsoft.com/office/officeart/2008/layout/HorizontalMultiLevelHierarchy"/>
    <dgm:cxn modelId="{16E83ED7-373D-4E77-A10C-D4D407002227}" type="presParOf" srcId="{5E1E3B77-3AC5-4AEE-8394-0D4EF6CCDCE2}" destId="{E4DA360A-4705-4809-A9CE-55A544DCF691}" srcOrd="5" destOrd="0" presId="urn:microsoft.com/office/officeart/2008/layout/HorizontalMultiLevelHierarchy"/>
    <dgm:cxn modelId="{A9D2D046-2490-4DC4-967D-C110F3547DBE}" type="presParOf" srcId="{E4DA360A-4705-4809-A9CE-55A544DCF691}" destId="{43AAF3DC-85F7-4D50-8B1C-71955E6D45D2}" srcOrd="0" destOrd="0" presId="urn:microsoft.com/office/officeart/2008/layout/HorizontalMultiLevelHierarchy"/>
    <dgm:cxn modelId="{2E403537-77D7-4A70-80DC-515CBD15E4F9}" type="presParOf" srcId="{E4DA360A-4705-4809-A9CE-55A544DCF691}" destId="{8A56A518-1A4C-457F-ADDF-BA1EB8FD1F73}" srcOrd="1" destOrd="0" presId="urn:microsoft.com/office/officeart/2008/layout/HorizontalMultiLevelHierarchy"/>
    <dgm:cxn modelId="{F41C02EC-86B2-47B2-9538-F0776A10A9F2}" type="presParOf" srcId="{5E1E3B77-3AC5-4AEE-8394-0D4EF6CCDCE2}" destId="{6243DC1B-4EAE-428C-BF0B-C7F306241B3A}" srcOrd="6" destOrd="0" presId="urn:microsoft.com/office/officeart/2008/layout/HorizontalMultiLevelHierarchy"/>
    <dgm:cxn modelId="{B6F34953-7A9E-4892-99AB-0D4E0169E9A9}" type="presParOf" srcId="{6243DC1B-4EAE-428C-BF0B-C7F306241B3A}" destId="{DCC7ACC2-95F0-4D4E-8597-4FFBC9950304}" srcOrd="0" destOrd="0" presId="urn:microsoft.com/office/officeart/2008/layout/HorizontalMultiLevelHierarchy"/>
    <dgm:cxn modelId="{8762A049-695D-4DCD-A17A-A2B2902E44AC}" type="presParOf" srcId="{5E1E3B77-3AC5-4AEE-8394-0D4EF6CCDCE2}" destId="{E756CAE8-E95A-4AEC-B2B6-7DAA21021283}" srcOrd="7" destOrd="0" presId="urn:microsoft.com/office/officeart/2008/layout/HorizontalMultiLevelHierarchy"/>
    <dgm:cxn modelId="{397A3D45-EEF6-47F6-B11B-C058A9A8DA30}" type="presParOf" srcId="{E756CAE8-E95A-4AEC-B2B6-7DAA21021283}" destId="{D9138398-0B5D-401E-AEAC-6856C1BC5121}" srcOrd="0" destOrd="0" presId="urn:microsoft.com/office/officeart/2008/layout/HorizontalMultiLevelHierarchy"/>
    <dgm:cxn modelId="{06EBE4BC-3273-47D5-AB03-AB800949AAAE}" type="presParOf" srcId="{E756CAE8-E95A-4AEC-B2B6-7DAA21021283}" destId="{CBFD26EC-5D76-48C4-B3F3-2549CF470586}" srcOrd="1" destOrd="0" presId="urn:microsoft.com/office/officeart/2008/layout/HorizontalMultiLevelHierarchy"/>
    <dgm:cxn modelId="{C62E2145-8D8A-463E-B24C-97866C9CAC71}" type="presParOf" srcId="{5E1E3B77-3AC5-4AEE-8394-0D4EF6CCDCE2}" destId="{4BB0676D-2872-4A33-946A-F7E41D608A5A}" srcOrd="8" destOrd="0" presId="urn:microsoft.com/office/officeart/2008/layout/HorizontalMultiLevelHierarchy"/>
    <dgm:cxn modelId="{FA3F56EC-1FB8-4C04-BE2A-BFE38AED4B5C}" type="presParOf" srcId="{4BB0676D-2872-4A33-946A-F7E41D608A5A}" destId="{576CA4F9-308A-46A2-8123-A3BB7AA25430}" srcOrd="0" destOrd="0" presId="urn:microsoft.com/office/officeart/2008/layout/HorizontalMultiLevelHierarchy"/>
    <dgm:cxn modelId="{71ABB0A5-C18C-4245-A2E3-8A5C0B5C8C88}" type="presParOf" srcId="{5E1E3B77-3AC5-4AEE-8394-0D4EF6CCDCE2}" destId="{3A588468-2979-473E-82C5-6623070C572C}" srcOrd="9" destOrd="0" presId="urn:microsoft.com/office/officeart/2008/layout/HorizontalMultiLevelHierarchy"/>
    <dgm:cxn modelId="{66FA45B8-B73B-4E57-94E3-7D178D28EE61}" type="presParOf" srcId="{3A588468-2979-473E-82C5-6623070C572C}" destId="{FA25414A-4D7F-44B9-A703-5AE52BFC5B58}" srcOrd="0" destOrd="0" presId="urn:microsoft.com/office/officeart/2008/layout/HorizontalMultiLevelHierarchy"/>
    <dgm:cxn modelId="{658C3FB7-7D6A-48AB-AD66-2CFE93782861}" type="presParOf" srcId="{3A588468-2979-473E-82C5-6623070C572C}" destId="{D8B7AC2B-D57D-4F85-AACD-317774E9A13A}" srcOrd="1" destOrd="0" presId="urn:microsoft.com/office/officeart/2008/layout/HorizontalMultiLevelHierarchy"/>
    <dgm:cxn modelId="{7EF94DCC-A210-4D54-B9D7-D00E03560CC0}" type="presParOf" srcId="{D8B7AC2B-D57D-4F85-AACD-317774E9A13A}" destId="{50989DDD-9C69-437F-8069-7ECDB393303F}" srcOrd="0" destOrd="0" presId="urn:microsoft.com/office/officeart/2008/layout/HorizontalMultiLevelHierarchy"/>
    <dgm:cxn modelId="{C5FA865C-33AF-4D20-B654-F8EC7BA3E5E0}" type="presParOf" srcId="{50989DDD-9C69-437F-8069-7ECDB393303F}" destId="{6DEA6101-ED03-4089-9348-D943707A78D5}" srcOrd="0" destOrd="0" presId="urn:microsoft.com/office/officeart/2008/layout/HorizontalMultiLevelHierarchy"/>
    <dgm:cxn modelId="{74923782-C9D6-40A3-BB30-E858297070C8}" type="presParOf" srcId="{D8B7AC2B-D57D-4F85-AACD-317774E9A13A}" destId="{DC89F724-30DA-4223-AF52-102BCF92D2CE}" srcOrd="1" destOrd="0" presId="urn:microsoft.com/office/officeart/2008/layout/HorizontalMultiLevelHierarchy"/>
    <dgm:cxn modelId="{C47D4D97-0445-45D5-A536-CE4A5C02AE94}" type="presParOf" srcId="{DC89F724-30DA-4223-AF52-102BCF92D2CE}" destId="{1A3C3D3D-C445-4C13-9EA9-CD59A10FB865}" srcOrd="0" destOrd="0" presId="urn:microsoft.com/office/officeart/2008/layout/HorizontalMultiLevelHierarchy"/>
    <dgm:cxn modelId="{CE368496-7038-4F50-BF30-000E56CC4264}" type="presParOf" srcId="{DC89F724-30DA-4223-AF52-102BCF92D2CE}" destId="{D5FB15F8-49B4-44E8-99A4-E9AF314CBC5D}" srcOrd="1" destOrd="0" presId="urn:microsoft.com/office/officeart/2008/layout/HorizontalMultiLevelHierarchy"/>
    <dgm:cxn modelId="{4A8E7AC1-DDAB-4393-89D6-8D707E4F5D3C}" type="presParOf" srcId="{5E1E3B77-3AC5-4AEE-8394-0D4EF6CCDCE2}" destId="{1450E69D-640B-441C-B3FE-8032F928C12F}" srcOrd="10" destOrd="0" presId="urn:microsoft.com/office/officeart/2008/layout/HorizontalMultiLevelHierarchy"/>
    <dgm:cxn modelId="{AEED4B1B-74A7-4AC5-A177-3207665731BE}" type="presParOf" srcId="{1450E69D-640B-441C-B3FE-8032F928C12F}" destId="{C066E613-E133-42E3-A444-F7360801B013}" srcOrd="0" destOrd="0" presId="urn:microsoft.com/office/officeart/2008/layout/HorizontalMultiLevelHierarchy"/>
    <dgm:cxn modelId="{E50F07DE-C267-4489-B3C7-0F79846BA0B6}" type="presParOf" srcId="{5E1E3B77-3AC5-4AEE-8394-0D4EF6CCDCE2}" destId="{691FF547-8435-4ACF-B800-7D354068265F}" srcOrd="11" destOrd="0" presId="urn:microsoft.com/office/officeart/2008/layout/HorizontalMultiLevelHierarchy"/>
    <dgm:cxn modelId="{E558190D-33DB-49F7-B6C3-87A399FC499E}" type="presParOf" srcId="{691FF547-8435-4ACF-B800-7D354068265F}" destId="{54C24482-0CA5-41B5-982E-ABCCBDCD1954}" srcOrd="0" destOrd="0" presId="urn:microsoft.com/office/officeart/2008/layout/HorizontalMultiLevelHierarchy"/>
    <dgm:cxn modelId="{1ABCAF8B-0A8E-4F29-AE52-033995F86DBE}" type="presParOf" srcId="{691FF547-8435-4ACF-B800-7D354068265F}" destId="{B8A830ED-F07A-4609-883B-9666494FA719}" srcOrd="1" destOrd="0" presId="urn:microsoft.com/office/officeart/2008/layout/HorizontalMultiLevelHierarchy"/>
    <dgm:cxn modelId="{31DD52A0-CEBC-443D-B184-839B9F512E62}" type="presParOf" srcId="{5E1E3B77-3AC5-4AEE-8394-0D4EF6CCDCE2}" destId="{400B3B7E-8A7D-4B33-BC79-94BD15FA05B9}" srcOrd="12" destOrd="0" presId="urn:microsoft.com/office/officeart/2008/layout/HorizontalMultiLevelHierarchy"/>
    <dgm:cxn modelId="{FF5A840A-CAC6-42CB-9B27-A58AA6982D8B}" type="presParOf" srcId="{400B3B7E-8A7D-4B33-BC79-94BD15FA05B9}" destId="{46597CA5-E095-4BFB-A29F-1E7B307C0F78}" srcOrd="0" destOrd="0" presId="urn:microsoft.com/office/officeart/2008/layout/HorizontalMultiLevelHierarchy"/>
    <dgm:cxn modelId="{3CD2E19E-A76E-473E-8779-BEF119FCD986}" type="presParOf" srcId="{5E1E3B77-3AC5-4AEE-8394-0D4EF6CCDCE2}" destId="{60C40F32-6A0E-4CE7-A6C1-61B928DF3A44}" srcOrd="13" destOrd="0" presId="urn:microsoft.com/office/officeart/2008/layout/HorizontalMultiLevelHierarchy"/>
    <dgm:cxn modelId="{05B5C827-474F-4BB0-9766-3BD9357AC36E}" type="presParOf" srcId="{60C40F32-6A0E-4CE7-A6C1-61B928DF3A44}" destId="{A1563F5D-BCC3-4F8C-BB86-05313608EF2D}" srcOrd="0" destOrd="0" presId="urn:microsoft.com/office/officeart/2008/layout/HorizontalMultiLevelHierarchy"/>
    <dgm:cxn modelId="{0B6CD71C-DC4A-4348-B960-83D3F286C930}" type="presParOf" srcId="{60C40F32-6A0E-4CE7-A6C1-61B928DF3A44}" destId="{639D805D-A485-44B1-8819-9EB717AF61E7}" srcOrd="1" destOrd="0" presId="urn:microsoft.com/office/officeart/2008/layout/HorizontalMultiLevelHierarchy"/>
    <dgm:cxn modelId="{5F6CF369-5104-40EF-8FE1-EAC1C2CE1FB5}" type="presParOf" srcId="{639D805D-A485-44B1-8819-9EB717AF61E7}" destId="{67076895-AC32-48FA-8ED5-BDFA892740B5}" srcOrd="0" destOrd="0" presId="urn:microsoft.com/office/officeart/2008/layout/HorizontalMultiLevelHierarchy"/>
    <dgm:cxn modelId="{11F262D7-E828-4C8A-9236-6A08450DE042}" type="presParOf" srcId="{67076895-AC32-48FA-8ED5-BDFA892740B5}" destId="{AA27F495-1F03-4658-9C8C-6A75ED946FF0}" srcOrd="0" destOrd="0" presId="urn:microsoft.com/office/officeart/2008/layout/HorizontalMultiLevelHierarchy"/>
    <dgm:cxn modelId="{FB478087-7799-4BAA-A652-C7B416E3C669}" type="presParOf" srcId="{639D805D-A485-44B1-8819-9EB717AF61E7}" destId="{3C0C9029-E689-4D73-B8B5-D408E9EF593B}" srcOrd="1" destOrd="0" presId="urn:microsoft.com/office/officeart/2008/layout/HorizontalMultiLevelHierarchy"/>
    <dgm:cxn modelId="{C89EA031-93CE-497B-A4EE-89CA4F06F371}" type="presParOf" srcId="{3C0C9029-E689-4D73-B8B5-D408E9EF593B}" destId="{3C1258DB-4B53-417E-8F5C-2DD2C1730327}" srcOrd="0" destOrd="0" presId="urn:microsoft.com/office/officeart/2008/layout/HorizontalMultiLevelHierarchy"/>
    <dgm:cxn modelId="{3F7AB454-7821-4695-8399-9FFDEB04D25C}" type="presParOf" srcId="{3C0C9029-E689-4D73-B8B5-D408E9EF593B}" destId="{3CC2B70E-97EA-4BF4-B9F4-738DB0EB4B88}" srcOrd="1" destOrd="0" presId="urn:microsoft.com/office/officeart/2008/layout/HorizontalMultiLevelHierarchy"/>
    <dgm:cxn modelId="{15C4411B-5F9C-4558-853F-EDB368BCA5DE}" type="presParOf" srcId="{5E1E3B77-3AC5-4AEE-8394-0D4EF6CCDCE2}" destId="{0C7637EB-A9FB-4674-9E2F-DF31683CF547}" srcOrd="14" destOrd="0" presId="urn:microsoft.com/office/officeart/2008/layout/HorizontalMultiLevelHierarchy"/>
    <dgm:cxn modelId="{227B9D76-6646-40F9-95E1-F292E492912A}" type="presParOf" srcId="{0C7637EB-A9FB-4674-9E2F-DF31683CF547}" destId="{174314BD-D82E-4378-8EB6-4A7D6998F27F}" srcOrd="0" destOrd="0" presId="urn:microsoft.com/office/officeart/2008/layout/HorizontalMultiLevelHierarchy"/>
    <dgm:cxn modelId="{2526635D-7910-45B4-8581-6A0D9FA0980B}" type="presParOf" srcId="{5E1E3B77-3AC5-4AEE-8394-0D4EF6CCDCE2}" destId="{E7E4B2E5-E2A8-4069-82B0-7F38BDA51617}" srcOrd="15" destOrd="0" presId="urn:microsoft.com/office/officeart/2008/layout/HorizontalMultiLevelHierarchy"/>
    <dgm:cxn modelId="{AC12D1CB-D556-4F0E-9FF5-D3A8C526141D}" type="presParOf" srcId="{E7E4B2E5-E2A8-4069-82B0-7F38BDA51617}" destId="{C72EA3EB-886E-4034-BAEC-3E1032C0FA34}" srcOrd="0" destOrd="0" presId="urn:microsoft.com/office/officeart/2008/layout/HorizontalMultiLevelHierarchy"/>
    <dgm:cxn modelId="{301EA0C6-BD6A-4B9A-9EE1-700EEA18187E}" type="presParOf" srcId="{E7E4B2E5-E2A8-4069-82B0-7F38BDA51617}" destId="{88CE960F-3A2C-4F73-A4CE-59F0AFDFF0F3}" srcOrd="1" destOrd="0" presId="urn:microsoft.com/office/officeart/2008/layout/HorizontalMultiLevelHierarchy"/>
    <dgm:cxn modelId="{9687A877-AD80-496C-9067-9AB8723780AA}" type="presParOf" srcId="{88CE960F-3A2C-4F73-A4CE-59F0AFDFF0F3}" destId="{2AB6A527-9313-4639-8AB2-7765A98B8095}" srcOrd="0" destOrd="0" presId="urn:microsoft.com/office/officeart/2008/layout/HorizontalMultiLevelHierarchy"/>
    <dgm:cxn modelId="{85AF9251-0252-4A89-B25F-8DFDC84FB3A3}" type="presParOf" srcId="{2AB6A527-9313-4639-8AB2-7765A98B8095}" destId="{F8928D2D-07B6-4540-853A-2DD9B7E11349}" srcOrd="0" destOrd="0" presId="urn:microsoft.com/office/officeart/2008/layout/HorizontalMultiLevelHierarchy"/>
    <dgm:cxn modelId="{25A779CF-F26C-4822-9047-83BAD3242B3A}" type="presParOf" srcId="{88CE960F-3A2C-4F73-A4CE-59F0AFDFF0F3}" destId="{E1C72AF3-D7F7-47EF-834C-C076ED0987FB}" srcOrd="1" destOrd="0" presId="urn:microsoft.com/office/officeart/2008/layout/HorizontalMultiLevelHierarchy"/>
    <dgm:cxn modelId="{873435F7-CBEA-40CD-9171-3F857295720F}" type="presParOf" srcId="{E1C72AF3-D7F7-47EF-834C-C076ED0987FB}" destId="{DD58D80A-8117-463A-879B-AFB36B182EE9}" srcOrd="0" destOrd="0" presId="urn:microsoft.com/office/officeart/2008/layout/HorizontalMultiLevelHierarchy"/>
    <dgm:cxn modelId="{EAC688C5-C45D-4CFC-825C-D1060B0F4A35}" type="presParOf" srcId="{E1C72AF3-D7F7-47EF-834C-C076ED0987FB}" destId="{8C9BA5E8-3798-49DB-BB4E-13021C5E165E}" srcOrd="1" destOrd="0" presId="urn:microsoft.com/office/officeart/2008/layout/HorizontalMultiLevelHierarchy"/>
    <dgm:cxn modelId="{94E95A31-48B6-4E2D-95D0-A5503CCE8A17}" type="presParOf" srcId="{88CE960F-3A2C-4F73-A4CE-59F0AFDFF0F3}" destId="{82E7FB69-0CED-4B9D-8B71-DB724B7D6C83}" srcOrd="2" destOrd="0" presId="urn:microsoft.com/office/officeart/2008/layout/HorizontalMultiLevelHierarchy"/>
    <dgm:cxn modelId="{9CE10EE9-C3BE-4682-BDD9-24F95FD193D2}" type="presParOf" srcId="{82E7FB69-0CED-4B9D-8B71-DB724B7D6C83}" destId="{B81313CF-E954-4D0B-981F-FBBA3D670158}" srcOrd="0" destOrd="0" presId="urn:microsoft.com/office/officeart/2008/layout/HorizontalMultiLevelHierarchy"/>
    <dgm:cxn modelId="{3BEA0231-ACB3-446D-A5CA-2287479B0CAD}" type="presParOf" srcId="{88CE960F-3A2C-4F73-A4CE-59F0AFDFF0F3}" destId="{AD33BC60-FCC3-47FA-9A73-C12FFEE637D1}" srcOrd="3" destOrd="0" presId="urn:microsoft.com/office/officeart/2008/layout/HorizontalMultiLevelHierarchy"/>
    <dgm:cxn modelId="{EBAC379C-3821-4BBF-B275-4368B418673D}" type="presParOf" srcId="{AD33BC60-FCC3-47FA-9A73-C12FFEE637D1}" destId="{73138FFD-41FD-4AB4-B56D-0DE4D76A3090}" srcOrd="0" destOrd="0" presId="urn:microsoft.com/office/officeart/2008/layout/HorizontalMultiLevelHierarchy"/>
    <dgm:cxn modelId="{31830133-EACD-4F6D-88C8-E617DD38A452}" type="presParOf" srcId="{AD33BC60-FCC3-47FA-9A73-C12FFEE637D1}" destId="{43416D41-263D-4920-8C20-C2832A815025}" srcOrd="1" destOrd="0" presId="urn:microsoft.com/office/officeart/2008/layout/HorizontalMultiLevelHierarchy"/>
  </dgm:cxnLst>
  <dgm:bg/>
  <dgm:whole/>
</dgm:dataModel>
</file>

<file path=word/diagrams/data3.xml><?xml version="1.0" encoding="utf-8"?>
<dgm:dataModel xmlns:dgm="http://schemas.openxmlformats.org/drawingml/2006/diagram" xmlns:a="http://schemas.openxmlformats.org/drawingml/2006/main">
  <dgm:ptLst>
    <dgm:pt modelId="{5309EA70-053A-49B0-B57C-CD7C3C0DB206}" type="doc">
      <dgm:prSet loTypeId="urn:microsoft.com/office/officeart/2005/8/layout/process4" loCatId="list" qsTypeId="urn:microsoft.com/office/officeart/2005/8/quickstyle/3d3#2" qsCatId="3D" csTypeId="urn:microsoft.com/office/officeart/2005/8/colors/colorful3#2" csCatId="colorful" phldr="1"/>
      <dgm:spPr/>
      <dgm:t>
        <a:bodyPr/>
        <a:p>
          <a:endParaRPr lang="zh-CN" altLang="en-US"/>
        </a:p>
      </dgm:t>
    </dgm:pt>
    <dgm:pt modelId="{EC844091-3E8B-4E78-AB57-B19FA4F131BB}">
      <dgm:prSet/>
      <dgm:spPr/>
      <dgm:t>
        <a:bodyPr/>
        <a:p>
          <a:r>
            <a:rPr lang="zh-CN"/>
            <a:t>现场司机信息反馈</a:t>
          </a:r>
        </a:p>
      </dgm:t>
    </dgm:pt>
    <dgm:pt modelId="{B3D60BDE-692B-49C5-B5A9-CCFEAFCD3114}" cxnId="{C39100B5-9631-49E1-85BD-C5C8C0C6D2AA}" type="parTrans">
      <dgm:prSet/>
      <dgm:spPr/>
      <dgm:t>
        <a:bodyPr/>
        <a:p>
          <a:endParaRPr lang="zh-CN" altLang="en-US"/>
        </a:p>
      </dgm:t>
    </dgm:pt>
    <dgm:pt modelId="{0B33757B-6DB7-41BC-81CA-6764D2F1A751}" cxnId="{C39100B5-9631-49E1-85BD-C5C8C0C6D2AA}" type="sibTrans">
      <dgm:prSet/>
      <dgm:spPr/>
      <dgm:t>
        <a:bodyPr/>
        <a:p>
          <a:endParaRPr lang="zh-CN" altLang="en-US"/>
        </a:p>
      </dgm:t>
    </dgm:pt>
    <dgm:pt modelId="{9D64467A-17E0-4E61-8C9B-84CC377E86C8}">
      <dgm:prSet/>
      <dgm:spPr/>
      <dgm:t>
        <a:bodyPr/>
        <a:p>
          <a:r>
            <a:rPr lang="zh-CN"/>
            <a:t>项目助理记录详细情况</a:t>
          </a:r>
        </a:p>
      </dgm:t>
    </dgm:pt>
    <dgm:pt modelId="{05ECE318-6F39-4008-BF83-358A3429FA0B}" cxnId="{57C637AF-F809-47F2-8C53-CC94A22F4C1C}" type="parTrans">
      <dgm:prSet/>
      <dgm:spPr/>
      <dgm:t>
        <a:bodyPr/>
        <a:p>
          <a:endParaRPr lang="zh-CN" altLang="en-US"/>
        </a:p>
      </dgm:t>
    </dgm:pt>
    <dgm:pt modelId="{BE9B0B2F-2C4D-4E44-A52F-2429335B23A3}" cxnId="{57C637AF-F809-47F2-8C53-CC94A22F4C1C}" type="sibTrans">
      <dgm:prSet/>
      <dgm:spPr/>
      <dgm:t>
        <a:bodyPr/>
        <a:p>
          <a:endParaRPr lang="zh-CN" altLang="en-US"/>
        </a:p>
      </dgm:t>
    </dgm:pt>
    <dgm:pt modelId="{6CACB6AD-1D63-4C2E-A34E-3B54EB4B3ADA}">
      <dgm:prSet/>
      <dgm:spPr/>
      <dgm:t>
        <a:bodyPr/>
        <a:p>
          <a:r>
            <a:rPr lang="zh-CN"/>
            <a:t>通知项目经理进行全程监控</a:t>
          </a:r>
        </a:p>
      </dgm:t>
    </dgm:pt>
    <dgm:pt modelId="{4E09B510-BF0A-4329-9A89-2BFEF0D3E94D}" cxnId="{5BEFC9DA-6673-44C4-9FDA-C057D3B1884C}" type="parTrans">
      <dgm:prSet/>
      <dgm:spPr/>
      <dgm:t>
        <a:bodyPr/>
        <a:p>
          <a:endParaRPr lang="zh-CN" altLang="en-US"/>
        </a:p>
      </dgm:t>
    </dgm:pt>
    <dgm:pt modelId="{07F4051F-A0B4-442B-B852-AEA4134E2CDC}" cxnId="{5BEFC9DA-6673-44C4-9FDA-C057D3B1884C}" type="sibTrans">
      <dgm:prSet/>
      <dgm:spPr/>
      <dgm:t>
        <a:bodyPr/>
        <a:p>
          <a:endParaRPr lang="zh-CN" altLang="en-US"/>
        </a:p>
      </dgm:t>
    </dgm:pt>
    <dgm:pt modelId="{D62427C0-31BF-4153-BD14-6E01BAE9F988}">
      <dgm:prSet/>
      <dgm:spPr/>
      <dgm:t>
        <a:bodyPr/>
        <a:p>
          <a:r>
            <a:rPr lang="zh-CN"/>
            <a:t>研究商定第二条合理运输线路</a:t>
          </a:r>
        </a:p>
      </dgm:t>
    </dgm:pt>
    <dgm:pt modelId="{E9289CC6-9CF6-487B-B332-0F7F4EBF64A6}" cxnId="{947EE0E9-9F30-45A6-A885-1FE078BDBD21}" type="parTrans">
      <dgm:prSet/>
      <dgm:spPr/>
      <dgm:t>
        <a:bodyPr/>
        <a:p>
          <a:endParaRPr lang="zh-CN" altLang="en-US"/>
        </a:p>
      </dgm:t>
    </dgm:pt>
    <dgm:pt modelId="{76E36751-116F-49A1-BE5F-5347B549D2C0}" cxnId="{947EE0E9-9F30-45A6-A885-1FE078BDBD21}" type="sibTrans">
      <dgm:prSet/>
      <dgm:spPr/>
      <dgm:t>
        <a:bodyPr/>
        <a:p>
          <a:endParaRPr lang="zh-CN" altLang="en-US"/>
        </a:p>
      </dgm:t>
    </dgm:pt>
    <dgm:pt modelId="{599B3BCC-7EF4-4AD8-AF98-60A60C4476ED}">
      <dgm:prSet/>
      <dgm:spPr/>
      <dgm:t>
        <a:bodyPr/>
        <a:p>
          <a:r>
            <a:rPr lang="zh-CN"/>
            <a:t>通知现场司机按照新定线路继续完成继续完成运输路线</a:t>
          </a:r>
        </a:p>
      </dgm:t>
    </dgm:pt>
    <dgm:pt modelId="{8D2E2BC1-68AC-4EF9-BD47-91B03B0F5B02}" cxnId="{30B8CFD7-5097-427F-887D-93EDEDD15E0D}" type="parTrans">
      <dgm:prSet/>
      <dgm:spPr/>
      <dgm:t>
        <a:bodyPr/>
        <a:p>
          <a:endParaRPr lang="zh-CN" altLang="en-US"/>
        </a:p>
      </dgm:t>
    </dgm:pt>
    <dgm:pt modelId="{6B8F516B-E924-4354-8C66-8E19CA7D79A2}" cxnId="{30B8CFD7-5097-427F-887D-93EDEDD15E0D}" type="sibTrans">
      <dgm:prSet/>
      <dgm:spPr/>
      <dgm:t>
        <a:bodyPr/>
        <a:p>
          <a:endParaRPr lang="zh-CN" altLang="en-US"/>
        </a:p>
      </dgm:t>
    </dgm:pt>
    <dgm:pt modelId="{E8988D2B-9F9E-4F21-9CFD-63FB76FBAF46}" type="pres">
      <dgm:prSet presAssocID="{5309EA70-053A-49B0-B57C-CD7C3C0DB206}" presName="Name0" presStyleCnt="0">
        <dgm:presLayoutVars>
          <dgm:dir/>
          <dgm:animLvl val="lvl"/>
          <dgm:resizeHandles val="exact"/>
        </dgm:presLayoutVars>
      </dgm:prSet>
      <dgm:spPr/>
    </dgm:pt>
    <dgm:pt modelId="{5BE67F42-801D-4EE9-8833-EB986A807F1B}" type="pres">
      <dgm:prSet presAssocID="{599B3BCC-7EF4-4AD8-AF98-60A60C4476ED}" presName="boxAndChildren" presStyleCnt="0"/>
      <dgm:spPr/>
    </dgm:pt>
    <dgm:pt modelId="{37821BAC-8A24-4E25-9A40-0696DE7DB3D7}" type="pres">
      <dgm:prSet presAssocID="{599B3BCC-7EF4-4AD8-AF98-60A60C4476ED}" presName="parentTextBox" presStyleLbl="node1" presStyleIdx="0" presStyleCnt="5"/>
      <dgm:spPr/>
    </dgm:pt>
    <dgm:pt modelId="{E1F25FD4-222F-4585-A31D-1C93A1E95322}" type="pres">
      <dgm:prSet presAssocID="{76E36751-116F-49A1-BE5F-5347B549D2C0}" presName="sp" presStyleCnt="0"/>
      <dgm:spPr/>
    </dgm:pt>
    <dgm:pt modelId="{624A555B-8D09-44DB-8CF9-1F9F4AC4043B}" type="pres">
      <dgm:prSet presAssocID="{D62427C0-31BF-4153-BD14-6E01BAE9F988}" presName="arrowAndChildren" presStyleCnt="0"/>
      <dgm:spPr/>
    </dgm:pt>
    <dgm:pt modelId="{ECAD0505-4EC2-445A-9DB8-4A3F5404797C}" type="pres">
      <dgm:prSet presAssocID="{D62427C0-31BF-4153-BD14-6E01BAE9F988}" presName="parentTextArrow" presStyleLbl="node1" presStyleIdx="1" presStyleCnt="5"/>
      <dgm:spPr/>
    </dgm:pt>
    <dgm:pt modelId="{479E8DAA-FB3C-415D-B5F3-1FC144DF08E5}" type="pres">
      <dgm:prSet presAssocID="{07F4051F-A0B4-442B-B852-AEA4134E2CDC}" presName="sp" presStyleCnt="0"/>
      <dgm:spPr/>
    </dgm:pt>
    <dgm:pt modelId="{B75D2029-532F-4857-BE39-CB32E0323240}" type="pres">
      <dgm:prSet presAssocID="{6CACB6AD-1D63-4C2E-A34E-3B54EB4B3ADA}" presName="arrowAndChildren" presStyleCnt="0"/>
      <dgm:spPr/>
    </dgm:pt>
    <dgm:pt modelId="{72B76E11-4C31-4E5E-A27D-B52D08A0579C}" type="pres">
      <dgm:prSet presAssocID="{6CACB6AD-1D63-4C2E-A34E-3B54EB4B3ADA}" presName="parentTextArrow" presStyleLbl="node1" presStyleIdx="2" presStyleCnt="5"/>
      <dgm:spPr/>
    </dgm:pt>
    <dgm:pt modelId="{0F53620B-320F-4829-9DDE-19540782DE81}" type="pres">
      <dgm:prSet presAssocID="{BE9B0B2F-2C4D-4E44-A52F-2429335B23A3}" presName="sp" presStyleCnt="0"/>
      <dgm:spPr/>
    </dgm:pt>
    <dgm:pt modelId="{BEDC6576-273F-4E67-ABD1-751D35F8E856}" type="pres">
      <dgm:prSet presAssocID="{9D64467A-17E0-4E61-8C9B-84CC377E86C8}" presName="arrowAndChildren" presStyleCnt="0"/>
      <dgm:spPr/>
    </dgm:pt>
    <dgm:pt modelId="{CBD49CB6-1D4A-4C94-B007-C882A3D7785C}" type="pres">
      <dgm:prSet presAssocID="{9D64467A-17E0-4E61-8C9B-84CC377E86C8}" presName="parentTextArrow" presStyleLbl="node1" presStyleIdx="3" presStyleCnt="5"/>
      <dgm:spPr/>
    </dgm:pt>
    <dgm:pt modelId="{E279616E-0423-48AF-B6D7-7729422A74CA}" type="pres">
      <dgm:prSet presAssocID="{0B33757B-6DB7-41BC-81CA-6764D2F1A751}" presName="sp" presStyleCnt="0"/>
      <dgm:spPr/>
    </dgm:pt>
    <dgm:pt modelId="{CD674D69-7F14-4E8B-B4BB-ADD0FABCF075}" type="pres">
      <dgm:prSet presAssocID="{EC844091-3E8B-4E78-AB57-B19FA4F131BB}" presName="arrowAndChildren" presStyleCnt="0"/>
      <dgm:spPr/>
    </dgm:pt>
    <dgm:pt modelId="{FC8B88D1-BDC8-4E4E-897A-20380B358ECE}" type="pres">
      <dgm:prSet presAssocID="{EC844091-3E8B-4E78-AB57-B19FA4F131BB}" presName="parentTextArrow" presStyleLbl="node1" presStyleIdx="4" presStyleCnt="5"/>
      <dgm:spPr/>
    </dgm:pt>
  </dgm:ptLst>
  <dgm:cxnLst>
    <dgm:cxn modelId="{58FA8732-987B-40D5-B8E9-1EC2A0DB3861}" type="presOf" srcId="{EC844091-3E8B-4E78-AB57-B19FA4F131BB}" destId="{FC8B88D1-BDC8-4E4E-897A-20380B358ECE}" srcOrd="0" destOrd="0" presId="urn:microsoft.com/office/officeart/2005/8/layout/process4"/>
    <dgm:cxn modelId="{4F51DB3F-0B6F-4A22-9508-81C16636F74D}" type="presOf" srcId="{6CACB6AD-1D63-4C2E-A34E-3B54EB4B3ADA}" destId="{72B76E11-4C31-4E5E-A27D-B52D08A0579C}" srcOrd="0" destOrd="0" presId="urn:microsoft.com/office/officeart/2005/8/layout/process4"/>
    <dgm:cxn modelId="{57C637AF-F809-47F2-8C53-CC94A22F4C1C}" srcId="{5309EA70-053A-49B0-B57C-CD7C3C0DB206}" destId="{9D64467A-17E0-4E61-8C9B-84CC377E86C8}" srcOrd="1" destOrd="0" parTransId="{05ECE318-6F39-4008-BF83-358A3429FA0B}" sibTransId="{BE9B0B2F-2C4D-4E44-A52F-2429335B23A3}"/>
    <dgm:cxn modelId="{AC1F6DB3-5B76-438B-9EE5-5E0FED188C90}" type="presOf" srcId="{5309EA70-053A-49B0-B57C-CD7C3C0DB206}" destId="{E8988D2B-9F9E-4F21-9CFD-63FB76FBAF46}" srcOrd="0" destOrd="0" presId="urn:microsoft.com/office/officeart/2005/8/layout/process4"/>
    <dgm:cxn modelId="{C39100B5-9631-49E1-85BD-C5C8C0C6D2AA}" srcId="{5309EA70-053A-49B0-B57C-CD7C3C0DB206}" destId="{EC844091-3E8B-4E78-AB57-B19FA4F131BB}" srcOrd="0" destOrd="0" parTransId="{B3D60BDE-692B-49C5-B5A9-CCFEAFCD3114}" sibTransId="{0B33757B-6DB7-41BC-81CA-6764D2F1A751}"/>
    <dgm:cxn modelId="{3EA699D4-9F2F-4065-A848-E19AA1883AA7}" type="presOf" srcId="{9D64467A-17E0-4E61-8C9B-84CC377E86C8}" destId="{CBD49CB6-1D4A-4C94-B007-C882A3D7785C}" srcOrd="0" destOrd="0" presId="urn:microsoft.com/office/officeart/2005/8/layout/process4"/>
    <dgm:cxn modelId="{30B8CFD7-5097-427F-887D-93EDEDD15E0D}" srcId="{5309EA70-053A-49B0-B57C-CD7C3C0DB206}" destId="{599B3BCC-7EF4-4AD8-AF98-60A60C4476ED}" srcOrd="4" destOrd="0" parTransId="{8D2E2BC1-68AC-4EF9-BD47-91B03B0F5B02}" sibTransId="{6B8F516B-E924-4354-8C66-8E19CA7D79A2}"/>
    <dgm:cxn modelId="{5BEFC9DA-6673-44C4-9FDA-C057D3B1884C}" srcId="{5309EA70-053A-49B0-B57C-CD7C3C0DB206}" destId="{6CACB6AD-1D63-4C2E-A34E-3B54EB4B3ADA}" srcOrd="2" destOrd="0" parTransId="{4E09B510-BF0A-4329-9A89-2BFEF0D3E94D}" sibTransId="{07F4051F-A0B4-442B-B852-AEA4134E2CDC}"/>
    <dgm:cxn modelId="{4FC1E9E7-6B75-4611-ACE3-0D8F46015300}" type="presOf" srcId="{D62427C0-31BF-4153-BD14-6E01BAE9F988}" destId="{ECAD0505-4EC2-445A-9DB8-4A3F5404797C}" srcOrd="0" destOrd="0" presId="urn:microsoft.com/office/officeart/2005/8/layout/process4"/>
    <dgm:cxn modelId="{947EE0E9-9F30-45A6-A885-1FE078BDBD21}" srcId="{5309EA70-053A-49B0-B57C-CD7C3C0DB206}" destId="{D62427C0-31BF-4153-BD14-6E01BAE9F988}" srcOrd="3" destOrd="0" parTransId="{E9289CC6-9CF6-487B-B332-0F7F4EBF64A6}" sibTransId="{76E36751-116F-49A1-BE5F-5347B549D2C0}"/>
    <dgm:cxn modelId="{0D7108EC-2330-4483-AFC1-A512ED0AEA82}" type="presOf" srcId="{599B3BCC-7EF4-4AD8-AF98-60A60C4476ED}" destId="{37821BAC-8A24-4E25-9A40-0696DE7DB3D7}" srcOrd="0" destOrd="0" presId="urn:microsoft.com/office/officeart/2005/8/layout/process4"/>
    <dgm:cxn modelId="{4A9D73AF-86A1-448C-8223-ACBD40EBE40F}" type="presParOf" srcId="{E8988D2B-9F9E-4F21-9CFD-63FB76FBAF46}" destId="{5BE67F42-801D-4EE9-8833-EB986A807F1B}" srcOrd="0" destOrd="0" presId="urn:microsoft.com/office/officeart/2005/8/layout/process4"/>
    <dgm:cxn modelId="{874D109D-0B94-4573-BDCD-6CC50804070D}" type="presParOf" srcId="{5BE67F42-801D-4EE9-8833-EB986A807F1B}" destId="{37821BAC-8A24-4E25-9A40-0696DE7DB3D7}" srcOrd="0" destOrd="0" presId="urn:microsoft.com/office/officeart/2005/8/layout/process4"/>
    <dgm:cxn modelId="{606578DD-0992-40E8-9358-FE4D8058D66E}" type="presParOf" srcId="{E8988D2B-9F9E-4F21-9CFD-63FB76FBAF46}" destId="{E1F25FD4-222F-4585-A31D-1C93A1E95322}" srcOrd="1" destOrd="0" presId="urn:microsoft.com/office/officeart/2005/8/layout/process4"/>
    <dgm:cxn modelId="{B8E7045F-F527-4843-B34B-2402377805BF}" type="presParOf" srcId="{E8988D2B-9F9E-4F21-9CFD-63FB76FBAF46}" destId="{624A555B-8D09-44DB-8CF9-1F9F4AC4043B}" srcOrd="2" destOrd="0" presId="urn:microsoft.com/office/officeart/2005/8/layout/process4"/>
    <dgm:cxn modelId="{F9EC4FB8-20FB-4DE3-8DDC-F427FF7407A7}" type="presParOf" srcId="{624A555B-8D09-44DB-8CF9-1F9F4AC4043B}" destId="{ECAD0505-4EC2-445A-9DB8-4A3F5404797C}" srcOrd="0" destOrd="0" presId="urn:microsoft.com/office/officeart/2005/8/layout/process4"/>
    <dgm:cxn modelId="{E55D8DFB-7DEE-48E8-B3D1-C4C571BD0BB4}" type="presParOf" srcId="{E8988D2B-9F9E-4F21-9CFD-63FB76FBAF46}" destId="{479E8DAA-FB3C-415D-B5F3-1FC144DF08E5}" srcOrd="3" destOrd="0" presId="urn:microsoft.com/office/officeart/2005/8/layout/process4"/>
    <dgm:cxn modelId="{DD2FD19A-4E37-480E-A070-F0908A24458E}" type="presParOf" srcId="{E8988D2B-9F9E-4F21-9CFD-63FB76FBAF46}" destId="{B75D2029-532F-4857-BE39-CB32E0323240}" srcOrd="4" destOrd="0" presId="urn:microsoft.com/office/officeart/2005/8/layout/process4"/>
    <dgm:cxn modelId="{3DE76B0C-69CC-4FBD-8329-22CE0E90E9CA}" type="presParOf" srcId="{B75D2029-532F-4857-BE39-CB32E0323240}" destId="{72B76E11-4C31-4E5E-A27D-B52D08A0579C}" srcOrd="0" destOrd="0" presId="urn:microsoft.com/office/officeart/2005/8/layout/process4"/>
    <dgm:cxn modelId="{606A04CE-AB10-4B75-980D-D94304918746}" type="presParOf" srcId="{E8988D2B-9F9E-4F21-9CFD-63FB76FBAF46}" destId="{0F53620B-320F-4829-9DDE-19540782DE81}" srcOrd="5" destOrd="0" presId="urn:microsoft.com/office/officeart/2005/8/layout/process4"/>
    <dgm:cxn modelId="{6CE57E38-2539-4416-A15D-C3271515C5D7}" type="presParOf" srcId="{E8988D2B-9F9E-4F21-9CFD-63FB76FBAF46}" destId="{BEDC6576-273F-4E67-ABD1-751D35F8E856}" srcOrd="6" destOrd="0" presId="urn:microsoft.com/office/officeart/2005/8/layout/process4"/>
    <dgm:cxn modelId="{72D8D3FD-5702-41BD-A178-7A10EA87A03B}" type="presParOf" srcId="{BEDC6576-273F-4E67-ABD1-751D35F8E856}" destId="{CBD49CB6-1D4A-4C94-B007-C882A3D7785C}" srcOrd="0" destOrd="0" presId="urn:microsoft.com/office/officeart/2005/8/layout/process4"/>
    <dgm:cxn modelId="{DD3B186C-F03A-416E-9ABE-323B0E7C0E7E}" type="presParOf" srcId="{E8988D2B-9F9E-4F21-9CFD-63FB76FBAF46}" destId="{E279616E-0423-48AF-B6D7-7729422A74CA}" srcOrd="7" destOrd="0" presId="urn:microsoft.com/office/officeart/2005/8/layout/process4"/>
    <dgm:cxn modelId="{184B79D8-ABE2-4057-9BE5-28DA20E49A93}" type="presParOf" srcId="{E8988D2B-9F9E-4F21-9CFD-63FB76FBAF46}" destId="{CD674D69-7F14-4E8B-B4BB-ADD0FABCF075}" srcOrd="8" destOrd="0" presId="urn:microsoft.com/office/officeart/2005/8/layout/process4"/>
    <dgm:cxn modelId="{8F77D83B-F6DF-4746-993F-A12BEFCD20C9}" type="presParOf" srcId="{CD674D69-7F14-4E8B-B4BB-ADD0FABCF075}" destId="{FC8B88D1-BDC8-4E4E-897A-20380B358ECE}" srcOrd="0" destOrd="0" presId="urn:microsoft.com/office/officeart/2005/8/layout/process4"/>
  </dgm:cxnLst>
  <dgm:bg/>
  <dgm:whole/>
</dgm:dataModel>
</file>

<file path=word/diagrams/data4.xml><?xml version="1.0" encoding="utf-8"?>
<dgm:dataModel xmlns:dgm="http://schemas.openxmlformats.org/drawingml/2006/diagram" xmlns:a="http://schemas.openxmlformats.org/drawingml/2006/main">
  <dgm:ptLst>
    <dgm:pt modelId="{A69654D2-3C32-4507-AA7D-EA0DC01DA026}" type="doc">
      <dgm:prSet loTypeId="urn:microsoft.com/office/officeart/2005/8/layout/hierarchy1" loCatId="hierarchy" qsTypeId="urn:microsoft.com/office/officeart/2005/8/quickstyle/simple3" qsCatId="simple" csTypeId="urn:microsoft.com/office/officeart/2005/8/colors/colorful4" csCatId="colorful" phldr="1"/>
      <dgm:spPr/>
      <dgm:t>
        <a:bodyPr/>
        <a:p>
          <a:endParaRPr lang="zh-CN" altLang="en-US"/>
        </a:p>
      </dgm:t>
    </dgm:pt>
    <dgm:pt modelId="{C552E11F-09C1-4FD0-B16C-A3F7CC41324A}">
      <dgm:prSet phldrT="[文本]"/>
      <dgm:spPr/>
      <dgm:t>
        <a:bodyPr/>
        <a:p>
          <a:r>
            <a:rPr lang="zh-CN"/>
            <a:t>项目领导小组</a:t>
          </a:r>
          <a:endParaRPr lang="zh-CN" altLang="en-US"/>
        </a:p>
      </dgm:t>
    </dgm:pt>
    <dgm:pt modelId="{3603B8B4-2710-4A6A-89F8-29A1BD13B725}" cxnId="{CB6353D5-D90E-4740-84D2-B09A2290EC6B}" type="parTrans">
      <dgm:prSet/>
      <dgm:spPr/>
      <dgm:t>
        <a:bodyPr/>
        <a:p>
          <a:endParaRPr lang="zh-CN" altLang="en-US"/>
        </a:p>
      </dgm:t>
    </dgm:pt>
    <dgm:pt modelId="{FC6EC047-A954-43E4-9750-889C7BFA7AC5}" cxnId="{CB6353D5-D90E-4740-84D2-B09A2290EC6B}" type="sibTrans">
      <dgm:prSet/>
      <dgm:spPr/>
      <dgm:t>
        <a:bodyPr/>
        <a:p>
          <a:endParaRPr lang="zh-CN" altLang="en-US"/>
        </a:p>
      </dgm:t>
    </dgm:pt>
    <dgm:pt modelId="{F5604F50-7FE2-4779-BE52-628B8CE02B90}" type="asst">
      <dgm:prSet/>
      <dgm:spPr/>
      <dgm:t>
        <a:bodyPr/>
        <a:p>
          <a:r>
            <a:rPr lang="zh-CN"/>
            <a:t>供应链</a:t>
          </a:r>
          <a:endParaRPr lang="zh-CN" altLang="en-US"/>
        </a:p>
      </dgm:t>
    </dgm:pt>
    <dgm:pt modelId="{34E35C85-9D08-45AD-96C7-E805198273BC}" cxnId="{D8928AFB-1D37-49F5-912D-A2D729CE81E9}" type="parTrans">
      <dgm:prSet/>
      <dgm:spPr/>
      <dgm:t>
        <a:bodyPr/>
        <a:p>
          <a:endParaRPr lang="zh-CN" altLang="en-US"/>
        </a:p>
      </dgm:t>
    </dgm:pt>
    <dgm:pt modelId="{173EF087-247C-456E-8BCC-288BAFB2F4E5}" cxnId="{D8928AFB-1D37-49F5-912D-A2D729CE81E9}" type="sibTrans">
      <dgm:prSet/>
      <dgm:spPr/>
      <dgm:t>
        <a:bodyPr/>
        <a:p>
          <a:endParaRPr lang="zh-CN" altLang="en-US"/>
        </a:p>
      </dgm:t>
    </dgm:pt>
    <dgm:pt modelId="{FBFA4AE4-F981-4C16-B680-96093F3AB056}">
      <dgm:prSet/>
      <dgm:spPr/>
      <dgm:t>
        <a:bodyPr/>
        <a:p>
          <a:r>
            <a:rPr lang="zh-CN"/>
            <a:t>项目实施组</a:t>
          </a:r>
        </a:p>
      </dgm:t>
    </dgm:pt>
    <dgm:pt modelId="{5B1F510B-C147-40F3-A8F4-6DC4201F2C49}" cxnId="{781ADD01-AC20-43EC-9EA7-201DECEC8E07}" type="parTrans">
      <dgm:prSet/>
      <dgm:spPr/>
      <dgm:t>
        <a:bodyPr/>
        <a:p>
          <a:endParaRPr lang="zh-CN" altLang="en-US"/>
        </a:p>
      </dgm:t>
    </dgm:pt>
    <dgm:pt modelId="{204D42C9-F560-44D9-B394-24CD599B91F9}" cxnId="{781ADD01-AC20-43EC-9EA7-201DECEC8E07}" type="sibTrans">
      <dgm:prSet/>
      <dgm:spPr/>
      <dgm:t>
        <a:bodyPr/>
        <a:p>
          <a:endParaRPr lang="zh-CN" altLang="en-US"/>
        </a:p>
      </dgm:t>
    </dgm:pt>
    <dgm:pt modelId="{AA4BF6CA-BED0-4E2A-9030-E8BFD74DF719}">
      <dgm:prSet/>
      <dgm:spPr/>
      <dgm:t>
        <a:bodyPr/>
        <a:p>
          <a:r>
            <a:rPr lang="zh-CN"/>
            <a:t>商务小组</a:t>
          </a:r>
        </a:p>
      </dgm:t>
    </dgm:pt>
    <dgm:pt modelId="{0EC41025-A060-4953-A8B0-E53AECD1D891}" cxnId="{825FB72A-D50A-4824-8050-F3FF2771ABC1}" type="parTrans">
      <dgm:prSet/>
      <dgm:spPr/>
      <dgm:t>
        <a:bodyPr/>
        <a:p>
          <a:endParaRPr lang="zh-CN" altLang="en-US"/>
        </a:p>
      </dgm:t>
    </dgm:pt>
    <dgm:pt modelId="{FB846708-4246-4047-BE9C-39310E76FC32}" cxnId="{825FB72A-D50A-4824-8050-F3FF2771ABC1}" type="sibTrans">
      <dgm:prSet/>
      <dgm:spPr/>
      <dgm:t>
        <a:bodyPr/>
        <a:p>
          <a:endParaRPr lang="zh-CN" altLang="en-US"/>
        </a:p>
      </dgm:t>
    </dgm:pt>
    <dgm:pt modelId="{CF9A92D7-CB4A-4DAF-BEDE-CFB7F2DC7014}">
      <dgm:prSet/>
      <dgm:spPr/>
      <dgm:t>
        <a:bodyPr/>
        <a:p>
          <a:r>
            <a:rPr lang="zh-CN"/>
            <a:t>运输实施小组</a:t>
          </a:r>
        </a:p>
      </dgm:t>
    </dgm:pt>
    <dgm:pt modelId="{268B01F5-C41C-4D6E-9907-CD24081087B3}" cxnId="{176B42E2-D158-4E0D-9828-651E6279694A}" type="parTrans">
      <dgm:prSet/>
      <dgm:spPr/>
      <dgm:t>
        <a:bodyPr/>
        <a:p>
          <a:endParaRPr lang="zh-CN" altLang="en-US"/>
        </a:p>
      </dgm:t>
    </dgm:pt>
    <dgm:pt modelId="{5A84E35C-740A-4B4C-B736-3BA4A83F8278}" cxnId="{176B42E2-D158-4E0D-9828-651E6279694A}" type="sibTrans">
      <dgm:prSet/>
      <dgm:spPr/>
      <dgm:t>
        <a:bodyPr/>
        <a:p>
          <a:endParaRPr lang="zh-CN" altLang="en-US"/>
        </a:p>
      </dgm:t>
    </dgm:pt>
    <dgm:pt modelId="{F6C01BC4-54A2-4EA3-9652-F75762FA31DA}">
      <dgm:prSet/>
      <dgm:spPr/>
      <dgm:t>
        <a:bodyPr/>
        <a:p>
          <a:r>
            <a:rPr lang="zh-CN"/>
            <a:t>技术支持小组</a:t>
          </a:r>
        </a:p>
      </dgm:t>
    </dgm:pt>
    <dgm:pt modelId="{67C01D02-0E38-43DB-80E7-D9943B07243E}" cxnId="{A03CE4BF-4B58-4494-81F5-62E31E9B55E0}" type="parTrans">
      <dgm:prSet/>
      <dgm:spPr/>
      <dgm:t>
        <a:bodyPr/>
        <a:p>
          <a:endParaRPr lang="zh-CN" altLang="en-US"/>
        </a:p>
      </dgm:t>
    </dgm:pt>
    <dgm:pt modelId="{3BF02FB3-7055-4D9D-BFF2-4CA2DA579F1E}" cxnId="{A03CE4BF-4B58-4494-81F5-62E31E9B55E0}" type="sibTrans">
      <dgm:prSet/>
      <dgm:spPr/>
      <dgm:t>
        <a:bodyPr/>
        <a:p>
          <a:endParaRPr lang="zh-CN" altLang="en-US"/>
        </a:p>
      </dgm:t>
    </dgm:pt>
    <dgm:pt modelId="{257C4A8D-90F1-4058-8D2D-35238AE39ECE}">
      <dgm:prSet/>
      <dgm:spPr/>
      <dgm:t>
        <a:bodyPr/>
        <a:p>
          <a:r>
            <a:rPr lang="zh-CN"/>
            <a:t>验收小组</a:t>
          </a:r>
        </a:p>
      </dgm:t>
    </dgm:pt>
    <dgm:pt modelId="{F2B88AB3-07AE-4991-9D99-BACCFD7666B5}" cxnId="{74034CA7-51AF-4569-90C4-FDB31481E559}" type="parTrans">
      <dgm:prSet/>
      <dgm:spPr/>
      <dgm:t>
        <a:bodyPr/>
        <a:p>
          <a:endParaRPr lang="zh-CN" altLang="en-US"/>
        </a:p>
      </dgm:t>
    </dgm:pt>
    <dgm:pt modelId="{60F8ACA6-FF2A-4A1F-8CC3-A553F4C39F7C}" cxnId="{74034CA7-51AF-4569-90C4-FDB31481E559}" type="sibTrans">
      <dgm:prSet/>
      <dgm:spPr/>
      <dgm:t>
        <a:bodyPr/>
        <a:p>
          <a:endParaRPr lang="zh-CN" altLang="en-US"/>
        </a:p>
      </dgm:t>
    </dgm:pt>
    <dgm:pt modelId="{21EB16C1-0DC6-484F-BABB-3A2F4A565C52}">
      <dgm:prSet/>
      <dgm:spPr/>
      <dgm:t>
        <a:bodyPr/>
        <a:p>
          <a:r>
            <a:rPr lang="zh-CN"/>
            <a:t>质量监控小组</a:t>
          </a:r>
        </a:p>
      </dgm:t>
    </dgm:pt>
    <dgm:pt modelId="{F57F8169-37EB-44F3-803A-5108593216C1}" cxnId="{36AE93C3-35F4-4EA4-B139-334970526134}" type="parTrans">
      <dgm:prSet/>
      <dgm:spPr/>
      <dgm:t>
        <a:bodyPr/>
        <a:p>
          <a:endParaRPr lang="zh-CN" altLang="en-US"/>
        </a:p>
      </dgm:t>
    </dgm:pt>
    <dgm:pt modelId="{9FF9A60B-D2CD-46DF-B9A9-77DFFC8B70D4}" cxnId="{36AE93C3-35F4-4EA4-B139-334970526134}" type="sibTrans">
      <dgm:prSet/>
      <dgm:spPr/>
      <dgm:t>
        <a:bodyPr/>
        <a:p>
          <a:endParaRPr lang="zh-CN" altLang="en-US"/>
        </a:p>
      </dgm:t>
    </dgm:pt>
    <dgm:pt modelId="{D30AE079-AD19-4494-B44A-0783270FD204}">
      <dgm:prSet/>
      <dgm:spPr/>
      <dgm:t>
        <a:bodyPr/>
        <a:p>
          <a:r>
            <a:rPr lang="zh-CN"/>
            <a:t>售后支持小组</a:t>
          </a:r>
        </a:p>
      </dgm:t>
    </dgm:pt>
    <dgm:pt modelId="{396D4A49-9F80-405D-8FCD-97DDD9B19211}" cxnId="{F57288C1-C9F5-458C-9731-4BB83E932F8D}" type="parTrans">
      <dgm:prSet/>
      <dgm:spPr/>
      <dgm:t>
        <a:bodyPr/>
        <a:p>
          <a:endParaRPr lang="zh-CN" altLang="en-US"/>
        </a:p>
      </dgm:t>
    </dgm:pt>
    <dgm:pt modelId="{227946FC-53F8-4B8F-9378-E5104DB86927}" cxnId="{F57288C1-C9F5-458C-9731-4BB83E932F8D}" type="sibTrans">
      <dgm:prSet/>
      <dgm:spPr/>
      <dgm:t>
        <a:bodyPr/>
        <a:p>
          <a:endParaRPr lang="zh-CN" altLang="en-US"/>
        </a:p>
      </dgm:t>
    </dgm:pt>
    <dgm:pt modelId="{7675AD92-0B64-493E-8510-2AA2C02F6FC5}" type="pres">
      <dgm:prSet presAssocID="{A69654D2-3C32-4507-AA7D-EA0DC01DA026}" presName="hierChild1" presStyleCnt="0">
        <dgm:presLayoutVars>
          <dgm:chPref val="1"/>
          <dgm:dir/>
          <dgm:animOne val="branch"/>
          <dgm:animLvl val="lvl"/>
          <dgm:resizeHandles/>
        </dgm:presLayoutVars>
      </dgm:prSet>
      <dgm:spPr/>
    </dgm:pt>
    <dgm:pt modelId="{A6CE3343-FE7E-4C1D-8CA9-CE31309C5B7E}" type="pres">
      <dgm:prSet presAssocID="{C552E11F-09C1-4FD0-B16C-A3F7CC41324A}" presName="hierRoot1" presStyleCnt="0"/>
      <dgm:spPr/>
    </dgm:pt>
    <dgm:pt modelId="{92F0D903-12BD-4F99-89C6-A580AF842D0F}" type="pres">
      <dgm:prSet presAssocID="{C552E11F-09C1-4FD0-B16C-A3F7CC41324A}" presName="composite" presStyleCnt="0"/>
      <dgm:spPr/>
    </dgm:pt>
    <dgm:pt modelId="{27BFDE9B-F817-41A9-A9DA-721D25D511C8}" type="pres">
      <dgm:prSet presAssocID="{C552E11F-09C1-4FD0-B16C-A3F7CC41324A}" presName="background" presStyleLbl="node0" presStyleIdx="0" presStyleCnt="1"/>
      <dgm:spPr/>
    </dgm:pt>
    <dgm:pt modelId="{1B9F45C4-987B-40BC-B2AD-A8DF2B10F437}" type="pres">
      <dgm:prSet presAssocID="{C552E11F-09C1-4FD0-B16C-A3F7CC41324A}" presName="text" presStyleLbl="fgAcc0" presStyleIdx="0" presStyleCnt="1">
        <dgm:presLayoutVars>
          <dgm:chPref val="3"/>
        </dgm:presLayoutVars>
      </dgm:prSet>
      <dgm:spPr/>
    </dgm:pt>
    <dgm:pt modelId="{3BAF3256-57CF-4AA1-8E7A-933F4550EE89}" type="pres">
      <dgm:prSet presAssocID="{C552E11F-09C1-4FD0-B16C-A3F7CC41324A}" presName="hierChild2" presStyleCnt="0"/>
      <dgm:spPr/>
    </dgm:pt>
    <dgm:pt modelId="{99045266-EE42-41FB-963E-FE62D1500936}" type="pres">
      <dgm:prSet presAssocID="{5B1F510B-C147-40F3-A8F4-6DC4201F2C49}" presName="Name10" presStyleLbl="parChTrans1D2" presStyleIdx="0" presStyleCnt="2"/>
      <dgm:spPr/>
    </dgm:pt>
    <dgm:pt modelId="{F7EF5215-F5BF-4D6E-A1C4-630283578DDB}" type="pres">
      <dgm:prSet presAssocID="{FBFA4AE4-F981-4C16-B680-96093F3AB056}" presName="hierRoot2" presStyleCnt="0"/>
      <dgm:spPr/>
    </dgm:pt>
    <dgm:pt modelId="{4F1E3BBD-6DCC-4D63-B0D7-E2688E674A69}" type="pres">
      <dgm:prSet presAssocID="{FBFA4AE4-F981-4C16-B680-96093F3AB056}" presName="composite2" presStyleCnt="0"/>
      <dgm:spPr/>
    </dgm:pt>
    <dgm:pt modelId="{27868715-A185-4B5C-98C6-B635494EA49B}" type="pres">
      <dgm:prSet presAssocID="{FBFA4AE4-F981-4C16-B680-96093F3AB056}" presName="background2" presStyleLbl="node2" presStyleIdx="0" presStyleCnt="1"/>
      <dgm:spPr/>
    </dgm:pt>
    <dgm:pt modelId="{5AC277A0-B0EC-4F7D-9BD8-73309ACD4455}" type="pres">
      <dgm:prSet presAssocID="{FBFA4AE4-F981-4C16-B680-96093F3AB056}" presName="text2" presStyleLbl="fgAcc2" presStyleIdx="0" presStyleCnt="2">
        <dgm:presLayoutVars>
          <dgm:chPref val="3"/>
        </dgm:presLayoutVars>
      </dgm:prSet>
      <dgm:spPr/>
    </dgm:pt>
    <dgm:pt modelId="{EF2B1D3A-C378-424D-8E1C-9ECE0CB6FC54}" type="pres">
      <dgm:prSet presAssocID="{FBFA4AE4-F981-4C16-B680-96093F3AB056}" presName="hierChild3" presStyleCnt="0"/>
      <dgm:spPr/>
    </dgm:pt>
    <dgm:pt modelId="{093D37C5-A45E-4560-8C52-2B530FA1D5D1}" type="pres">
      <dgm:prSet presAssocID="{0EC41025-A060-4953-A8B0-E53AECD1D891}" presName="Name17" presStyleLbl="parChTrans1D3" presStyleIdx="0" presStyleCnt="6"/>
      <dgm:spPr/>
    </dgm:pt>
    <dgm:pt modelId="{AF7D9AF0-7860-4C89-AC4C-134EA926EBF9}" type="pres">
      <dgm:prSet presAssocID="{AA4BF6CA-BED0-4E2A-9030-E8BFD74DF719}" presName="hierRoot3" presStyleCnt="0"/>
      <dgm:spPr/>
    </dgm:pt>
    <dgm:pt modelId="{7442F512-FCE3-4CB2-995D-5C0E56D6A0E1}" type="pres">
      <dgm:prSet presAssocID="{AA4BF6CA-BED0-4E2A-9030-E8BFD74DF719}" presName="composite3" presStyleCnt="0"/>
      <dgm:spPr/>
    </dgm:pt>
    <dgm:pt modelId="{C74BA791-9038-401D-8A80-2B45625F5B9A}" type="pres">
      <dgm:prSet presAssocID="{AA4BF6CA-BED0-4E2A-9030-E8BFD74DF719}" presName="background3" presStyleLbl="node3" presStyleIdx="0" presStyleCnt="6"/>
      <dgm:spPr/>
    </dgm:pt>
    <dgm:pt modelId="{9364F55C-2D6F-4178-B417-0842101ADC7B}" type="pres">
      <dgm:prSet presAssocID="{AA4BF6CA-BED0-4E2A-9030-E8BFD74DF719}" presName="text3" presStyleLbl="fgAcc3" presStyleIdx="0" presStyleCnt="6">
        <dgm:presLayoutVars>
          <dgm:chPref val="3"/>
        </dgm:presLayoutVars>
      </dgm:prSet>
      <dgm:spPr/>
    </dgm:pt>
    <dgm:pt modelId="{AD2BC6FA-9C04-4D41-926A-92FD0FD881C8}" type="pres">
      <dgm:prSet presAssocID="{AA4BF6CA-BED0-4E2A-9030-E8BFD74DF719}" presName="hierChild4" presStyleCnt="0"/>
      <dgm:spPr/>
    </dgm:pt>
    <dgm:pt modelId="{387A6FB1-51B0-4A0D-9C0B-97B9E85F51FA}" type="pres">
      <dgm:prSet presAssocID="{268B01F5-C41C-4D6E-9907-CD24081087B3}" presName="Name17" presStyleLbl="parChTrans1D3" presStyleIdx="1" presStyleCnt="6"/>
      <dgm:spPr/>
    </dgm:pt>
    <dgm:pt modelId="{B5C0B861-7283-4256-9315-AEAC8AA002D1}" type="pres">
      <dgm:prSet presAssocID="{CF9A92D7-CB4A-4DAF-BEDE-CFB7F2DC7014}" presName="hierRoot3" presStyleCnt="0"/>
      <dgm:spPr/>
    </dgm:pt>
    <dgm:pt modelId="{0BF26ABB-D78D-4231-94A9-0DC79A7B024D}" type="pres">
      <dgm:prSet presAssocID="{CF9A92D7-CB4A-4DAF-BEDE-CFB7F2DC7014}" presName="composite3" presStyleCnt="0"/>
      <dgm:spPr/>
    </dgm:pt>
    <dgm:pt modelId="{9A866DD7-5CD6-4172-A253-ACB4772E6AC7}" type="pres">
      <dgm:prSet presAssocID="{CF9A92D7-CB4A-4DAF-BEDE-CFB7F2DC7014}" presName="background3" presStyleLbl="node3" presStyleIdx="1" presStyleCnt="6"/>
      <dgm:spPr/>
    </dgm:pt>
    <dgm:pt modelId="{2E3B88FE-B472-4707-A072-9604FE7977D6}" type="pres">
      <dgm:prSet presAssocID="{CF9A92D7-CB4A-4DAF-BEDE-CFB7F2DC7014}" presName="text3" presStyleLbl="fgAcc3" presStyleIdx="1" presStyleCnt="6">
        <dgm:presLayoutVars>
          <dgm:chPref val="3"/>
        </dgm:presLayoutVars>
      </dgm:prSet>
      <dgm:spPr/>
    </dgm:pt>
    <dgm:pt modelId="{9A038EA9-E80B-4768-8E2A-BDC9710A3B96}" type="pres">
      <dgm:prSet presAssocID="{CF9A92D7-CB4A-4DAF-BEDE-CFB7F2DC7014}" presName="hierChild4" presStyleCnt="0"/>
      <dgm:spPr/>
    </dgm:pt>
    <dgm:pt modelId="{D0971F60-BCAB-4CBF-83B2-763332F8F276}" type="pres">
      <dgm:prSet presAssocID="{67C01D02-0E38-43DB-80E7-D9943B07243E}" presName="Name17" presStyleLbl="parChTrans1D3" presStyleIdx="2" presStyleCnt="6"/>
      <dgm:spPr/>
    </dgm:pt>
    <dgm:pt modelId="{6DF45C2A-9D67-41CD-ACA5-88F9CCC328D9}" type="pres">
      <dgm:prSet presAssocID="{F6C01BC4-54A2-4EA3-9652-F75762FA31DA}" presName="hierRoot3" presStyleCnt="0"/>
      <dgm:spPr/>
    </dgm:pt>
    <dgm:pt modelId="{C926B92B-BF46-4C94-86DA-CF38F6F39B77}" type="pres">
      <dgm:prSet presAssocID="{F6C01BC4-54A2-4EA3-9652-F75762FA31DA}" presName="composite3" presStyleCnt="0"/>
      <dgm:spPr/>
    </dgm:pt>
    <dgm:pt modelId="{8BE4965F-64AE-4C51-A663-543699C9479E}" type="pres">
      <dgm:prSet presAssocID="{F6C01BC4-54A2-4EA3-9652-F75762FA31DA}" presName="background3" presStyleLbl="node3" presStyleIdx="2" presStyleCnt="6"/>
      <dgm:spPr/>
    </dgm:pt>
    <dgm:pt modelId="{D71FBCA1-4AC9-4495-BBDA-DE5036927B69}" type="pres">
      <dgm:prSet presAssocID="{F6C01BC4-54A2-4EA3-9652-F75762FA31DA}" presName="text3" presStyleLbl="fgAcc3" presStyleIdx="2" presStyleCnt="6">
        <dgm:presLayoutVars>
          <dgm:chPref val="3"/>
        </dgm:presLayoutVars>
      </dgm:prSet>
      <dgm:spPr/>
    </dgm:pt>
    <dgm:pt modelId="{CFE98AFB-F60A-493F-B37C-2F0EA43E60C3}" type="pres">
      <dgm:prSet presAssocID="{F6C01BC4-54A2-4EA3-9652-F75762FA31DA}" presName="hierChild4" presStyleCnt="0"/>
      <dgm:spPr/>
    </dgm:pt>
    <dgm:pt modelId="{0E71C095-16AA-4C55-B4F6-9595A764E580}" type="pres">
      <dgm:prSet presAssocID="{F2B88AB3-07AE-4991-9D99-BACCFD7666B5}" presName="Name17" presStyleLbl="parChTrans1D3" presStyleIdx="3" presStyleCnt="6"/>
      <dgm:spPr/>
    </dgm:pt>
    <dgm:pt modelId="{AF88726B-9DA2-44E7-B515-32F91DD474B0}" type="pres">
      <dgm:prSet presAssocID="{257C4A8D-90F1-4058-8D2D-35238AE39ECE}" presName="hierRoot3" presStyleCnt="0"/>
      <dgm:spPr/>
    </dgm:pt>
    <dgm:pt modelId="{7A313706-30F4-4FBD-8AC4-0EE62C8BF5E6}" type="pres">
      <dgm:prSet presAssocID="{257C4A8D-90F1-4058-8D2D-35238AE39ECE}" presName="composite3" presStyleCnt="0"/>
      <dgm:spPr/>
    </dgm:pt>
    <dgm:pt modelId="{E60EA14C-8D57-4E30-A8B8-14ED662A39ED}" type="pres">
      <dgm:prSet presAssocID="{257C4A8D-90F1-4058-8D2D-35238AE39ECE}" presName="background3" presStyleLbl="node3" presStyleIdx="3" presStyleCnt="6"/>
      <dgm:spPr/>
    </dgm:pt>
    <dgm:pt modelId="{83E5A5C9-367E-49EB-B95E-0076BB737C86}" type="pres">
      <dgm:prSet presAssocID="{257C4A8D-90F1-4058-8D2D-35238AE39ECE}" presName="text3" presStyleLbl="fgAcc3" presStyleIdx="3" presStyleCnt="6">
        <dgm:presLayoutVars>
          <dgm:chPref val="3"/>
        </dgm:presLayoutVars>
      </dgm:prSet>
      <dgm:spPr/>
    </dgm:pt>
    <dgm:pt modelId="{5904CE3A-5733-43FA-8105-9557EC0A9C29}" type="pres">
      <dgm:prSet presAssocID="{257C4A8D-90F1-4058-8D2D-35238AE39ECE}" presName="hierChild4" presStyleCnt="0"/>
      <dgm:spPr/>
    </dgm:pt>
    <dgm:pt modelId="{664BF598-63C6-48A7-B7A9-CEE8DFA2EEA0}" type="pres">
      <dgm:prSet presAssocID="{F57F8169-37EB-44F3-803A-5108593216C1}" presName="Name17" presStyleLbl="parChTrans1D3" presStyleIdx="4" presStyleCnt="6"/>
      <dgm:spPr/>
    </dgm:pt>
    <dgm:pt modelId="{6D61486B-8865-4237-BB58-8081D09AED37}" type="pres">
      <dgm:prSet presAssocID="{21EB16C1-0DC6-484F-BABB-3A2F4A565C52}" presName="hierRoot3" presStyleCnt="0"/>
      <dgm:spPr/>
    </dgm:pt>
    <dgm:pt modelId="{F219AE29-6A1F-4F9C-BCE9-1903C692BCA2}" type="pres">
      <dgm:prSet presAssocID="{21EB16C1-0DC6-484F-BABB-3A2F4A565C52}" presName="composite3" presStyleCnt="0"/>
      <dgm:spPr/>
    </dgm:pt>
    <dgm:pt modelId="{501E16F0-D3B7-4CAA-A3CF-29F050C302DA}" type="pres">
      <dgm:prSet presAssocID="{21EB16C1-0DC6-484F-BABB-3A2F4A565C52}" presName="background3" presStyleLbl="node3" presStyleIdx="4" presStyleCnt="6"/>
      <dgm:spPr/>
    </dgm:pt>
    <dgm:pt modelId="{DA018783-52B2-44B3-8AEA-871F231492E0}" type="pres">
      <dgm:prSet presAssocID="{21EB16C1-0DC6-484F-BABB-3A2F4A565C52}" presName="text3" presStyleLbl="fgAcc3" presStyleIdx="4" presStyleCnt="6">
        <dgm:presLayoutVars>
          <dgm:chPref val="3"/>
        </dgm:presLayoutVars>
      </dgm:prSet>
      <dgm:spPr/>
    </dgm:pt>
    <dgm:pt modelId="{F4C791FA-BB4A-494B-93CA-B360A458388A}" type="pres">
      <dgm:prSet presAssocID="{21EB16C1-0DC6-484F-BABB-3A2F4A565C52}" presName="hierChild4" presStyleCnt="0"/>
      <dgm:spPr/>
    </dgm:pt>
    <dgm:pt modelId="{922F9D76-D6AC-432F-B973-15FD97769FDD}" type="pres">
      <dgm:prSet presAssocID="{396D4A49-9F80-405D-8FCD-97DDD9B19211}" presName="Name17" presStyleLbl="parChTrans1D3" presStyleIdx="5" presStyleCnt="6"/>
      <dgm:spPr/>
    </dgm:pt>
    <dgm:pt modelId="{DFCB2A0B-945E-4B7A-A044-089A2CAC079A}" type="pres">
      <dgm:prSet presAssocID="{D30AE079-AD19-4494-B44A-0783270FD204}" presName="hierRoot3" presStyleCnt="0"/>
      <dgm:spPr/>
    </dgm:pt>
    <dgm:pt modelId="{1C2B8199-C996-4B4C-8035-ED48DDE4330B}" type="pres">
      <dgm:prSet presAssocID="{D30AE079-AD19-4494-B44A-0783270FD204}" presName="composite3" presStyleCnt="0"/>
      <dgm:spPr/>
    </dgm:pt>
    <dgm:pt modelId="{B8DA73E3-8C8F-4E20-BD72-265E330CD14C}" type="pres">
      <dgm:prSet presAssocID="{D30AE079-AD19-4494-B44A-0783270FD204}" presName="background3" presStyleLbl="node3" presStyleIdx="5" presStyleCnt="6"/>
      <dgm:spPr/>
    </dgm:pt>
    <dgm:pt modelId="{61EBCF35-46DD-4EBD-8D93-AF6C61DB6403}" type="pres">
      <dgm:prSet presAssocID="{D30AE079-AD19-4494-B44A-0783270FD204}" presName="text3" presStyleLbl="fgAcc3" presStyleIdx="5" presStyleCnt="6">
        <dgm:presLayoutVars>
          <dgm:chPref val="3"/>
        </dgm:presLayoutVars>
      </dgm:prSet>
      <dgm:spPr/>
    </dgm:pt>
    <dgm:pt modelId="{6E14A50D-FA57-4B27-832F-557D9EFA5B7A}" type="pres">
      <dgm:prSet presAssocID="{D30AE079-AD19-4494-B44A-0783270FD204}" presName="hierChild4" presStyleCnt="0"/>
      <dgm:spPr/>
    </dgm:pt>
    <dgm:pt modelId="{40C13DC7-71A4-4173-AF65-B0EF65942D38}" type="pres">
      <dgm:prSet presAssocID="{34E35C85-9D08-45AD-96C7-E805198273BC}" presName="Name10" presStyleLbl="parChTrans1D2" presStyleIdx="1" presStyleCnt="2"/>
      <dgm:spPr/>
    </dgm:pt>
    <dgm:pt modelId="{FCE07D11-D7B4-40DC-9785-0971310ADAD3}" type="pres">
      <dgm:prSet presAssocID="{F5604F50-7FE2-4779-BE52-628B8CE02B90}" presName="hierRoot2" presStyleCnt="0"/>
      <dgm:spPr/>
    </dgm:pt>
    <dgm:pt modelId="{744C4D1D-5CCE-4E86-AB18-DE3DA9C91299}" type="pres">
      <dgm:prSet presAssocID="{F5604F50-7FE2-4779-BE52-628B8CE02B90}" presName="composite2" presStyleCnt="0"/>
      <dgm:spPr/>
    </dgm:pt>
    <dgm:pt modelId="{E75EB168-0D74-4F52-8BAB-D01FB30F2B90}" type="pres">
      <dgm:prSet presAssocID="{F5604F50-7FE2-4779-BE52-628B8CE02B90}" presName="background2" presStyleLbl="asst1" presStyleIdx="0" presStyleCnt="1"/>
      <dgm:spPr/>
    </dgm:pt>
    <dgm:pt modelId="{448E1844-84E0-4601-9C49-A5AA0133623C}" type="pres">
      <dgm:prSet presAssocID="{F5604F50-7FE2-4779-BE52-628B8CE02B90}" presName="text2" presStyleLbl="fgAcc2" presStyleIdx="1" presStyleCnt="2">
        <dgm:presLayoutVars>
          <dgm:chPref val="3"/>
        </dgm:presLayoutVars>
      </dgm:prSet>
      <dgm:spPr/>
    </dgm:pt>
    <dgm:pt modelId="{F65E2510-C38B-47B5-B0F9-E7031D39E9AC}" type="pres">
      <dgm:prSet presAssocID="{F5604F50-7FE2-4779-BE52-628B8CE02B90}" presName="hierChild3" presStyleCnt="0"/>
      <dgm:spPr/>
    </dgm:pt>
  </dgm:ptLst>
  <dgm:cxnLst>
    <dgm:cxn modelId="{781ADD01-AC20-43EC-9EA7-201DECEC8E07}" srcId="{C552E11F-09C1-4FD0-B16C-A3F7CC41324A}" destId="{FBFA4AE4-F981-4C16-B680-96093F3AB056}" srcOrd="0" destOrd="0" parTransId="{5B1F510B-C147-40F3-A8F4-6DC4201F2C49}" sibTransId="{204D42C9-F560-44D9-B394-24CD599B91F9}"/>
    <dgm:cxn modelId="{B408BC0A-A9AC-4BDF-AFCF-5F62BFFE385C}" type="presOf" srcId="{CF9A92D7-CB4A-4DAF-BEDE-CFB7F2DC7014}" destId="{2E3B88FE-B472-4707-A072-9604FE7977D6}" srcOrd="0" destOrd="0" presId="urn:microsoft.com/office/officeart/2005/8/layout/hierarchy1"/>
    <dgm:cxn modelId="{6F97010F-B220-4AAC-8067-FB639E2BBD3D}" type="presOf" srcId="{F57F8169-37EB-44F3-803A-5108593216C1}" destId="{664BF598-63C6-48A7-B7A9-CEE8DFA2EEA0}" srcOrd="0" destOrd="0" presId="urn:microsoft.com/office/officeart/2005/8/layout/hierarchy1"/>
    <dgm:cxn modelId="{E842A20F-BCDF-4743-AA06-E102E02FA85F}" type="presOf" srcId="{C552E11F-09C1-4FD0-B16C-A3F7CC41324A}" destId="{1B9F45C4-987B-40BC-B2AD-A8DF2B10F437}" srcOrd="0" destOrd="0" presId="urn:microsoft.com/office/officeart/2005/8/layout/hierarchy1"/>
    <dgm:cxn modelId="{825FB72A-D50A-4824-8050-F3FF2771ABC1}" srcId="{FBFA4AE4-F981-4C16-B680-96093F3AB056}" destId="{AA4BF6CA-BED0-4E2A-9030-E8BFD74DF719}" srcOrd="0" destOrd="0" parTransId="{0EC41025-A060-4953-A8B0-E53AECD1D891}" sibTransId="{FB846708-4246-4047-BE9C-39310E76FC32}"/>
    <dgm:cxn modelId="{446D4834-5636-49DB-B4EC-022719005C7D}" type="presOf" srcId="{5B1F510B-C147-40F3-A8F4-6DC4201F2C49}" destId="{99045266-EE42-41FB-963E-FE62D1500936}" srcOrd="0" destOrd="0" presId="urn:microsoft.com/office/officeart/2005/8/layout/hierarchy1"/>
    <dgm:cxn modelId="{96AF853B-B33B-40F3-B58F-E9966D9059EA}" type="presOf" srcId="{AA4BF6CA-BED0-4E2A-9030-E8BFD74DF719}" destId="{9364F55C-2D6F-4178-B417-0842101ADC7B}" srcOrd="0" destOrd="0" presId="urn:microsoft.com/office/officeart/2005/8/layout/hierarchy1"/>
    <dgm:cxn modelId="{3B372F3F-C3D9-4FA1-B83E-37171D7F744D}" type="presOf" srcId="{F6C01BC4-54A2-4EA3-9652-F75762FA31DA}" destId="{D71FBCA1-4AC9-4495-BBDA-DE5036927B69}" srcOrd="0" destOrd="0" presId="urn:microsoft.com/office/officeart/2005/8/layout/hierarchy1"/>
    <dgm:cxn modelId="{2232CC65-F647-45BF-85D6-99C477FD57BF}" type="presOf" srcId="{FBFA4AE4-F981-4C16-B680-96093F3AB056}" destId="{5AC277A0-B0EC-4F7D-9BD8-73309ACD4455}" srcOrd="0" destOrd="0" presId="urn:microsoft.com/office/officeart/2005/8/layout/hierarchy1"/>
    <dgm:cxn modelId="{ABF9E94B-8F29-40E1-AE84-800B1096BE7B}" type="presOf" srcId="{A69654D2-3C32-4507-AA7D-EA0DC01DA026}" destId="{7675AD92-0B64-493E-8510-2AA2C02F6FC5}" srcOrd="0" destOrd="0" presId="urn:microsoft.com/office/officeart/2005/8/layout/hierarchy1"/>
    <dgm:cxn modelId="{C7C14776-68FF-42A9-87A1-BE2B668ABB8B}" type="presOf" srcId="{67C01D02-0E38-43DB-80E7-D9943B07243E}" destId="{D0971F60-BCAB-4CBF-83B2-763332F8F276}" srcOrd="0" destOrd="0" presId="urn:microsoft.com/office/officeart/2005/8/layout/hierarchy1"/>
    <dgm:cxn modelId="{F0ABCE81-2413-4BBB-9947-76CA4CDBD22A}" type="presOf" srcId="{0EC41025-A060-4953-A8B0-E53AECD1D891}" destId="{093D37C5-A45E-4560-8C52-2B530FA1D5D1}" srcOrd="0" destOrd="0" presId="urn:microsoft.com/office/officeart/2005/8/layout/hierarchy1"/>
    <dgm:cxn modelId="{8708D883-A790-4060-B4B9-0E794DF95F9A}" type="presOf" srcId="{21EB16C1-0DC6-484F-BABB-3A2F4A565C52}" destId="{DA018783-52B2-44B3-8AEA-871F231492E0}" srcOrd="0" destOrd="0" presId="urn:microsoft.com/office/officeart/2005/8/layout/hierarchy1"/>
    <dgm:cxn modelId="{C0B6458E-E69E-409D-AD8F-8FE202F1E4C5}" type="presOf" srcId="{34E35C85-9D08-45AD-96C7-E805198273BC}" destId="{40C13DC7-71A4-4173-AF65-B0EF65942D38}" srcOrd="0" destOrd="0" presId="urn:microsoft.com/office/officeart/2005/8/layout/hierarchy1"/>
    <dgm:cxn modelId="{BE9446A0-0A51-47DE-85B8-C45A3CB761E3}" type="presOf" srcId="{396D4A49-9F80-405D-8FCD-97DDD9B19211}" destId="{922F9D76-D6AC-432F-B973-15FD97769FDD}" srcOrd="0" destOrd="0" presId="urn:microsoft.com/office/officeart/2005/8/layout/hierarchy1"/>
    <dgm:cxn modelId="{74034CA7-51AF-4569-90C4-FDB31481E559}" srcId="{FBFA4AE4-F981-4C16-B680-96093F3AB056}" destId="{257C4A8D-90F1-4058-8D2D-35238AE39ECE}" srcOrd="3" destOrd="0" parTransId="{F2B88AB3-07AE-4991-9D99-BACCFD7666B5}" sibTransId="{60F8ACA6-FF2A-4A1F-8CC3-A553F4C39F7C}"/>
    <dgm:cxn modelId="{986380A7-4974-4F53-AE53-E56264257F14}" type="presOf" srcId="{F5604F50-7FE2-4779-BE52-628B8CE02B90}" destId="{448E1844-84E0-4601-9C49-A5AA0133623C}" srcOrd="0" destOrd="0" presId="urn:microsoft.com/office/officeart/2005/8/layout/hierarchy1"/>
    <dgm:cxn modelId="{F5EB98AE-635C-45CA-A4E6-1645A55CAC33}" type="presOf" srcId="{D30AE079-AD19-4494-B44A-0783270FD204}" destId="{61EBCF35-46DD-4EBD-8D93-AF6C61DB6403}" srcOrd="0" destOrd="0" presId="urn:microsoft.com/office/officeart/2005/8/layout/hierarchy1"/>
    <dgm:cxn modelId="{40DDB7BF-3A6F-4348-8D13-C0E79180BD4F}" type="presOf" srcId="{268B01F5-C41C-4D6E-9907-CD24081087B3}" destId="{387A6FB1-51B0-4A0D-9C0B-97B9E85F51FA}" srcOrd="0" destOrd="0" presId="urn:microsoft.com/office/officeart/2005/8/layout/hierarchy1"/>
    <dgm:cxn modelId="{A03CE4BF-4B58-4494-81F5-62E31E9B55E0}" srcId="{FBFA4AE4-F981-4C16-B680-96093F3AB056}" destId="{F6C01BC4-54A2-4EA3-9652-F75762FA31DA}" srcOrd="2" destOrd="0" parTransId="{67C01D02-0E38-43DB-80E7-D9943B07243E}" sibTransId="{3BF02FB3-7055-4D9D-BFF2-4CA2DA579F1E}"/>
    <dgm:cxn modelId="{F57288C1-C9F5-458C-9731-4BB83E932F8D}" srcId="{FBFA4AE4-F981-4C16-B680-96093F3AB056}" destId="{D30AE079-AD19-4494-B44A-0783270FD204}" srcOrd="5" destOrd="0" parTransId="{396D4A49-9F80-405D-8FCD-97DDD9B19211}" sibTransId="{227946FC-53F8-4B8F-9378-E5104DB86927}"/>
    <dgm:cxn modelId="{36AE93C3-35F4-4EA4-B139-334970526134}" srcId="{FBFA4AE4-F981-4C16-B680-96093F3AB056}" destId="{21EB16C1-0DC6-484F-BABB-3A2F4A565C52}" srcOrd="4" destOrd="0" parTransId="{F57F8169-37EB-44F3-803A-5108593216C1}" sibTransId="{9FF9A60B-D2CD-46DF-B9A9-77DFFC8B70D4}"/>
    <dgm:cxn modelId="{CB6353D5-D90E-4740-84D2-B09A2290EC6B}" srcId="{A69654D2-3C32-4507-AA7D-EA0DC01DA026}" destId="{C552E11F-09C1-4FD0-B16C-A3F7CC41324A}" srcOrd="0" destOrd="0" parTransId="{3603B8B4-2710-4A6A-89F8-29A1BD13B725}" sibTransId="{FC6EC047-A954-43E4-9750-889C7BFA7AC5}"/>
    <dgm:cxn modelId="{176B42E2-D158-4E0D-9828-651E6279694A}" srcId="{FBFA4AE4-F981-4C16-B680-96093F3AB056}" destId="{CF9A92D7-CB4A-4DAF-BEDE-CFB7F2DC7014}" srcOrd="1" destOrd="0" parTransId="{268B01F5-C41C-4D6E-9907-CD24081087B3}" sibTransId="{5A84E35C-740A-4B4C-B736-3BA4A83F8278}"/>
    <dgm:cxn modelId="{2DE86CF5-11C3-46C6-B31D-E1B6C802CC72}" type="presOf" srcId="{F2B88AB3-07AE-4991-9D99-BACCFD7666B5}" destId="{0E71C095-16AA-4C55-B4F6-9595A764E580}" srcOrd="0" destOrd="0" presId="urn:microsoft.com/office/officeart/2005/8/layout/hierarchy1"/>
    <dgm:cxn modelId="{D8928AFB-1D37-49F5-912D-A2D729CE81E9}" srcId="{C552E11F-09C1-4FD0-B16C-A3F7CC41324A}" destId="{F5604F50-7FE2-4779-BE52-628B8CE02B90}" srcOrd="1" destOrd="0" parTransId="{34E35C85-9D08-45AD-96C7-E805198273BC}" sibTransId="{173EF087-247C-456E-8BCC-288BAFB2F4E5}"/>
    <dgm:cxn modelId="{DE55B8FB-748C-4F58-B5C0-7F36C3C29F67}" type="presOf" srcId="{257C4A8D-90F1-4058-8D2D-35238AE39ECE}" destId="{83E5A5C9-367E-49EB-B95E-0076BB737C86}" srcOrd="0" destOrd="0" presId="urn:microsoft.com/office/officeart/2005/8/layout/hierarchy1"/>
    <dgm:cxn modelId="{C926CA20-6DF3-44AE-9EA1-A1B535CBB349}" type="presParOf" srcId="{7675AD92-0B64-493E-8510-2AA2C02F6FC5}" destId="{A6CE3343-FE7E-4C1D-8CA9-CE31309C5B7E}" srcOrd="0" destOrd="0" presId="urn:microsoft.com/office/officeart/2005/8/layout/hierarchy1"/>
    <dgm:cxn modelId="{3D6CD2A4-C969-4712-B88D-DB1921ABED93}" type="presParOf" srcId="{A6CE3343-FE7E-4C1D-8CA9-CE31309C5B7E}" destId="{92F0D903-12BD-4F99-89C6-A580AF842D0F}" srcOrd="0" destOrd="0" presId="urn:microsoft.com/office/officeart/2005/8/layout/hierarchy1"/>
    <dgm:cxn modelId="{B7062203-00B7-4237-B157-EF0221564AD4}" type="presParOf" srcId="{92F0D903-12BD-4F99-89C6-A580AF842D0F}" destId="{27BFDE9B-F817-41A9-A9DA-721D25D511C8}" srcOrd="0" destOrd="0" presId="urn:microsoft.com/office/officeart/2005/8/layout/hierarchy1"/>
    <dgm:cxn modelId="{4F218126-7012-4101-B864-671755F33C98}" type="presParOf" srcId="{92F0D903-12BD-4F99-89C6-A580AF842D0F}" destId="{1B9F45C4-987B-40BC-B2AD-A8DF2B10F437}" srcOrd="1" destOrd="0" presId="urn:microsoft.com/office/officeart/2005/8/layout/hierarchy1"/>
    <dgm:cxn modelId="{B55E7C1B-2367-40CB-8A09-3FA3F151AB79}" type="presParOf" srcId="{A6CE3343-FE7E-4C1D-8CA9-CE31309C5B7E}" destId="{3BAF3256-57CF-4AA1-8E7A-933F4550EE89}" srcOrd="1" destOrd="0" presId="urn:microsoft.com/office/officeart/2005/8/layout/hierarchy1"/>
    <dgm:cxn modelId="{C0BE2462-D4C8-4A1E-A4EE-3FFBDE3E6AF9}" type="presParOf" srcId="{3BAF3256-57CF-4AA1-8E7A-933F4550EE89}" destId="{99045266-EE42-41FB-963E-FE62D1500936}" srcOrd="0" destOrd="0" presId="urn:microsoft.com/office/officeart/2005/8/layout/hierarchy1"/>
    <dgm:cxn modelId="{80B6BA81-7BB0-4D34-9E8A-F0F1C2C18C62}" type="presParOf" srcId="{3BAF3256-57CF-4AA1-8E7A-933F4550EE89}" destId="{F7EF5215-F5BF-4D6E-A1C4-630283578DDB}" srcOrd="1" destOrd="0" presId="urn:microsoft.com/office/officeart/2005/8/layout/hierarchy1"/>
    <dgm:cxn modelId="{181EBB58-D3C9-48A8-85C4-D50104F55E9D}" type="presParOf" srcId="{F7EF5215-F5BF-4D6E-A1C4-630283578DDB}" destId="{4F1E3BBD-6DCC-4D63-B0D7-E2688E674A69}" srcOrd="0" destOrd="0" presId="urn:microsoft.com/office/officeart/2005/8/layout/hierarchy1"/>
    <dgm:cxn modelId="{D89D0874-BC9F-4207-97E8-7A983E55CA16}" type="presParOf" srcId="{4F1E3BBD-6DCC-4D63-B0D7-E2688E674A69}" destId="{27868715-A185-4B5C-98C6-B635494EA49B}" srcOrd="0" destOrd="0" presId="urn:microsoft.com/office/officeart/2005/8/layout/hierarchy1"/>
    <dgm:cxn modelId="{5823501C-58E8-4A78-8349-190C93241319}" type="presParOf" srcId="{4F1E3BBD-6DCC-4D63-B0D7-E2688E674A69}" destId="{5AC277A0-B0EC-4F7D-9BD8-73309ACD4455}" srcOrd="1" destOrd="0" presId="urn:microsoft.com/office/officeart/2005/8/layout/hierarchy1"/>
    <dgm:cxn modelId="{75AF8427-9E35-4C5C-833F-F80117BBF047}" type="presParOf" srcId="{F7EF5215-F5BF-4D6E-A1C4-630283578DDB}" destId="{EF2B1D3A-C378-424D-8E1C-9ECE0CB6FC54}" srcOrd="1" destOrd="0" presId="urn:microsoft.com/office/officeart/2005/8/layout/hierarchy1"/>
    <dgm:cxn modelId="{FC2CB7DD-FEDA-4818-B5F8-DE4C4CC5B704}" type="presParOf" srcId="{EF2B1D3A-C378-424D-8E1C-9ECE0CB6FC54}" destId="{093D37C5-A45E-4560-8C52-2B530FA1D5D1}" srcOrd="0" destOrd="0" presId="urn:microsoft.com/office/officeart/2005/8/layout/hierarchy1"/>
    <dgm:cxn modelId="{1329BDBC-5DB5-4279-A019-5853207CB2D2}" type="presParOf" srcId="{EF2B1D3A-C378-424D-8E1C-9ECE0CB6FC54}" destId="{AF7D9AF0-7860-4C89-AC4C-134EA926EBF9}" srcOrd="1" destOrd="0" presId="urn:microsoft.com/office/officeart/2005/8/layout/hierarchy1"/>
    <dgm:cxn modelId="{7E049E49-6DDA-4575-8A3F-1FFB50356CF9}" type="presParOf" srcId="{AF7D9AF0-7860-4C89-AC4C-134EA926EBF9}" destId="{7442F512-FCE3-4CB2-995D-5C0E56D6A0E1}" srcOrd="0" destOrd="0" presId="urn:microsoft.com/office/officeart/2005/8/layout/hierarchy1"/>
    <dgm:cxn modelId="{61B92820-0E7E-4863-9F1C-7E6A32CD9F63}" type="presParOf" srcId="{7442F512-FCE3-4CB2-995D-5C0E56D6A0E1}" destId="{C74BA791-9038-401D-8A80-2B45625F5B9A}" srcOrd="0" destOrd="0" presId="urn:microsoft.com/office/officeart/2005/8/layout/hierarchy1"/>
    <dgm:cxn modelId="{D0901C70-28B7-4366-9B36-BDFBB90264C0}" type="presParOf" srcId="{7442F512-FCE3-4CB2-995D-5C0E56D6A0E1}" destId="{9364F55C-2D6F-4178-B417-0842101ADC7B}" srcOrd="1" destOrd="0" presId="urn:microsoft.com/office/officeart/2005/8/layout/hierarchy1"/>
    <dgm:cxn modelId="{85C4BDEC-9B0D-4A1E-94A2-2C251EFC27CE}" type="presParOf" srcId="{AF7D9AF0-7860-4C89-AC4C-134EA926EBF9}" destId="{AD2BC6FA-9C04-4D41-926A-92FD0FD881C8}" srcOrd="1" destOrd="0" presId="urn:microsoft.com/office/officeart/2005/8/layout/hierarchy1"/>
    <dgm:cxn modelId="{2E7F9150-04D0-4246-B41C-AE07DC35295D}" type="presParOf" srcId="{EF2B1D3A-C378-424D-8E1C-9ECE0CB6FC54}" destId="{387A6FB1-51B0-4A0D-9C0B-97B9E85F51FA}" srcOrd="2" destOrd="0" presId="urn:microsoft.com/office/officeart/2005/8/layout/hierarchy1"/>
    <dgm:cxn modelId="{B7C8BD66-C9C5-4DBC-BEDC-085C079CF225}" type="presParOf" srcId="{EF2B1D3A-C378-424D-8E1C-9ECE0CB6FC54}" destId="{B5C0B861-7283-4256-9315-AEAC8AA002D1}" srcOrd="3" destOrd="0" presId="urn:microsoft.com/office/officeart/2005/8/layout/hierarchy1"/>
    <dgm:cxn modelId="{A339A9AD-4AEC-435A-B6CD-600D7C0E568F}" type="presParOf" srcId="{B5C0B861-7283-4256-9315-AEAC8AA002D1}" destId="{0BF26ABB-D78D-4231-94A9-0DC79A7B024D}" srcOrd="0" destOrd="0" presId="urn:microsoft.com/office/officeart/2005/8/layout/hierarchy1"/>
    <dgm:cxn modelId="{BD045696-B1CD-49FD-A31F-F31B004E0229}" type="presParOf" srcId="{0BF26ABB-D78D-4231-94A9-0DC79A7B024D}" destId="{9A866DD7-5CD6-4172-A253-ACB4772E6AC7}" srcOrd="0" destOrd="0" presId="urn:microsoft.com/office/officeart/2005/8/layout/hierarchy1"/>
    <dgm:cxn modelId="{7311B37D-561C-45BE-9DDA-E5ECA35A15D2}" type="presParOf" srcId="{0BF26ABB-D78D-4231-94A9-0DC79A7B024D}" destId="{2E3B88FE-B472-4707-A072-9604FE7977D6}" srcOrd="1" destOrd="0" presId="urn:microsoft.com/office/officeart/2005/8/layout/hierarchy1"/>
    <dgm:cxn modelId="{0FE6C45A-AD6F-4AB4-92B4-16D3C3FEA2E3}" type="presParOf" srcId="{B5C0B861-7283-4256-9315-AEAC8AA002D1}" destId="{9A038EA9-E80B-4768-8E2A-BDC9710A3B96}" srcOrd="1" destOrd="0" presId="urn:microsoft.com/office/officeart/2005/8/layout/hierarchy1"/>
    <dgm:cxn modelId="{634A70FE-2B86-4CAA-B8E5-79A3D5DBB58F}" type="presParOf" srcId="{EF2B1D3A-C378-424D-8E1C-9ECE0CB6FC54}" destId="{D0971F60-BCAB-4CBF-83B2-763332F8F276}" srcOrd="4" destOrd="0" presId="urn:microsoft.com/office/officeart/2005/8/layout/hierarchy1"/>
    <dgm:cxn modelId="{D52B0841-94E0-434C-9497-10CACDDE4000}" type="presParOf" srcId="{EF2B1D3A-C378-424D-8E1C-9ECE0CB6FC54}" destId="{6DF45C2A-9D67-41CD-ACA5-88F9CCC328D9}" srcOrd="5" destOrd="0" presId="urn:microsoft.com/office/officeart/2005/8/layout/hierarchy1"/>
    <dgm:cxn modelId="{02390212-C001-44E5-BCD7-D8CA2F7F2F0C}" type="presParOf" srcId="{6DF45C2A-9D67-41CD-ACA5-88F9CCC328D9}" destId="{C926B92B-BF46-4C94-86DA-CF38F6F39B77}" srcOrd="0" destOrd="0" presId="urn:microsoft.com/office/officeart/2005/8/layout/hierarchy1"/>
    <dgm:cxn modelId="{512FAF77-57BB-4339-B8DA-67754C1E4804}" type="presParOf" srcId="{C926B92B-BF46-4C94-86DA-CF38F6F39B77}" destId="{8BE4965F-64AE-4C51-A663-543699C9479E}" srcOrd="0" destOrd="0" presId="urn:microsoft.com/office/officeart/2005/8/layout/hierarchy1"/>
    <dgm:cxn modelId="{8BC9D522-787C-4D9D-94AA-1BBE5C883C4C}" type="presParOf" srcId="{C926B92B-BF46-4C94-86DA-CF38F6F39B77}" destId="{D71FBCA1-4AC9-4495-BBDA-DE5036927B69}" srcOrd="1" destOrd="0" presId="urn:microsoft.com/office/officeart/2005/8/layout/hierarchy1"/>
    <dgm:cxn modelId="{6EBABFAB-6288-40F3-99EC-ED8D53B7157B}" type="presParOf" srcId="{6DF45C2A-9D67-41CD-ACA5-88F9CCC328D9}" destId="{CFE98AFB-F60A-493F-B37C-2F0EA43E60C3}" srcOrd="1" destOrd="0" presId="urn:microsoft.com/office/officeart/2005/8/layout/hierarchy1"/>
    <dgm:cxn modelId="{D08B07FF-40A6-4298-BFA1-87C2B6A95029}" type="presParOf" srcId="{EF2B1D3A-C378-424D-8E1C-9ECE0CB6FC54}" destId="{0E71C095-16AA-4C55-B4F6-9595A764E580}" srcOrd="6" destOrd="0" presId="urn:microsoft.com/office/officeart/2005/8/layout/hierarchy1"/>
    <dgm:cxn modelId="{C3E33C06-17B4-4CD3-8BA9-D1952F1BAEF1}" type="presParOf" srcId="{EF2B1D3A-C378-424D-8E1C-9ECE0CB6FC54}" destId="{AF88726B-9DA2-44E7-B515-32F91DD474B0}" srcOrd="7" destOrd="0" presId="urn:microsoft.com/office/officeart/2005/8/layout/hierarchy1"/>
    <dgm:cxn modelId="{7628EE29-21F0-46C7-9D9D-25DF115FC6BB}" type="presParOf" srcId="{AF88726B-9DA2-44E7-B515-32F91DD474B0}" destId="{7A313706-30F4-4FBD-8AC4-0EE62C8BF5E6}" srcOrd="0" destOrd="0" presId="urn:microsoft.com/office/officeart/2005/8/layout/hierarchy1"/>
    <dgm:cxn modelId="{103F5721-9E0B-4A48-94B0-2E7BD42C0497}" type="presParOf" srcId="{7A313706-30F4-4FBD-8AC4-0EE62C8BF5E6}" destId="{E60EA14C-8D57-4E30-A8B8-14ED662A39ED}" srcOrd="0" destOrd="0" presId="urn:microsoft.com/office/officeart/2005/8/layout/hierarchy1"/>
    <dgm:cxn modelId="{D868C059-387D-4085-8FE7-322926655C75}" type="presParOf" srcId="{7A313706-30F4-4FBD-8AC4-0EE62C8BF5E6}" destId="{83E5A5C9-367E-49EB-B95E-0076BB737C86}" srcOrd="1" destOrd="0" presId="urn:microsoft.com/office/officeart/2005/8/layout/hierarchy1"/>
    <dgm:cxn modelId="{7001DC2E-0A37-4AEA-B590-742971A29BF2}" type="presParOf" srcId="{AF88726B-9DA2-44E7-B515-32F91DD474B0}" destId="{5904CE3A-5733-43FA-8105-9557EC0A9C29}" srcOrd="1" destOrd="0" presId="urn:microsoft.com/office/officeart/2005/8/layout/hierarchy1"/>
    <dgm:cxn modelId="{D33A42D7-D527-4074-8843-1C9C9988D96A}" type="presParOf" srcId="{EF2B1D3A-C378-424D-8E1C-9ECE0CB6FC54}" destId="{664BF598-63C6-48A7-B7A9-CEE8DFA2EEA0}" srcOrd="8" destOrd="0" presId="urn:microsoft.com/office/officeart/2005/8/layout/hierarchy1"/>
    <dgm:cxn modelId="{0BB0BFBC-6B8D-4449-8D3F-9FBC473BDAAB}" type="presParOf" srcId="{EF2B1D3A-C378-424D-8E1C-9ECE0CB6FC54}" destId="{6D61486B-8865-4237-BB58-8081D09AED37}" srcOrd="9" destOrd="0" presId="urn:microsoft.com/office/officeart/2005/8/layout/hierarchy1"/>
    <dgm:cxn modelId="{4779D4BF-330E-4AB9-902A-0D9F0B767EED}" type="presParOf" srcId="{6D61486B-8865-4237-BB58-8081D09AED37}" destId="{F219AE29-6A1F-4F9C-BCE9-1903C692BCA2}" srcOrd="0" destOrd="0" presId="urn:microsoft.com/office/officeart/2005/8/layout/hierarchy1"/>
    <dgm:cxn modelId="{9860D593-5B65-4654-BEC3-DAD6CBBFB608}" type="presParOf" srcId="{F219AE29-6A1F-4F9C-BCE9-1903C692BCA2}" destId="{501E16F0-D3B7-4CAA-A3CF-29F050C302DA}" srcOrd="0" destOrd="0" presId="urn:microsoft.com/office/officeart/2005/8/layout/hierarchy1"/>
    <dgm:cxn modelId="{804EB1A3-D0A2-4ED0-B593-0A719A608D15}" type="presParOf" srcId="{F219AE29-6A1F-4F9C-BCE9-1903C692BCA2}" destId="{DA018783-52B2-44B3-8AEA-871F231492E0}" srcOrd="1" destOrd="0" presId="urn:microsoft.com/office/officeart/2005/8/layout/hierarchy1"/>
    <dgm:cxn modelId="{2611EF85-F874-42E5-84ED-BD55EE94A90A}" type="presParOf" srcId="{6D61486B-8865-4237-BB58-8081D09AED37}" destId="{F4C791FA-BB4A-494B-93CA-B360A458388A}" srcOrd="1" destOrd="0" presId="urn:microsoft.com/office/officeart/2005/8/layout/hierarchy1"/>
    <dgm:cxn modelId="{5E021A92-0D12-4320-A476-2823C0D13865}" type="presParOf" srcId="{EF2B1D3A-C378-424D-8E1C-9ECE0CB6FC54}" destId="{922F9D76-D6AC-432F-B973-15FD97769FDD}" srcOrd="10" destOrd="0" presId="urn:microsoft.com/office/officeart/2005/8/layout/hierarchy1"/>
    <dgm:cxn modelId="{FB7427A6-797F-4255-B65C-DE774446DD8A}" type="presParOf" srcId="{EF2B1D3A-C378-424D-8E1C-9ECE0CB6FC54}" destId="{DFCB2A0B-945E-4B7A-A044-089A2CAC079A}" srcOrd="11" destOrd="0" presId="urn:microsoft.com/office/officeart/2005/8/layout/hierarchy1"/>
    <dgm:cxn modelId="{5AC74E51-B462-4370-9DDA-8363FB666099}" type="presParOf" srcId="{DFCB2A0B-945E-4B7A-A044-089A2CAC079A}" destId="{1C2B8199-C996-4B4C-8035-ED48DDE4330B}" srcOrd="0" destOrd="0" presId="urn:microsoft.com/office/officeart/2005/8/layout/hierarchy1"/>
    <dgm:cxn modelId="{E9B3DBE6-2E36-4797-9487-9A509CFCC7EB}" type="presParOf" srcId="{1C2B8199-C996-4B4C-8035-ED48DDE4330B}" destId="{B8DA73E3-8C8F-4E20-BD72-265E330CD14C}" srcOrd="0" destOrd="0" presId="urn:microsoft.com/office/officeart/2005/8/layout/hierarchy1"/>
    <dgm:cxn modelId="{1F6DDA96-47A0-4CC1-B5BC-D0F54F08BB40}" type="presParOf" srcId="{1C2B8199-C996-4B4C-8035-ED48DDE4330B}" destId="{61EBCF35-46DD-4EBD-8D93-AF6C61DB6403}" srcOrd="1" destOrd="0" presId="urn:microsoft.com/office/officeart/2005/8/layout/hierarchy1"/>
    <dgm:cxn modelId="{809626B1-59F7-4434-AC55-850AB41D1A6D}" type="presParOf" srcId="{DFCB2A0B-945E-4B7A-A044-089A2CAC079A}" destId="{6E14A50D-FA57-4B27-832F-557D9EFA5B7A}" srcOrd="1" destOrd="0" presId="urn:microsoft.com/office/officeart/2005/8/layout/hierarchy1"/>
    <dgm:cxn modelId="{33656426-4852-476F-B9A4-2C6455DE91B2}" type="presParOf" srcId="{3BAF3256-57CF-4AA1-8E7A-933F4550EE89}" destId="{40C13DC7-71A4-4173-AF65-B0EF65942D38}" srcOrd="2" destOrd="0" presId="urn:microsoft.com/office/officeart/2005/8/layout/hierarchy1"/>
    <dgm:cxn modelId="{EAEE1CA8-EE8F-4DFC-B958-FB1D70F4D1C6}" type="presParOf" srcId="{3BAF3256-57CF-4AA1-8E7A-933F4550EE89}" destId="{FCE07D11-D7B4-40DC-9785-0971310ADAD3}" srcOrd="3" destOrd="0" presId="urn:microsoft.com/office/officeart/2005/8/layout/hierarchy1"/>
    <dgm:cxn modelId="{66674B67-54A0-4847-9FC2-FA4AD4191724}" type="presParOf" srcId="{FCE07D11-D7B4-40DC-9785-0971310ADAD3}" destId="{744C4D1D-5CCE-4E86-AB18-DE3DA9C91299}" srcOrd="0" destOrd="0" presId="urn:microsoft.com/office/officeart/2005/8/layout/hierarchy1"/>
    <dgm:cxn modelId="{55D04EE7-6F6C-4D89-8174-CF872C385C25}" type="presParOf" srcId="{744C4D1D-5CCE-4E86-AB18-DE3DA9C91299}" destId="{E75EB168-0D74-4F52-8BAB-D01FB30F2B90}" srcOrd="0" destOrd="0" presId="urn:microsoft.com/office/officeart/2005/8/layout/hierarchy1"/>
    <dgm:cxn modelId="{A98FC48C-13EB-4DD4-9E58-65955C1C4988}" type="presParOf" srcId="{744C4D1D-5CCE-4E86-AB18-DE3DA9C91299}" destId="{448E1844-84E0-4601-9C49-A5AA0133623C}" srcOrd="1" destOrd="0" presId="urn:microsoft.com/office/officeart/2005/8/layout/hierarchy1"/>
    <dgm:cxn modelId="{25455796-B16E-47CE-9380-DCC0658A5C68}" type="presParOf" srcId="{FCE07D11-D7B4-40DC-9785-0971310ADAD3}" destId="{F65E2510-C38B-47B5-B0F9-E7031D39E9AC}" srcOrd="1" destOrd="0" presId="urn:microsoft.com/office/officeart/2005/8/layout/hierarchy1"/>
  </dgm:cxnLst>
  <dgm:bg/>
  <dgm:whole/>
</dgm:dataModel>
</file>

<file path=word/diagrams/data5.xml><?xml version="1.0" encoding="utf-8"?>
<dgm:dataModel xmlns:dgm="http://schemas.openxmlformats.org/drawingml/2006/diagram" xmlns:a="http://schemas.openxmlformats.org/drawingml/2006/main">
  <dgm:ptLst>
    <dgm:pt modelId="{E68F2755-3C96-4065-AA8E-41095FE34092}" type="doc">
      <dgm:prSet loTypeId="urn:microsoft.com/office/officeart/2005/8/layout/hierarchy1#3" loCatId="hierarchy" qsTypeId="urn:microsoft.com/office/officeart/2005/8/quickstyle/simple5#1" qsCatId="simple" csTypeId="urn:microsoft.com/office/officeart/2005/8/colors/colorful5#2" csCatId="colorful" phldr="1"/>
      <dgm:spPr/>
      <dgm:t>
        <a:bodyPr/>
        <a:p>
          <a:endParaRPr lang="zh-CN" altLang="en-US"/>
        </a:p>
      </dgm:t>
    </dgm:pt>
    <dgm:pt modelId="{3487DBA4-82DC-4246-ADA7-6604E8B50A03}">
      <dgm:prSet phldrT="[文本]"/>
      <dgm:spPr/>
      <dgm:t>
        <a:bodyPr/>
        <a:p>
          <a:r>
            <a:rPr lang="zh-CN"/>
            <a:t>总经理</a:t>
          </a:r>
          <a:endParaRPr lang="zh-CN" altLang="en-US"/>
        </a:p>
      </dgm:t>
    </dgm:pt>
    <dgm:pt modelId="{81C152C6-DA09-4E0F-B967-BE503A81FFEE}" cxnId="{40C8636C-9CA5-44DD-9876-57D5D48FB062}" type="parTrans">
      <dgm:prSet/>
      <dgm:spPr/>
      <dgm:t>
        <a:bodyPr/>
        <a:p>
          <a:endParaRPr lang="zh-CN" altLang="en-US"/>
        </a:p>
      </dgm:t>
    </dgm:pt>
    <dgm:pt modelId="{DDFC0C0A-AC67-4F98-90E0-7F132A3FD6A6}" cxnId="{40C8636C-9CA5-44DD-9876-57D5D48FB062}" type="sibTrans">
      <dgm:prSet/>
      <dgm:spPr/>
      <dgm:t>
        <a:bodyPr/>
        <a:p>
          <a:endParaRPr lang="zh-CN" altLang="en-US"/>
        </a:p>
      </dgm:t>
    </dgm:pt>
    <dgm:pt modelId="{28007C1D-CA17-4C63-B7C6-9066D095261C}">
      <dgm:prSet/>
      <dgm:spPr/>
      <dgm:t>
        <a:bodyPr/>
        <a:p>
          <a:r>
            <a:rPr lang="zh-CN"/>
            <a:t>项目负责人</a:t>
          </a:r>
        </a:p>
      </dgm:t>
    </dgm:pt>
    <dgm:pt modelId="{873A558C-5F05-4F0C-BA2C-2CB905678B0F}" cxnId="{A7AD3D3B-7AF1-4358-A9DE-0B4397E7D88F}" type="parTrans">
      <dgm:prSet/>
      <dgm:spPr/>
      <dgm:t>
        <a:bodyPr/>
        <a:p>
          <a:endParaRPr lang="zh-CN" altLang="en-US"/>
        </a:p>
      </dgm:t>
    </dgm:pt>
    <dgm:pt modelId="{B39FEC17-2A6E-41C3-AAC6-B9140FCE5BAD}" cxnId="{A7AD3D3B-7AF1-4358-A9DE-0B4397E7D88F}" type="sibTrans">
      <dgm:prSet/>
      <dgm:spPr/>
      <dgm:t>
        <a:bodyPr/>
        <a:p>
          <a:endParaRPr lang="zh-CN" altLang="en-US"/>
        </a:p>
      </dgm:t>
    </dgm:pt>
    <dgm:pt modelId="{720F8C4B-9665-4081-9916-A03314B8EAB6}">
      <dgm:prSet/>
      <dgm:spPr/>
      <dgm:t>
        <a:bodyPr/>
        <a:p>
          <a:r>
            <a:rPr lang="zh-CN"/>
            <a:t>售后服部</a:t>
          </a:r>
        </a:p>
      </dgm:t>
    </dgm:pt>
    <dgm:pt modelId="{1BA82431-5FCE-4C74-BC14-BBFCEAC561E8}" cxnId="{8D34DCE4-B014-4CF0-9D03-E00F8D52102A}" type="parTrans">
      <dgm:prSet/>
      <dgm:spPr/>
      <dgm:t>
        <a:bodyPr/>
        <a:p>
          <a:endParaRPr lang="zh-CN" altLang="en-US"/>
        </a:p>
      </dgm:t>
    </dgm:pt>
    <dgm:pt modelId="{28BD3F7D-CEBB-486A-B8F2-69D9E8D6295C}" cxnId="{8D34DCE4-B014-4CF0-9D03-E00F8D52102A}" type="sibTrans">
      <dgm:prSet/>
      <dgm:spPr/>
      <dgm:t>
        <a:bodyPr/>
        <a:p>
          <a:endParaRPr lang="zh-CN" altLang="en-US"/>
        </a:p>
      </dgm:t>
    </dgm:pt>
    <dgm:pt modelId="{BCEE9A97-65CF-490B-B408-528217F787CC}">
      <dgm:prSet/>
      <dgm:spPr/>
      <dgm:t>
        <a:bodyPr/>
        <a:p>
          <a:r>
            <a:rPr lang="zh-CN"/>
            <a:t>采购部</a:t>
          </a:r>
        </a:p>
      </dgm:t>
    </dgm:pt>
    <dgm:pt modelId="{602A0A06-AC0E-489A-9C8B-7D4BB9B8B6FC}" cxnId="{357AEC99-9810-49EC-8AEA-93B270D47325}" type="parTrans">
      <dgm:prSet/>
      <dgm:spPr/>
      <dgm:t>
        <a:bodyPr/>
        <a:p>
          <a:endParaRPr lang="zh-CN" altLang="en-US"/>
        </a:p>
      </dgm:t>
    </dgm:pt>
    <dgm:pt modelId="{1C30B412-C808-411F-9E2B-039E77827EBF}" cxnId="{357AEC99-9810-49EC-8AEA-93B270D47325}" type="sibTrans">
      <dgm:prSet/>
      <dgm:spPr/>
      <dgm:t>
        <a:bodyPr/>
        <a:p>
          <a:endParaRPr lang="zh-CN" altLang="en-US"/>
        </a:p>
      </dgm:t>
    </dgm:pt>
    <dgm:pt modelId="{DEF00F22-6B5B-4F4C-91C2-D6567862F9AD}">
      <dgm:prSet/>
      <dgm:spPr/>
      <dgm:t>
        <a:bodyPr/>
        <a:p>
          <a:r>
            <a:rPr lang="zh-CN"/>
            <a:t>产品技术部</a:t>
          </a:r>
        </a:p>
      </dgm:t>
    </dgm:pt>
    <dgm:pt modelId="{BA63DEAD-D106-4148-8093-B5A55378C0BC}" cxnId="{95E14200-0C27-47B3-A1C8-23DBE36216B6}" type="parTrans">
      <dgm:prSet/>
      <dgm:spPr/>
      <dgm:t>
        <a:bodyPr/>
        <a:p>
          <a:endParaRPr lang="zh-CN" altLang="en-US"/>
        </a:p>
      </dgm:t>
    </dgm:pt>
    <dgm:pt modelId="{70161D52-841B-420C-B2B9-D36EC32D2B5F}" cxnId="{95E14200-0C27-47B3-A1C8-23DBE36216B6}" type="sibTrans">
      <dgm:prSet/>
      <dgm:spPr/>
      <dgm:t>
        <a:bodyPr/>
        <a:p>
          <a:endParaRPr lang="zh-CN" altLang="en-US"/>
        </a:p>
      </dgm:t>
    </dgm:pt>
    <dgm:pt modelId="{D872C82C-3366-4258-8644-D69FCBA3BD9C}">
      <dgm:prSet/>
      <dgm:spPr/>
      <dgm:t>
        <a:bodyPr/>
        <a:p>
          <a:r>
            <a:rPr lang="zh-CN"/>
            <a:t>质检部</a:t>
          </a:r>
        </a:p>
      </dgm:t>
    </dgm:pt>
    <dgm:pt modelId="{467A9FB3-6154-459E-8A42-DE320E6C039F}" cxnId="{598896F1-B8F2-4E77-9FE3-7F6AA3249078}" type="parTrans">
      <dgm:prSet/>
      <dgm:spPr/>
      <dgm:t>
        <a:bodyPr/>
        <a:p>
          <a:endParaRPr lang="zh-CN" altLang="en-US"/>
        </a:p>
      </dgm:t>
    </dgm:pt>
    <dgm:pt modelId="{D44833EA-3ABA-4FC1-9A76-73896081A13D}" cxnId="{598896F1-B8F2-4E77-9FE3-7F6AA3249078}" type="sibTrans">
      <dgm:prSet/>
      <dgm:spPr/>
      <dgm:t>
        <a:bodyPr/>
        <a:p>
          <a:endParaRPr lang="zh-CN" altLang="en-US"/>
        </a:p>
      </dgm:t>
    </dgm:pt>
    <dgm:pt modelId="{A024EBF9-1B11-4AD1-A644-1FC00294EC21}">
      <dgm:prSet/>
      <dgm:spPr/>
      <dgm:t>
        <a:bodyPr/>
        <a:p>
          <a:r>
            <a:rPr lang="zh-CN"/>
            <a:t>运输部</a:t>
          </a:r>
        </a:p>
      </dgm:t>
    </dgm:pt>
    <dgm:pt modelId="{016C9DC9-6B31-429F-9667-A33A39648EA3}" cxnId="{581421B2-D5E0-4F52-BDE6-BE9408FBF37B}" type="parTrans">
      <dgm:prSet/>
      <dgm:spPr/>
      <dgm:t>
        <a:bodyPr/>
        <a:p>
          <a:endParaRPr lang="zh-CN" altLang="en-US"/>
        </a:p>
      </dgm:t>
    </dgm:pt>
    <dgm:pt modelId="{2B30693E-8BD4-452F-9E14-43F13AF1670F}" cxnId="{581421B2-D5E0-4F52-BDE6-BE9408FBF37B}" type="sibTrans">
      <dgm:prSet/>
      <dgm:spPr/>
      <dgm:t>
        <a:bodyPr/>
        <a:p>
          <a:endParaRPr lang="zh-CN" altLang="en-US"/>
        </a:p>
      </dgm:t>
    </dgm:pt>
    <dgm:pt modelId="{D29A6EAF-7153-40D1-9B09-2AF23CC67626}" type="pres">
      <dgm:prSet presAssocID="{E68F2755-3C96-4065-AA8E-41095FE34092}" presName="hierChild1" presStyleCnt="0">
        <dgm:presLayoutVars>
          <dgm:chPref val="1"/>
          <dgm:dir/>
          <dgm:animOne val="branch"/>
          <dgm:animLvl val="lvl"/>
          <dgm:resizeHandles/>
        </dgm:presLayoutVars>
      </dgm:prSet>
      <dgm:spPr/>
    </dgm:pt>
    <dgm:pt modelId="{B4BC1F66-F08F-4251-B84A-E26F60F76921}" type="pres">
      <dgm:prSet presAssocID="{3487DBA4-82DC-4246-ADA7-6604E8B50A03}" presName="hierRoot1" presStyleCnt="0"/>
      <dgm:spPr/>
    </dgm:pt>
    <dgm:pt modelId="{1C83FDC0-8A45-4046-9542-6E013742A54F}" type="pres">
      <dgm:prSet presAssocID="{3487DBA4-82DC-4246-ADA7-6604E8B50A03}" presName="composite" presStyleCnt="0"/>
      <dgm:spPr/>
    </dgm:pt>
    <dgm:pt modelId="{10FE37C3-CDB0-42E9-BF2E-740C6D3D058F}" type="pres">
      <dgm:prSet presAssocID="{3487DBA4-82DC-4246-ADA7-6604E8B50A03}" presName="background" presStyleLbl="node0" presStyleIdx="0" presStyleCnt="1"/>
      <dgm:spPr/>
    </dgm:pt>
    <dgm:pt modelId="{A63398A2-E068-476E-AF56-CAF59604892F}" type="pres">
      <dgm:prSet presAssocID="{3487DBA4-82DC-4246-ADA7-6604E8B50A03}" presName="text" presStyleLbl="fgAcc0" presStyleIdx="0" presStyleCnt="1">
        <dgm:presLayoutVars>
          <dgm:chPref val="3"/>
        </dgm:presLayoutVars>
      </dgm:prSet>
      <dgm:spPr/>
    </dgm:pt>
    <dgm:pt modelId="{94EF4E15-7AC5-4A56-A037-5B50BEFACF0A}" type="pres">
      <dgm:prSet presAssocID="{3487DBA4-82DC-4246-ADA7-6604E8B50A03}" presName="hierChild2" presStyleCnt="0"/>
      <dgm:spPr/>
    </dgm:pt>
    <dgm:pt modelId="{C3B0D1AB-BFB0-4691-8ADF-3B67FD279A18}" type="pres">
      <dgm:prSet presAssocID="{873A558C-5F05-4F0C-BA2C-2CB905678B0F}" presName="Name10" presStyleLbl="parChTrans1D2" presStyleIdx="0" presStyleCnt="1"/>
      <dgm:spPr/>
    </dgm:pt>
    <dgm:pt modelId="{08ABCBEE-6F0A-4032-8CB3-E7B5640B6361}" type="pres">
      <dgm:prSet presAssocID="{28007C1D-CA17-4C63-B7C6-9066D095261C}" presName="hierRoot2" presStyleCnt="0"/>
      <dgm:spPr/>
    </dgm:pt>
    <dgm:pt modelId="{3CF21919-AD2B-4230-8743-E100B7822F81}" type="pres">
      <dgm:prSet presAssocID="{28007C1D-CA17-4C63-B7C6-9066D095261C}" presName="composite2" presStyleCnt="0"/>
      <dgm:spPr/>
    </dgm:pt>
    <dgm:pt modelId="{1A1E8C60-6021-4FCD-B698-BFB98171D93A}" type="pres">
      <dgm:prSet presAssocID="{28007C1D-CA17-4C63-B7C6-9066D095261C}" presName="background2" presStyleLbl="node2" presStyleIdx="0" presStyleCnt="1"/>
      <dgm:spPr/>
    </dgm:pt>
    <dgm:pt modelId="{A4F6FD90-C454-4DDE-A21A-A76BB9C1A7F7}" type="pres">
      <dgm:prSet presAssocID="{28007C1D-CA17-4C63-B7C6-9066D095261C}" presName="text2" presStyleLbl="fgAcc2" presStyleIdx="0" presStyleCnt="1">
        <dgm:presLayoutVars>
          <dgm:chPref val="3"/>
        </dgm:presLayoutVars>
      </dgm:prSet>
      <dgm:spPr/>
    </dgm:pt>
    <dgm:pt modelId="{5590247E-9C2A-4346-B406-4A2EA3EB636C}" type="pres">
      <dgm:prSet presAssocID="{28007C1D-CA17-4C63-B7C6-9066D095261C}" presName="hierChild3" presStyleCnt="0"/>
      <dgm:spPr/>
    </dgm:pt>
    <dgm:pt modelId="{00101B43-EBB3-4A02-AB8E-6BC165A7B94C}" type="pres">
      <dgm:prSet presAssocID="{1BA82431-5FCE-4C74-BC14-BBFCEAC561E8}" presName="Name17" presStyleLbl="parChTrans1D3" presStyleIdx="0" presStyleCnt="5"/>
      <dgm:spPr/>
    </dgm:pt>
    <dgm:pt modelId="{C4E42575-7375-4ACC-8454-90F0A354005D}" type="pres">
      <dgm:prSet presAssocID="{720F8C4B-9665-4081-9916-A03314B8EAB6}" presName="hierRoot3" presStyleCnt="0"/>
      <dgm:spPr/>
    </dgm:pt>
    <dgm:pt modelId="{A5481F49-24A8-4EDB-B76F-1E5E6FB7E6BA}" type="pres">
      <dgm:prSet presAssocID="{720F8C4B-9665-4081-9916-A03314B8EAB6}" presName="composite3" presStyleCnt="0"/>
      <dgm:spPr/>
    </dgm:pt>
    <dgm:pt modelId="{D134B57B-3118-4BFC-95E3-1296619DF9B3}" type="pres">
      <dgm:prSet presAssocID="{720F8C4B-9665-4081-9916-A03314B8EAB6}" presName="background3" presStyleLbl="node3" presStyleIdx="0" presStyleCnt="5"/>
      <dgm:spPr/>
    </dgm:pt>
    <dgm:pt modelId="{93EB5617-6B19-4EFB-8D4F-57362B2E8196}" type="pres">
      <dgm:prSet presAssocID="{720F8C4B-9665-4081-9916-A03314B8EAB6}" presName="text3" presStyleLbl="fgAcc3" presStyleIdx="0" presStyleCnt="5">
        <dgm:presLayoutVars>
          <dgm:chPref val="3"/>
        </dgm:presLayoutVars>
      </dgm:prSet>
      <dgm:spPr/>
    </dgm:pt>
    <dgm:pt modelId="{66E806A0-B060-4A78-B660-31FF8F2EE8B3}" type="pres">
      <dgm:prSet presAssocID="{720F8C4B-9665-4081-9916-A03314B8EAB6}" presName="hierChild4" presStyleCnt="0"/>
      <dgm:spPr/>
    </dgm:pt>
    <dgm:pt modelId="{E752F894-3B5F-4551-8C6C-98EB486331C4}" type="pres">
      <dgm:prSet presAssocID="{602A0A06-AC0E-489A-9C8B-7D4BB9B8B6FC}" presName="Name17" presStyleLbl="parChTrans1D3" presStyleIdx="1" presStyleCnt="5"/>
      <dgm:spPr/>
    </dgm:pt>
    <dgm:pt modelId="{6F80F419-31DF-4531-A1FD-A028C835B770}" type="pres">
      <dgm:prSet presAssocID="{BCEE9A97-65CF-490B-B408-528217F787CC}" presName="hierRoot3" presStyleCnt="0"/>
      <dgm:spPr/>
    </dgm:pt>
    <dgm:pt modelId="{7B55B49A-F325-4E3D-8344-AADBCE00D900}" type="pres">
      <dgm:prSet presAssocID="{BCEE9A97-65CF-490B-B408-528217F787CC}" presName="composite3" presStyleCnt="0"/>
      <dgm:spPr/>
    </dgm:pt>
    <dgm:pt modelId="{8CC0EF72-43D4-47C3-9C62-4D480F00B30B}" type="pres">
      <dgm:prSet presAssocID="{BCEE9A97-65CF-490B-B408-528217F787CC}" presName="background3" presStyleLbl="node3" presStyleIdx="1" presStyleCnt="5"/>
      <dgm:spPr/>
    </dgm:pt>
    <dgm:pt modelId="{1EDF03ED-D928-41B8-945C-AEFB0D95FF02}" type="pres">
      <dgm:prSet presAssocID="{BCEE9A97-65CF-490B-B408-528217F787CC}" presName="text3" presStyleLbl="fgAcc3" presStyleIdx="1" presStyleCnt="5">
        <dgm:presLayoutVars>
          <dgm:chPref val="3"/>
        </dgm:presLayoutVars>
      </dgm:prSet>
      <dgm:spPr/>
    </dgm:pt>
    <dgm:pt modelId="{044CBE79-85AD-475D-A3F4-A2CE055286C5}" type="pres">
      <dgm:prSet presAssocID="{BCEE9A97-65CF-490B-B408-528217F787CC}" presName="hierChild4" presStyleCnt="0"/>
      <dgm:spPr/>
    </dgm:pt>
    <dgm:pt modelId="{BAE9FFE9-318E-4EF6-A360-F46EBF9055AD}" type="pres">
      <dgm:prSet presAssocID="{BA63DEAD-D106-4148-8093-B5A55378C0BC}" presName="Name17" presStyleLbl="parChTrans1D3" presStyleIdx="2" presStyleCnt="5"/>
      <dgm:spPr/>
    </dgm:pt>
    <dgm:pt modelId="{CB9739F2-8518-4F67-8BA3-FB7BE0042BE5}" type="pres">
      <dgm:prSet presAssocID="{DEF00F22-6B5B-4F4C-91C2-D6567862F9AD}" presName="hierRoot3" presStyleCnt="0"/>
      <dgm:spPr/>
    </dgm:pt>
    <dgm:pt modelId="{3CDAF138-3AD2-4798-9CF1-6B271C4071E2}" type="pres">
      <dgm:prSet presAssocID="{DEF00F22-6B5B-4F4C-91C2-D6567862F9AD}" presName="composite3" presStyleCnt="0"/>
      <dgm:spPr/>
    </dgm:pt>
    <dgm:pt modelId="{A0B7525D-238E-4B06-82BA-7CCD51CAFA80}" type="pres">
      <dgm:prSet presAssocID="{DEF00F22-6B5B-4F4C-91C2-D6567862F9AD}" presName="background3" presStyleLbl="node3" presStyleIdx="2" presStyleCnt="5"/>
      <dgm:spPr/>
    </dgm:pt>
    <dgm:pt modelId="{5267438D-A5A1-4C97-ADFF-2BC9607D5E62}" type="pres">
      <dgm:prSet presAssocID="{DEF00F22-6B5B-4F4C-91C2-D6567862F9AD}" presName="text3" presStyleLbl="fgAcc3" presStyleIdx="2" presStyleCnt="5">
        <dgm:presLayoutVars>
          <dgm:chPref val="3"/>
        </dgm:presLayoutVars>
      </dgm:prSet>
      <dgm:spPr/>
    </dgm:pt>
    <dgm:pt modelId="{9F197DA3-BA16-4DD8-8E42-92A8E1491F2A}" type="pres">
      <dgm:prSet presAssocID="{DEF00F22-6B5B-4F4C-91C2-D6567862F9AD}" presName="hierChild4" presStyleCnt="0"/>
      <dgm:spPr/>
    </dgm:pt>
    <dgm:pt modelId="{F277A14B-EFBF-42B0-8C2B-7313A2C6663C}" type="pres">
      <dgm:prSet presAssocID="{467A9FB3-6154-459E-8A42-DE320E6C039F}" presName="Name17" presStyleLbl="parChTrans1D3" presStyleIdx="3" presStyleCnt="5"/>
      <dgm:spPr/>
    </dgm:pt>
    <dgm:pt modelId="{D56D5F61-9C05-4774-A0E7-F0433040F487}" type="pres">
      <dgm:prSet presAssocID="{D872C82C-3366-4258-8644-D69FCBA3BD9C}" presName="hierRoot3" presStyleCnt="0"/>
      <dgm:spPr/>
    </dgm:pt>
    <dgm:pt modelId="{7F229D37-BE07-414E-8161-C3002A6ACB4C}" type="pres">
      <dgm:prSet presAssocID="{D872C82C-3366-4258-8644-D69FCBA3BD9C}" presName="composite3" presStyleCnt="0"/>
      <dgm:spPr/>
    </dgm:pt>
    <dgm:pt modelId="{A20717C0-8165-4857-AA0A-54EA3E6D9EF7}" type="pres">
      <dgm:prSet presAssocID="{D872C82C-3366-4258-8644-D69FCBA3BD9C}" presName="background3" presStyleLbl="node3" presStyleIdx="3" presStyleCnt="5"/>
      <dgm:spPr/>
    </dgm:pt>
    <dgm:pt modelId="{9A5C7120-B9B6-443F-B667-C0F9B1E413AB}" type="pres">
      <dgm:prSet presAssocID="{D872C82C-3366-4258-8644-D69FCBA3BD9C}" presName="text3" presStyleLbl="fgAcc3" presStyleIdx="3" presStyleCnt="5">
        <dgm:presLayoutVars>
          <dgm:chPref val="3"/>
        </dgm:presLayoutVars>
      </dgm:prSet>
      <dgm:spPr/>
    </dgm:pt>
    <dgm:pt modelId="{6864EBFE-83CD-4DD3-9DB5-9033FDAB79A8}" type="pres">
      <dgm:prSet presAssocID="{D872C82C-3366-4258-8644-D69FCBA3BD9C}" presName="hierChild4" presStyleCnt="0"/>
      <dgm:spPr/>
    </dgm:pt>
    <dgm:pt modelId="{0BD236FA-7BA0-4DB4-9D23-83795227FA8F}" type="pres">
      <dgm:prSet presAssocID="{016C9DC9-6B31-429F-9667-A33A39648EA3}" presName="Name17" presStyleLbl="parChTrans1D3" presStyleIdx="4" presStyleCnt="5"/>
      <dgm:spPr/>
    </dgm:pt>
    <dgm:pt modelId="{AA89E0A3-288C-4EF4-A197-D3D06D38BBA4}" type="pres">
      <dgm:prSet presAssocID="{A024EBF9-1B11-4AD1-A644-1FC00294EC21}" presName="hierRoot3" presStyleCnt="0"/>
      <dgm:spPr/>
    </dgm:pt>
    <dgm:pt modelId="{115C6AF3-1D01-420A-8334-37BEB69DF44E}" type="pres">
      <dgm:prSet presAssocID="{A024EBF9-1B11-4AD1-A644-1FC00294EC21}" presName="composite3" presStyleCnt="0"/>
      <dgm:spPr/>
    </dgm:pt>
    <dgm:pt modelId="{8E893DDC-0FF3-44B3-89B0-AFC8E9082142}" type="pres">
      <dgm:prSet presAssocID="{A024EBF9-1B11-4AD1-A644-1FC00294EC21}" presName="background3" presStyleLbl="node3" presStyleIdx="4" presStyleCnt="5"/>
      <dgm:spPr/>
    </dgm:pt>
    <dgm:pt modelId="{ABA3859E-3FE4-466E-B51A-3AE3BBE90886}" type="pres">
      <dgm:prSet presAssocID="{A024EBF9-1B11-4AD1-A644-1FC00294EC21}" presName="text3" presStyleLbl="fgAcc3" presStyleIdx="4" presStyleCnt="5">
        <dgm:presLayoutVars>
          <dgm:chPref val="3"/>
        </dgm:presLayoutVars>
      </dgm:prSet>
      <dgm:spPr/>
    </dgm:pt>
    <dgm:pt modelId="{4CCE0602-789A-42D7-9908-6CC739ACC105}" type="pres">
      <dgm:prSet presAssocID="{A024EBF9-1B11-4AD1-A644-1FC00294EC21}" presName="hierChild4" presStyleCnt="0"/>
      <dgm:spPr/>
    </dgm:pt>
  </dgm:ptLst>
  <dgm:cxnLst>
    <dgm:cxn modelId="{95E14200-0C27-47B3-A1C8-23DBE36216B6}" srcId="{28007C1D-CA17-4C63-B7C6-9066D095261C}" destId="{DEF00F22-6B5B-4F4C-91C2-D6567862F9AD}" srcOrd="2" destOrd="0" parTransId="{BA63DEAD-D106-4148-8093-B5A55378C0BC}" sibTransId="{70161D52-841B-420C-B2B9-D36EC32D2B5F}"/>
    <dgm:cxn modelId="{C8367A0E-1C50-4E8D-AA35-644F89D93EAF}" type="presOf" srcId="{BA63DEAD-D106-4148-8093-B5A55378C0BC}" destId="{BAE9FFE9-318E-4EF6-A360-F46EBF9055AD}" srcOrd="0" destOrd="0" presId="urn:microsoft.com/office/officeart/2005/8/layout/hierarchy1#3"/>
    <dgm:cxn modelId="{8F66BB1E-2BEA-4550-BD9E-91BD4BC3FE7E}" type="presOf" srcId="{3487DBA4-82DC-4246-ADA7-6604E8B50A03}" destId="{A63398A2-E068-476E-AF56-CAF59604892F}" srcOrd="0" destOrd="0" presId="urn:microsoft.com/office/officeart/2005/8/layout/hierarchy1#3"/>
    <dgm:cxn modelId="{73EF6F24-71C8-40F3-BAE0-491F2A9D1069}" type="presOf" srcId="{467A9FB3-6154-459E-8A42-DE320E6C039F}" destId="{F277A14B-EFBF-42B0-8C2B-7313A2C6663C}" srcOrd="0" destOrd="0" presId="urn:microsoft.com/office/officeart/2005/8/layout/hierarchy1#3"/>
    <dgm:cxn modelId="{E523B728-2D32-4D9B-8BB4-2291A8547D9E}" type="presOf" srcId="{BCEE9A97-65CF-490B-B408-528217F787CC}" destId="{1EDF03ED-D928-41B8-945C-AEFB0D95FF02}" srcOrd="0" destOrd="0" presId="urn:microsoft.com/office/officeart/2005/8/layout/hierarchy1#3"/>
    <dgm:cxn modelId="{A7AD3D3B-7AF1-4358-A9DE-0B4397E7D88F}" srcId="{3487DBA4-82DC-4246-ADA7-6604E8B50A03}" destId="{28007C1D-CA17-4C63-B7C6-9066D095261C}" srcOrd="0" destOrd="0" parTransId="{873A558C-5F05-4F0C-BA2C-2CB905678B0F}" sibTransId="{B39FEC17-2A6E-41C3-AAC6-B9140FCE5BAD}"/>
    <dgm:cxn modelId="{01EDFB60-0885-4E3C-AAAE-122DE1FACC96}" type="presOf" srcId="{873A558C-5F05-4F0C-BA2C-2CB905678B0F}" destId="{C3B0D1AB-BFB0-4691-8ADF-3B67FD279A18}" srcOrd="0" destOrd="0" presId="urn:microsoft.com/office/officeart/2005/8/layout/hierarchy1#3"/>
    <dgm:cxn modelId="{75C2F966-7E0F-4D47-BB30-8F69594980A1}" type="presOf" srcId="{D872C82C-3366-4258-8644-D69FCBA3BD9C}" destId="{9A5C7120-B9B6-443F-B667-C0F9B1E413AB}" srcOrd="0" destOrd="0" presId="urn:microsoft.com/office/officeart/2005/8/layout/hierarchy1#3"/>
    <dgm:cxn modelId="{40C8636C-9CA5-44DD-9876-57D5D48FB062}" srcId="{E68F2755-3C96-4065-AA8E-41095FE34092}" destId="{3487DBA4-82DC-4246-ADA7-6604E8B50A03}" srcOrd="0" destOrd="0" parTransId="{81C152C6-DA09-4E0F-B967-BE503A81FFEE}" sibTransId="{DDFC0C0A-AC67-4F98-90E0-7F132A3FD6A6}"/>
    <dgm:cxn modelId="{DE0A6C87-CD38-405B-9407-8B387C788A11}" type="presOf" srcId="{E68F2755-3C96-4065-AA8E-41095FE34092}" destId="{D29A6EAF-7153-40D1-9B09-2AF23CC67626}" srcOrd="0" destOrd="0" presId="urn:microsoft.com/office/officeart/2005/8/layout/hierarchy1#3"/>
    <dgm:cxn modelId="{357AEC99-9810-49EC-8AEA-93B270D47325}" srcId="{28007C1D-CA17-4C63-B7C6-9066D095261C}" destId="{BCEE9A97-65CF-490B-B408-528217F787CC}" srcOrd="1" destOrd="0" parTransId="{602A0A06-AC0E-489A-9C8B-7D4BB9B8B6FC}" sibTransId="{1C30B412-C808-411F-9E2B-039E77827EBF}"/>
    <dgm:cxn modelId="{581421B2-D5E0-4F52-BDE6-BE9408FBF37B}" srcId="{28007C1D-CA17-4C63-B7C6-9066D095261C}" destId="{A024EBF9-1B11-4AD1-A644-1FC00294EC21}" srcOrd="4" destOrd="0" parTransId="{016C9DC9-6B31-429F-9667-A33A39648EA3}" sibTransId="{2B30693E-8BD4-452F-9E14-43F13AF1670F}"/>
    <dgm:cxn modelId="{7ACC7AB9-287B-4B42-BA59-DFF3123FBD73}" type="presOf" srcId="{28007C1D-CA17-4C63-B7C6-9066D095261C}" destId="{A4F6FD90-C454-4DDE-A21A-A76BB9C1A7F7}" srcOrd="0" destOrd="0" presId="urn:microsoft.com/office/officeart/2005/8/layout/hierarchy1#3"/>
    <dgm:cxn modelId="{E4F465C5-41EA-4A33-AE77-42FD4A5A069B}" type="presOf" srcId="{602A0A06-AC0E-489A-9C8B-7D4BB9B8B6FC}" destId="{E752F894-3B5F-4551-8C6C-98EB486331C4}" srcOrd="0" destOrd="0" presId="urn:microsoft.com/office/officeart/2005/8/layout/hierarchy1#3"/>
    <dgm:cxn modelId="{BA3043D3-D23C-4E8C-A976-5A7FD32E5C09}" type="presOf" srcId="{DEF00F22-6B5B-4F4C-91C2-D6567862F9AD}" destId="{5267438D-A5A1-4C97-ADFF-2BC9607D5E62}" srcOrd="0" destOrd="0" presId="urn:microsoft.com/office/officeart/2005/8/layout/hierarchy1#3"/>
    <dgm:cxn modelId="{60DE04E4-E0A3-43F1-813F-E6552CBE95ED}" type="presOf" srcId="{720F8C4B-9665-4081-9916-A03314B8EAB6}" destId="{93EB5617-6B19-4EFB-8D4F-57362B2E8196}" srcOrd="0" destOrd="0" presId="urn:microsoft.com/office/officeart/2005/8/layout/hierarchy1#3"/>
    <dgm:cxn modelId="{8D34DCE4-B014-4CF0-9D03-E00F8D52102A}" srcId="{28007C1D-CA17-4C63-B7C6-9066D095261C}" destId="{720F8C4B-9665-4081-9916-A03314B8EAB6}" srcOrd="0" destOrd="0" parTransId="{1BA82431-5FCE-4C74-BC14-BBFCEAC561E8}" sibTransId="{28BD3F7D-CEBB-486A-B8F2-69D9E8D6295C}"/>
    <dgm:cxn modelId="{F22912E6-05A9-4BB6-9FA3-02B0B317C7B7}" type="presOf" srcId="{016C9DC9-6B31-429F-9667-A33A39648EA3}" destId="{0BD236FA-7BA0-4DB4-9D23-83795227FA8F}" srcOrd="0" destOrd="0" presId="urn:microsoft.com/office/officeart/2005/8/layout/hierarchy1#3"/>
    <dgm:cxn modelId="{598896F1-B8F2-4E77-9FE3-7F6AA3249078}" srcId="{28007C1D-CA17-4C63-B7C6-9066D095261C}" destId="{D872C82C-3366-4258-8644-D69FCBA3BD9C}" srcOrd="3" destOrd="0" parTransId="{467A9FB3-6154-459E-8A42-DE320E6C039F}" sibTransId="{D44833EA-3ABA-4FC1-9A76-73896081A13D}"/>
    <dgm:cxn modelId="{03ADE6F9-F4CF-47A0-BD24-21CC10201819}" type="presOf" srcId="{1BA82431-5FCE-4C74-BC14-BBFCEAC561E8}" destId="{00101B43-EBB3-4A02-AB8E-6BC165A7B94C}" srcOrd="0" destOrd="0" presId="urn:microsoft.com/office/officeart/2005/8/layout/hierarchy1#3"/>
    <dgm:cxn modelId="{51D034FB-C975-4C7A-B8FB-C2F0DFB6DC07}" type="presOf" srcId="{A024EBF9-1B11-4AD1-A644-1FC00294EC21}" destId="{ABA3859E-3FE4-466E-B51A-3AE3BBE90886}" srcOrd="0" destOrd="0" presId="urn:microsoft.com/office/officeart/2005/8/layout/hierarchy1#3"/>
    <dgm:cxn modelId="{253F980A-EDCF-48A6-9DE5-D61832CD14B2}" type="presParOf" srcId="{D29A6EAF-7153-40D1-9B09-2AF23CC67626}" destId="{B4BC1F66-F08F-4251-B84A-E26F60F76921}" srcOrd="0" destOrd="0" presId="urn:microsoft.com/office/officeart/2005/8/layout/hierarchy1#3"/>
    <dgm:cxn modelId="{C3AEE944-DD64-44D7-A6C3-80517D51703C}" type="presParOf" srcId="{B4BC1F66-F08F-4251-B84A-E26F60F76921}" destId="{1C83FDC0-8A45-4046-9542-6E013742A54F}" srcOrd="0" destOrd="0" presId="urn:microsoft.com/office/officeart/2005/8/layout/hierarchy1#3"/>
    <dgm:cxn modelId="{2CE78537-070F-40AF-8B05-033F87ED34A8}" type="presParOf" srcId="{1C83FDC0-8A45-4046-9542-6E013742A54F}" destId="{10FE37C3-CDB0-42E9-BF2E-740C6D3D058F}" srcOrd="0" destOrd="0" presId="urn:microsoft.com/office/officeart/2005/8/layout/hierarchy1#3"/>
    <dgm:cxn modelId="{8C3DD33B-D631-4763-A737-B932DD88E7AA}" type="presParOf" srcId="{1C83FDC0-8A45-4046-9542-6E013742A54F}" destId="{A63398A2-E068-476E-AF56-CAF59604892F}" srcOrd="1" destOrd="0" presId="urn:microsoft.com/office/officeart/2005/8/layout/hierarchy1#3"/>
    <dgm:cxn modelId="{DF882AD5-F074-486C-BA95-4F1B32773908}" type="presParOf" srcId="{B4BC1F66-F08F-4251-B84A-E26F60F76921}" destId="{94EF4E15-7AC5-4A56-A037-5B50BEFACF0A}" srcOrd="1" destOrd="0" presId="urn:microsoft.com/office/officeart/2005/8/layout/hierarchy1#3"/>
    <dgm:cxn modelId="{E9BC5086-AF44-4DAF-9FD9-A6B0B40E880D}" type="presParOf" srcId="{94EF4E15-7AC5-4A56-A037-5B50BEFACF0A}" destId="{C3B0D1AB-BFB0-4691-8ADF-3B67FD279A18}" srcOrd="0" destOrd="0" presId="urn:microsoft.com/office/officeart/2005/8/layout/hierarchy1#3"/>
    <dgm:cxn modelId="{5919A5F4-AA43-481B-8FD6-0CD92A8607F4}" type="presParOf" srcId="{94EF4E15-7AC5-4A56-A037-5B50BEFACF0A}" destId="{08ABCBEE-6F0A-4032-8CB3-E7B5640B6361}" srcOrd="1" destOrd="0" presId="urn:microsoft.com/office/officeart/2005/8/layout/hierarchy1#3"/>
    <dgm:cxn modelId="{A7C31454-69CA-4978-B85C-FC2D4411E227}" type="presParOf" srcId="{08ABCBEE-6F0A-4032-8CB3-E7B5640B6361}" destId="{3CF21919-AD2B-4230-8743-E100B7822F81}" srcOrd="0" destOrd="0" presId="urn:microsoft.com/office/officeart/2005/8/layout/hierarchy1#3"/>
    <dgm:cxn modelId="{8AB0BE64-3FD0-490D-8489-3EDA1EECB4DF}" type="presParOf" srcId="{3CF21919-AD2B-4230-8743-E100B7822F81}" destId="{1A1E8C60-6021-4FCD-B698-BFB98171D93A}" srcOrd="0" destOrd="0" presId="urn:microsoft.com/office/officeart/2005/8/layout/hierarchy1#3"/>
    <dgm:cxn modelId="{598E2FBD-1E0E-4F68-A018-053C3B623517}" type="presParOf" srcId="{3CF21919-AD2B-4230-8743-E100B7822F81}" destId="{A4F6FD90-C454-4DDE-A21A-A76BB9C1A7F7}" srcOrd="1" destOrd="0" presId="urn:microsoft.com/office/officeart/2005/8/layout/hierarchy1#3"/>
    <dgm:cxn modelId="{21E7EFE4-6F53-4CB2-AFC3-1AB4B2A3FAC4}" type="presParOf" srcId="{08ABCBEE-6F0A-4032-8CB3-E7B5640B6361}" destId="{5590247E-9C2A-4346-B406-4A2EA3EB636C}" srcOrd="1" destOrd="0" presId="urn:microsoft.com/office/officeart/2005/8/layout/hierarchy1#3"/>
    <dgm:cxn modelId="{6F416942-5789-4F81-BB55-EB4632B21DF2}" type="presParOf" srcId="{5590247E-9C2A-4346-B406-4A2EA3EB636C}" destId="{00101B43-EBB3-4A02-AB8E-6BC165A7B94C}" srcOrd="0" destOrd="0" presId="urn:microsoft.com/office/officeart/2005/8/layout/hierarchy1#3"/>
    <dgm:cxn modelId="{D2A8A88E-5B35-4E22-974B-2EE497A4AD8C}" type="presParOf" srcId="{5590247E-9C2A-4346-B406-4A2EA3EB636C}" destId="{C4E42575-7375-4ACC-8454-90F0A354005D}" srcOrd="1" destOrd="0" presId="urn:microsoft.com/office/officeart/2005/8/layout/hierarchy1#3"/>
    <dgm:cxn modelId="{879DA42E-E75C-44D6-B160-981C5FAFE0A4}" type="presParOf" srcId="{C4E42575-7375-4ACC-8454-90F0A354005D}" destId="{A5481F49-24A8-4EDB-B76F-1E5E6FB7E6BA}" srcOrd="0" destOrd="0" presId="urn:microsoft.com/office/officeart/2005/8/layout/hierarchy1#3"/>
    <dgm:cxn modelId="{007BFEED-F5C4-4431-BCA0-672360EE531B}" type="presParOf" srcId="{A5481F49-24A8-4EDB-B76F-1E5E6FB7E6BA}" destId="{D134B57B-3118-4BFC-95E3-1296619DF9B3}" srcOrd="0" destOrd="0" presId="urn:microsoft.com/office/officeart/2005/8/layout/hierarchy1#3"/>
    <dgm:cxn modelId="{7BD431E1-8FFA-4898-88F1-3857BE38670A}" type="presParOf" srcId="{A5481F49-24A8-4EDB-B76F-1E5E6FB7E6BA}" destId="{93EB5617-6B19-4EFB-8D4F-57362B2E8196}" srcOrd="1" destOrd="0" presId="urn:microsoft.com/office/officeart/2005/8/layout/hierarchy1#3"/>
    <dgm:cxn modelId="{27E9D087-3E77-4CED-A7E1-01AC1A4D15AF}" type="presParOf" srcId="{C4E42575-7375-4ACC-8454-90F0A354005D}" destId="{66E806A0-B060-4A78-B660-31FF8F2EE8B3}" srcOrd="1" destOrd="0" presId="urn:microsoft.com/office/officeart/2005/8/layout/hierarchy1#3"/>
    <dgm:cxn modelId="{71BF7519-62C0-4D12-B742-73B7499F01E4}" type="presParOf" srcId="{5590247E-9C2A-4346-B406-4A2EA3EB636C}" destId="{E752F894-3B5F-4551-8C6C-98EB486331C4}" srcOrd="2" destOrd="0" presId="urn:microsoft.com/office/officeart/2005/8/layout/hierarchy1#3"/>
    <dgm:cxn modelId="{FE010A7C-378E-4120-8890-463BF0D047B4}" type="presParOf" srcId="{5590247E-9C2A-4346-B406-4A2EA3EB636C}" destId="{6F80F419-31DF-4531-A1FD-A028C835B770}" srcOrd="3" destOrd="0" presId="urn:microsoft.com/office/officeart/2005/8/layout/hierarchy1#3"/>
    <dgm:cxn modelId="{C224DB87-D548-45CB-BB53-1BD7ECEA6C22}" type="presParOf" srcId="{6F80F419-31DF-4531-A1FD-A028C835B770}" destId="{7B55B49A-F325-4E3D-8344-AADBCE00D900}" srcOrd="0" destOrd="0" presId="urn:microsoft.com/office/officeart/2005/8/layout/hierarchy1#3"/>
    <dgm:cxn modelId="{BE6D6B42-E83F-4543-BB5F-D03356481914}" type="presParOf" srcId="{7B55B49A-F325-4E3D-8344-AADBCE00D900}" destId="{8CC0EF72-43D4-47C3-9C62-4D480F00B30B}" srcOrd="0" destOrd="0" presId="urn:microsoft.com/office/officeart/2005/8/layout/hierarchy1#3"/>
    <dgm:cxn modelId="{91A113AD-EAC9-4227-B481-F669C04DBE41}" type="presParOf" srcId="{7B55B49A-F325-4E3D-8344-AADBCE00D900}" destId="{1EDF03ED-D928-41B8-945C-AEFB0D95FF02}" srcOrd="1" destOrd="0" presId="urn:microsoft.com/office/officeart/2005/8/layout/hierarchy1#3"/>
    <dgm:cxn modelId="{4BDCBF4F-F1D9-4E4A-BC81-FC9BE6E0ACD3}" type="presParOf" srcId="{6F80F419-31DF-4531-A1FD-A028C835B770}" destId="{044CBE79-85AD-475D-A3F4-A2CE055286C5}" srcOrd="1" destOrd="0" presId="urn:microsoft.com/office/officeart/2005/8/layout/hierarchy1#3"/>
    <dgm:cxn modelId="{54C96010-9DCB-4EB3-8F1D-7784E5903D9C}" type="presParOf" srcId="{5590247E-9C2A-4346-B406-4A2EA3EB636C}" destId="{BAE9FFE9-318E-4EF6-A360-F46EBF9055AD}" srcOrd="4" destOrd="0" presId="urn:microsoft.com/office/officeart/2005/8/layout/hierarchy1#3"/>
    <dgm:cxn modelId="{919616D9-C08C-4DB6-8766-5A258F963CB5}" type="presParOf" srcId="{5590247E-9C2A-4346-B406-4A2EA3EB636C}" destId="{CB9739F2-8518-4F67-8BA3-FB7BE0042BE5}" srcOrd="5" destOrd="0" presId="urn:microsoft.com/office/officeart/2005/8/layout/hierarchy1#3"/>
    <dgm:cxn modelId="{8F418C7E-C1BD-4892-8E57-A7F4E8600DFC}" type="presParOf" srcId="{CB9739F2-8518-4F67-8BA3-FB7BE0042BE5}" destId="{3CDAF138-3AD2-4798-9CF1-6B271C4071E2}" srcOrd="0" destOrd="0" presId="urn:microsoft.com/office/officeart/2005/8/layout/hierarchy1#3"/>
    <dgm:cxn modelId="{5212DC0D-F86A-46B8-B30A-6EA426675643}" type="presParOf" srcId="{3CDAF138-3AD2-4798-9CF1-6B271C4071E2}" destId="{A0B7525D-238E-4B06-82BA-7CCD51CAFA80}" srcOrd="0" destOrd="0" presId="urn:microsoft.com/office/officeart/2005/8/layout/hierarchy1#3"/>
    <dgm:cxn modelId="{89820D43-1027-4B68-9986-18A022868DE7}" type="presParOf" srcId="{3CDAF138-3AD2-4798-9CF1-6B271C4071E2}" destId="{5267438D-A5A1-4C97-ADFF-2BC9607D5E62}" srcOrd="1" destOrd="0" presId="urn:microsoft.com/office/officeart/2005/8/layout/hierarchy1#3"/>
    <dgm:cxn modelId="{B545FFEC-B863-41AA-89C7-A63965153AA3}" type="presParOf" srcId="{CB9739F2-8518-4F67-8BA3-FB7BE0042BE5}" destId="{9F197DA3-BA16-4DD8-8E42-92A8E1491F2A}" srcOrd="1" destOrd="0" presId="urn:microsoft.com/office/officeart/2005/8/layout/hierarchy1#3"/>
    <dgm:cxn modelId="{9D9D2E8D-1D6B-4E56-8632-13A9DB61F176}" type="presParOf" srcId="{5590247E-9C2A-4346-B406-4A2EA3EB636C}" destId="{F277A14B-EFBF-42B0-8C2B-7313A2C6663C}" srcOrd="6" destOrd="0" presId="urn:microsoft.com/office/officeart/2005/8/layout/hierarchy1#3"/>
    <dgm:cxn modelId="{14AA0FDF-7D01-424E-B61D-9AE6B8733303}" type="presParOf" srcId="{5590247E-9C2A-4346-B406-4A2EA3EB636C}" destId="{D56D5F61-9C05-4774-A0E7-F0433040F487}" srcOrd="7" destOrd="0" presId="urn:microsoft.com/office/officeart/2005/8/layout/hierarchy1#3"/>
    <dgm:cxn modelId="{67C09503-C217-4D0F-A27B-A27EA0E8C2BF}" type="presParOf" srcId="{D56D5F61-9C05-4774-A0E7-F0433040F487}" destId="{7F229D37-BE07-414E-8161-C3002A6ACB4C}" srcOrd="0" destOrd="0" presId="urn:microsoft.com/office/officeart/2005/8/layout/hierarchy1#3"/>
    <dgm:cxn modelId="{67E6BE22-5B42-4E94-BF04-33DEC898E7DF}" type="presParOf" srcId="{7F229D37-BE07-414E-8161-C3002A6ACB4C}" destId="{A20717C0-8165-4857-AA0A-54EA3E6D9EF7}" srcOrd="0" destOrd="0" presId="urn:microsoft.com/office/officeart/2005/8/layout/hierarchy1#3"/>
    <dgm:cxn modelId="{2D01C3FD-E408-428C-9EC4-C1DF4F362645}" type="presParOf" srcId="{7F229D37-BE07-414E-8161-C3002A6ACB4C}" destId="{9A5C7120-B9B6-443F-B667-C0F9B1E413AB}" srcOrd="1" destOrd="0" presId="urn:microsoft.com/office/officeart/2005/8/layout/hierarchy1#3"/>
    <dgm:cxn modelId="{E961BC73-C8CA-4205-996D-D00FB6C1175A}" type="presParOf" srcId="{D56D5F61-9C05-4774-A0E7-F0433040F487}" destId="{6864EBFE-83CD-4DD3-9DB5-9033FDAB79A8}" srcOrd="1" destOrd="0" presId="urn:microsoft.com/office/officeart/2005/8/layout/hierarchy1#3"/>
    <dgm:cxn modelId="{37C586AC-0CA7-422C-BE60-3253C40C6E9E}" type="presParOf" srcId="{5590247E-9C2A-4346-B406-4A2EA3EB636C}" destId="{0BD236FA-7BA0-4DB4-9D23-83795227FA8F}" srcOrd="8" destOrd="0" presId="urn:microsoft.com/office/officeart/2005/8/layout/hierarchy1#3"/>
    <dgm:cxn modelId="{8C509DD6-2862-431F-B500-4000C4788D4D}" type="presParOf" srcId="{5590247E-9C2A-4346-B406-4A2EA3EB636C}" destId="{AA89E0A3-288C-4EF4-A197-D3D06D38BBA4}" srcOrd="9" destOrd="0" presId="urn:microsoft.com/office/officeart/2005/8/layout/hierarchy1#3"/>
    <dgm:cxn modelId="{D6ACBCD3-20AC-4A19-955C-217946B643DD}" type="presParOf" srcId="{AA89E0A3-288C-4EF4-A197-D3D06D38BBA4}" destId="{115C6AF3-1D01-420A-8334-37BEB69DF44E}" srcOrd="0" destOrd="0" presId="urn:microsoft.com/office/officeart/2005/8/layout/hierarchy1#3"/>
    <dgm:cxn modelId="{2B3C54B5-2ECB-43F6-AC98-A002283A6C04}" type="presParOf" srcId="{115C6AF3-1D01-420A-8334-37BEB69DF44E}" destId="{8E893DDC-0FF3-44B3-89B0-AFC8E9082142}" srcOrd="0" destOrd="0" presId="urn:microsoft.com/office/officeart/2005/8/layout/hierarchy1#3"/>
    <dgm:cxn modelId="{F8845CE8-84E7-4AFB-AF6F-74217D54CA66}" type="presParOf" srcId="{115C6AF3-1D01-420A-8334-37BEB69DF44E}" destId="{ABA3859E-3FE4-466E-B51A-3AE3BBE90886}" srcOrd="1" destOrd="0" presId="urn:microsoft.com/office/officeart/2005/8/layout/hierarchy1#3"/>
    <dgm:cxn modelId="{E6AE2887-C946-469F-A633-8063CBBC646B}" type="presParOf" srcId="{AA89E0A3-288C-4EF4-A197-D3D06D38BBA4}" destId="{4CCE0602-789A-42D7-9908-6CC739ACC105}" srcOrd="1" destOrd="0" presId="urn:microsoft.com/office/officeart/2005/8/layout/hierarchy1#3"/>
  </dgm:cxnLst>
  <dgm:bg/>
  <dgm:whole/>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278120" cy="1818005"/>
        <a:chOff x="0" y="0"/>
        <a:chExt cx="5278120" cy="1818005"/>
      </a:xfrm>
    </dsp:grpSpPr>
    <dsp:sp modelId="{AE1DBD73-9C2C-401B-A5F6-744D3257FA90}">
      <dsp:nvSpPr>
        <dsp:cNvPr id="5" name="任意多边形 4"/>
        <dsp:cNvSpPr/>
      </dsp:nvSpPr>
      <dsp:spPr bwMode="white">
        <a:xfrm>
          <a:off x="365408" y="763956"/>
          <a:ext cx="2233051" cy="212952"/>
        </a:xfrm>
        <a:custGeom>
          <a:avLst/>
          <a:gdLst/>
          <a:ahLst/>
          <a:cxnLst/>
          <a:pathLst>
            <a:path w="3517" h="335">
              <a:moveTo>
                <a:pt x="3517" y="0"/>
              </a:moveTo>
              <a:lnTo>
                <a:pt x="3517" y="271"/>
              </a:lnTo>
              <a:lnTo>
                <a:pt x="0" y="271"/>
              </a:lnTo>
              <a:lnTo>
                <a:pt x="0" y="335"/>
              </a:lnTo>
            </a:path>
          </a:pathLst>
        </a:custGeom>
      </dsp:spPr>
      <dsp:style>
        <a:lnRef idx="2">
          <a:schemeClr val="accent4"/>
        </a:lnRef>
        <a:fillRef idx="0">
          <a:schemeClr val="accent2">
            <a:tint val="90000"/>
          </a:schemeClr>
        </a:fillRef>
        <a:effectRef idx="0">
          <a:scrgbClr r="0" g="0" b="0"/>
        </a:effectRef>
        <a:fontRef idx="minor"/>
      </dsp:style>
      <dsp:txXfrm>
        <a:off x="365408" y="763956"/>
        <a:ext cx="2233051" cy="212952"/>
      </dsp:txXfrm>
    </dsp:sp>
    <dsp:sp modelId="{AD665521-B088-4FB2-B870-8B6EAE234EDF}">
      <dsp:nvSpPr>
        <dsp:cNvPr id="8" name="任意多边形 7"/>
        <dsp:cNvSpPr/>
      </dsp:nvSpPr>
      <dsp:spPr bwMode="white">
        <a:xfrm>
          <a:off x="1258629" y="763956"/>
          <a:ext cx="1339830" cy="212952"/>
        </a:xfrm>
        <a:custGeom>
          <a:avLst/>
          <a:gdLst/>
          <a:ahLst/>
          <a:cxnLst/>
          <a:pathLst>
            <a:path w="2110" h="335">
              <a:moveTo>
                <a:pt x="2110" y="0"/>
              </a:moveTo>
              <a:lnTo>
                <a:pt x="2110" y="271"/>
              </a:lnTo>
              <a:lnTo>
                <a:pt x="0" y="271"/>
              </a:lnTo>
              <a:lnTo>
                <a:pt x="0" y="335"/>
              </a:lnTo>
            </a:path>
          </a:pathLst>
        </a:custGeom>
      </dsp:spPr>
      <dsp:style>
        <a:lnRef idx="2">
          <a:schemeClr val="accent4"/>
        </a:lnRef>
        <a:fillRef idx="0">
          <a:schemeClr val="accent2">
            <a:tint val="90000"/>
          </a:schemeClr>
        </a:fillRef>
        <a:effectRef idx="0">
          <a:scrgbClr r="0" g="0" b="0"/>
        </a:effectRef>
        <a:fontRef idx="minor"/>
      </dsp:style>
      <dsp:txXfrm>
        <a:off x="1258629" y="763956"/>
        <a:ext cx="1339830" cy="212952"/>
      </dsp:txXfrm>
    </dsp:sp>
    <dsp:sp modelId="{3261F6F6-5589-48D2-A7AF-6B07DBD72BDD}">
      <dsp:nvSpPr>
        <dsp:cNvPr id="11" name="任意多边形 10"/>
        <dsp:cNvSpPr/>
      </dsp:nvSpPr>
      <dsp:spPr bwMode="white">
        <a:xfrm>
          <a:off x="2151849" y="763956"/>
          <a:ext cx="446610" cy="212952"/>
        </a:xfrm>
        <a:custGeom>
          <a:avLst/>
          <a:gdLst/>
          <a:ahLst/>
          <a:cxnLst/>
          <a:pathLst>
            <a:path w="703" h="335">
              <a:moveTo>
                <a:pt x="703" y="0"/>
              </a:moveTo>
              <a:lnTo>
                <a:pt x="703" y="271"/>
              </a:lnTo>
              <a:lnTo>
                <a:pt x="0" y="271"/>
              </a:lnTo>
              <a:lnTo>
                <a:pt x="0" y="335"/>
              </a:lnTo>
            </a:path>
          </a:pathLst>
        </a:custGeom>
      </dsp:spPr>
      <dsp:style>
        <a:lnRef idx="2">
          <a:schemeClr val="accent4"/>
        </a:lnRef>
        <a:fillRef idx="0">
          <a:schemeClr val="accent2">
            <a:tint val="90000"/>
          </a:schemeClr>
        </a:fillRef>
        <a:effectRef idx="0">
          <a:scrgbClr r="0" g="0" b="0"/>
        </a:effectRef>
        <a:fontRef idx="minor"/>
      </dsp:style>
      <dsp:txXfrm>
        <a:off x="2151849" y="763956"/>
        <a:ext cx="446610" cy="212952"/>
      </dsp:txXfrm>
    </dsp:sp>
    <dsp:sp modelId="{B76493B1-6D5A-4F0C-BC71-CBCFCC7FEE82}">
      <dsp:nvSpPr>
        <dsp:cNvPr id="14" name="任意多边形 13"/>
        <dsp:cNvSpPr/>
      </dsp:nvSpPr>
      <dsp:spPr bwMode="white">
        <a:xfrm>
          <a:off x="2598459" y="763956"/>
          <a:ext cx="446610" cy="212952"/>
        </a:xfrm>
        <a:custGeom>
          <a:avLst/>
          <a:gdLst/>
          <a:ahLst/>
          <a:cxnLst/>
          <a:pathLst>
            <a:path w="703" h="335">
              <a:moveTo>
                <a:pt x="0" y="0"/>
              </a:moveTo>
              <a:lnTo>
                <a:pt x="0" y="271"/>
              </a:lnTo>
              <a:lnTo>
                <a:pt x="703" y="271"/>
              </a:lnTo>
              <a:lnTo>
                <a:pt x="703" y="335"/>
              </a:lnTo>
            </a:path>
          </a:pathLst>
        </a:custGeom>
      </dsp:spPr>
      <dsp:style>
        <a:lnRef idx="2">
          <a:schemeClr val="accent4"/>
        </a:lnRef>
        <a:fillRef idx="0">
          <a:schemeClr val="accent2">
            <a:tint val="90000"/>
          </a:schemeClr>
        </a:fillRef>
        <a:effectRef idx="0">
          <a:scrgbClr r="0" g="0" b="0"/>
        </a:effectRef>
        <a:fontRef idx="minor"/>
      </dsp:style>
      <dsp:txXfrm>
        <a:off x="2598459" y="763956"/>
        <a:ext cx="446610" cy="212952"/>
      </dsp:txXfrm>
    </dsp:sp>
    <dsp:sp modelId="{1E0A3DB5-B797-4E10-9E27-536F9140F0BC}">
      <dsp:nvSpPr>
        <dsp:cNvPr id="17" name="任意多边形 16"/>
        <dsp:cNvSpPr/>
      </dsp:nvSpPr>
      <dsp:spPr bwMode="white">
        <a:xfrm>
          <a:off x="2598459" y="763956"/>
          <a:ext cx="1339830" cy="212952"/>
        </a:xfrm>
        <a:custGeom>
          <a:avLst/>
          <a:gdLst/>
          <a:ahLst/>
          <a:cxnLst/>
          <a:pathLst>
            <a:path w="2110" h="335">
              <a:moveTo>
                <a:pt x="0" y="0"/>
              </a:moveTo>
              <a:lnTo>
                <a:pt x="0" y="271"/>
              </a:lnTo>
              <a:lnTo>
                <a:pt x="2110" y="271"/>
              </a:lnTo>
              <a:lnTo>
                <a:pt x="2110" y="335"/>
              </a:lnTo>
            </a:path>
          </a:pathLst>
        </a:custGeom>
      </dsp:spPr>
      <dsp:style>
        <a:lnRef idx="2">
          <a:schemeClr val="accent4"/>
        </a:lnRef>
        <a:fillRef idx="0">
          <a:schemeClr val="accent2">
            <a:tint val="90000"/>
          </a:schemeClr>
        </a:fillRef>
        <a:effectRef idx="0">
          <a:scrgbClr r="0" g="0" b="0"/>
        </a:effectRef>
        <a:fontRef idx="minor"/>
      </dsp:style>
      <dsp:txXfrm>
        <a:off x="2598459" y="763956"/>
        <a:ext cx="1339830" cy="212952"/>
      </dsp:txXfrm>
    </dsp:sp>
    <dsp:sp modelId="{B4E87755-22E1-418A-A308-518FE78D6DB3}">
      <dsp:nvSpPr>
        <dsp:cNvPr id="20" name="任意多边形 19"/>
        <dsp:cNvSpPr/>
      </dsp:nvSpPr>
      <dsp:spPr bwMode="white">
        <a:xfrm>
          <a:off x="2598459" y="763956"/>
          <a:ext cx="2233051" cy="212952"/>
        </a:xfrm>
        <a:custGeom>
          <a:avLst/>
          <a:gdLst/>
          <a:ahLst/>
          <a:cxnLst/>
          <a:pathLst>
            <a:path w="3517" h="335">
              <a:moveTo>
                <a:pt x="0" y="0"/>
              </a:moveTo>
              <a:lnTo>
                <a:pt x="0" y="271"/>
              </a:lnTo>
              <a:lnTo>
                <a:pt x="3517" y="271"/>
              </a:lnTo>
              <a:lnTo>
                <a:pt x="3517" y="335"/>
              </a:lnTo>
            </a:path>
          </a:pathLst>
        </a:custGeom>
      </dsp:spPr>
      <dsp:style>
        <a:lnRef idx="2">
          <a:schemeClr val="accent4"/>
        </a:lnRef>
        <a:fillRef idx="0">
          <a:schemeClr val="accent2">
            <a:tint val="90000"/>
          </a:schemeClr>
        </a:fillRef>
        <a:effectRef idx="0">
          <a:scrgbClr r="0" g="0" b="0"/>
        </a:effectRef>
        <a:fontRef idx="minor"/>
      </dsp:style>
      <dsp:txXfrm>
        <a:off x="2598459" y="763956"/>
        <a:ext cx="2233051" cy="212952"/>
      </dsp:txXfrm>
    </dsp:sp>
    <dsp:sp modelId="{56D1C601-2C93-4AA9-A4F7-CF2F41A3108D}">
      <dsp:nvSpPr>
        <dsp:cNvPr id="3" name="圆角矩形 2"/>
        <dsp:cNvSpPr/>
      </dsp:nvSpPr>
      <dsp:spPr bwMode="white">
        <a:xfrm>
          <a:off x="2233051" y="299887"/>
          <a:ext cx="730817" cy="464069"/>
        </a:xfrm>
        <a:prstGeom prst="roundRect">
          <a:avLst>
            <a:gd name="adj" fmla="val 10000"/>
          </a:avLst>
        </a:prstGeom>
      </dsp:spPr>
      <dsp:style>
        <a:lnRef idx="2">
          <a:schemeClr val="lt1"/>
        </a:lnRef>
        <a:fillRef idx="1">
          <a:schemeClr val="accent2"/>
        </a:fillRef>
        <a:effectRef idx="0">
          <a:scrgbClr r="0" g="0" b="0"/>
        </a:effectRef>
        <a:fontRef idx="minor">
          <a:schemeClr val="lt1"/>
        </a:fontRef>
      </dsp:style>
      <dsp:txXfrm>
        <a:off x="2233051" y="299887"/>
        <a:ext cx="730817" cy="464069"/>
      </dsp:txXfrm>
    </dsp:sp>
    <dsp:sp modelId="{16255E62-CE74-4EC7-9DD6-B071F7F1EB3D}">
      <dsp:nvSpPr>
        <dsp:cNvPr id="4" name="圆角矩形 3"/>
        <dsp:cNvSpPr/>
      </dsp:nvSpPr>
      <dsp:spPr bwMode="white">
        <a:xfrm>
          <a:off x="2314253" y="377029"/>
          <a:ext cx="730817" cy="464069"/>
        </a:xfrm>
        <a:prstGeom prst="roundRect">
          <a:avLst>
            <a:gd name="adj" fmla="val 10000"/>
          </a:avLst>
        </a:prstGeom>
      </dsp:spPr>
      <dsp:style>
        <a:lnRef idx="2">
          <a:schemeClr val="accent2"/>
        </a:lnRef>
        <a:fillRef idx="1">
          <a:schemeClr val="lt1">
            <a:alpha val="90000"/>
          </a:schemeClr>
        </a:fillRef>
        <a:effectRef idx="0">
          <a:scrgbClr r="0" g="0" b="0"/>
        </a:effectRef>
        <a:fontRef idx="minor"/>
      </dsp:style>
      <dsp:txBody>
        <a:bodyPr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zh-CN" altLang="en-US" sz="1200" b="1">
              <a:solidFill>
                <a:schemeClr val="dk1"/>
              </a:solidFill>
            </a:rPr>
            <a:t>项目负责人</a:t>
          </a:r>
          <a:endParaRPr lang="zh-CN" altLang="en-US" sz="1200">
            <a:solidFill>
              <a:schemeClr val="dk1"/>
            </a:solidFill>
          </a:endParaRPr>
        </a:p>
      </dsp:txBody>
      <dsp:txXfrm>
        <a:off x="2314253" y="377029"/>
        <a:ext cx="730817" cy="464069"/>
      </dsp:txXfrm>
    </dsp:sp>
    <dsp:sp modelId="{B93C9C78-6C51-4177-AFFC-496C969B2716}">
      <dsp:nvSpPr>
        <dsp:cNvPr id="6" name="圆角矩形 5"/>
        <dsp:cNvSpPr/>
      </dsp:nvSpPr>
      <dsp:spPr bwMode="white">
        <a:xfrm>
          <a:off x="0" y="976908"/>
          <a:ext cx="730817" cy="464069"/>
        </a:xfrm>
        <a:prstGeom prst="roundRect">
          <a:avLst>
            <a:gd name="adj" fmla="val 10000"/>
          </a:avLst>
        </a:prstGeom>
      </dsp:spPr>
      <dsp:style>
        <a:lnRef idx="2">
          <a:schemeClr val="lt1"/>
        </a:lnRef>
        <a:fillRef idx="1">
          <a:schemeClr val="accent4">
            <a:hueOff val="0"/>
            <a:satOff val="0"/>
            <a:lumOff val="0"/>
            <a:alpha val="100000"/>
          </a:schemeClr>
        </a:fillRef>
        <a:effectRef idx="0">
          <a:scrgbClr r="0" g="0" b="0"/>
        </a:effectRef>
        <a:fontRef idx="minor">
          <a:schemeClr val="lt1"/>
        </a:fontRef>
      </dsp:style>
      <dsp:txXfrm>
        <a:off x="0" y="976908"/>
        <a:ext cx="730817" cy="464069"/>
      </dsp:txXfrm>
    </dsp:sp>
    <dsp:sp modelId="{EF5A8C79-5A9C-4EE9-BA2C-9A7F03A0E2D9}">
      <dsp:nvSpPr>
        <dsp:cNvPr id="7" name="圆角矩形 6"/>
        <dsp:cNvSpPr/>
      </dsp:nvSpPr>
      <dsp:spPr bwMode="white">
        <a:xfrm>
          <a:off x="81202" y="1054049"/>
          <a:ext cx="730817" cy="464069"/>
        </a:xfrm>
        <a:prstGeom prst="roundRect">
          <a:avLst>
            <a:gd name="adj" fmla="val 10000"/>
          </a:avLst>
        </a:prstGeom>
      </dsp:spPr>
      <dsp:style>
        <a:lnRef idx="2">
          <a:schemeClr val="accent4">
            <a:hueOff val="0"/>
            <a:satOff val="0"/>
            <a:lumOff val="0"/>
            <a:alpha val="100000"/>
          </a:schemeClr>
        </a:lnRef>
        <a:fillRef idx="1">
          <a:schemeClr val="lt1">
            <a:alpha val="90000"/>
          </a:schemeClr>
        </a:fillRef>
        <a:effectRef idx="0">
          <a:scrgbClr r="0" g="0" b="0"/>
        </a:effectRef>
        <a:fontRef idx="minor"/>
      </dsp:style>
      <dsp:txBody>
        <a:bodyPr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zh-CN" altLang="en-US" sz="1200" b="1">
              <a:solidFill>
                <a:schemeClr val="dk1"/>
              </a:solidFill>
            </a:rPr>
            <a:t>客服专员</a:t>
          </a:r>
          <a:endParaRPr>
            <a:solidFill>
              <a:schemeClr val="dk1"/>
            </a:solidFill>
          </a:endParaRPr>
        </a:p>
      </dsp:txBody>
      <dsp:txXfrm>
        <a:off x="81202" y="1054049"/>
        <a:ext cx="730817" cy="464069"/>
      </dsp:txXfrm>
    </dsp:sp>
    <dsp:sp modelId="{A93CC859-0C4A-4B39-A27D-62078977A161}">
      <dsp:nvSpPr>
        <dsp:cNvPr id="9" name="圆角矩形 8"/>
        <dsp:cNvSpPr/>
      </dsp:nvSpPr>
      <dsp:spPr bwMode="white">
        <a:xfrm>
          <a:off x="893220" y="976908"/>
          <a:ext cx="730817" cy="464069"/>
        </a:xfrm>
        <a:prstGeom prst="roundRect">
          <a:avLst>
            <a:gd name="adj" fmla="val 10000"/>
          </a:avLst>
        </a:prstGeom>
      </dsp:spPr>
      <dsp:style>
        <a:lnRef idx="2">
          <a:schemeClr val="lt1"/>
        </a:lnRef>
        <a:fillRef idx="1">
          <a:schemeClr val="accent4">
            <a:hueOff val="0"/>
            <a:satOff val="0"/>
            <a:lumOff val="0"/>
            <a:alpha val="100000"/>
          </a:schemeClr>
        </a:fillRef>
        <a:effectRef idx="0">
          <a:scrgbClr r="0" g="0" b="0"/>
        </a:effectRef>
        <a:fontRef idx="minor">
          <a:schemeClr val="lt1"/>
        </a:fontRef>
      </dsp:style>
      <dsp:txXfrm>
        <a:off x="893220" y="976908"/>
        <a:ext cx="730817" cy="464069"/>
      </dsp:txXfrm>
    </dsp:sp>
    <dsp:sp modelId="{60F7B0B1-CD98-4E94-A7ED-5319E948663D}">
      <dsp:nvSpPr>
        <dsp:cNvPr id="10" name="圆角矩形 9"/>
        <dsp:cNvSpPr/>
      </dsp:nvSpPr>
      <dsp:spPr bwMode="white">
        <a:xfrm>
          <a:off x="974422" y="1054049"/>
          <a:ext cx="730817" cy="464069"/>
        </a:xfrm>
        <a:prstGeom prst="roundRect">
          <a:avLst>
            <a:gd name="adj" fmla="val 10000"/>
          </a:avLst>
        </a:prstGeom>
      </dsp:spPr>
      <dsp:style>
        <a:lnRef idx="2">
          <a:schemeClr val="accent4">
            <a:hueOff val="0"/>
            <a:satOff val="0"/>
            <a:lumOff val="0"/>
            <a:alpha val="100000"/>
          </a:schemeClr>
        </a:lnRef>
        <a:fillRef idx="1">
          <a:schemeClr val="lt1">
            <a:alpha val="90000"/>
          </a:schemeClr>
        </a:fillRef>
        <a:effectRef idx="0">
          <a:scrgbClr r="0" g="0" b="0"/>
        </a:effectRef>
        <a:fontRef idx="minor"/>
      </dsp:style>
      <dsp:txBody>
        <a:bodyPr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zh-CN" altLang="en-US" sz="1200" b="1">
              <a:solidFill>
                <a:schemeClr val="dk1"/>
              </a:solidFill>
            </a:rPr>
            <a:t>采购部</a:t>
          </a:r>
          <a:endParaRPr>
            <a:solidFill>
              <a:schemeClr val="dk1"/>
            </a:solidFill>
          </a:endParaRPr>
        </a:p>
      </dsp:txBody>
      <dsp:txXfrm>
        <a:off x="974422" y="1054049"/>
        <a:ext cx="730817" cy="464069"/>
      </dsp:txXfrm>
    </dsp:sp>
    <dsp:sp modelId="{79E97CB3-6101-49C6-A94D-E357D3AD6083}">
      <dsp:nvSpPr>
        <dsp:cNvPr id="12" name="圆角矩形 11"/>
        <dsp:cNvSpPr/>
      </dsp:nvSpPr>
      <dsp:spPr bwMode="white">
        <a:xfrm>
          <a:off x="1786441" y="976908"/>
          <a:ext cx="730817" cy="464069"/>
        </a:xfrm>
        <a:prstGeom prst="roundRect">
          <a:avLst>
            <a:gd name="adj" fmla="val 10000"/>
          </a:avLst>
        </a:prstGeom>
      </dsp:spPr>
      <dsp:style>
        <a:lnRef idx="2">
          <a:schemeClr val="lt1"/>
        </a:lnRef>
        <a:fillRef idx="1">
          <a:schemeClr val="accent4">
            <a:hueOff val="0"/>
            <a:satOff val="0"/>
            <a:lumOff val="0"/>
            <a:alpha val="100000"/>
          </a:schemeClr>
        </a:fillRef>
        <a:effectRef idx="0">
          <a:scrgbClr r="0" g="0" b="0"/>
        </a:effectRef>
        <a:fontRef idx="minor">
          <a:schemeClr val="lt1"/>
        </a:fontRef>
      </dsp:style>
      <dsp:txXfrm>
        <a:off x="1786441" y="976908"/>
        <a:ext cx="730817" cy="464069"/>
      </dsp:txXfrm>
    </dsp:sp>
    <dsp:sp modelId="{6FA440F1-E298-459D-A105-F0A344FFEAFF}">
      <dsp:nvSpPr>
        <dsp:cNvPr id="13" name="圆角矩形 12"/>
        <dsp:cNvSpPr/>
      </dsp:nvSpPr>
      <dsp:spPr bwMode="white">
        <a:xfrm>
          <a:off x="1867642" y="1054049"/>
          <a:ext cx="730817" cy="464069"/>
        </a:xfrm>
        <a:prstGeom prst="roundRect">
          <a:avLst>
            <a:gd name="adj" fmla="val 10000"/>
          </a:avLst>
        </a:prstGeom>
      </dsp:spPr>
      <dsp:style>
        <a:lnRef idx="2">
          <a:schemeClr val="accent4">
            <a:hueOff val="0"/>
            <a:satOff val="0"/>
            <a:lumOff val="0"/>
            <a:alpha val="100000"/>
          </a:schemeClr>
        </a:lnRef>
        <a:fillRef idx="1">
          <a:schemeClr val="lt1">
            <a:alpha val="90000"/>
          </a:schemeClr>
        </a:fillRef>
        <a:effectRef idx="0">
          <a:scrgbClr r="0" g="0" b="0"/>
        </a:effectRef>
        <a:fontRef idx="minor"/>
      </dsp:style>
      <dsp:txBody>
        <a:bodyPr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zh-CN" altLang="en-US" sz="1200" b="1">
              <a:solidFill>
                <a:schemeClr val="dk1"/>
              </a:solidFill>
            </a:rPr>
            <a:t>技术部</a:t>
          </a:r>
          <a:endParaRPr>
            <a:solidFill>
              <a:schemeClr val="dk1"/>
            </a:solidFill>
          </a:endParaRPr>
        </a:p>
      </dsp:txBody>
      <dsp:txXfrm>
        <a:off x="1867642" y="1054049"/>
        <a:ext cx="730817" cy="464069"/>
      </dsp:txXfrm>
    </dsp:sp>
    <dsp:sp modelId="{A34D984A-D386-4A55-B873-76B7436FE427}">
      <dsp:nvSpPr>
        <dsp:cNvPr id="15" name="圆角矩形 14"/>
        <dsp:cNvSpPr/>
      </dsp:nvSpPr>
      <dsp:spPr bwMode="white">
        <a:xfrm>
          <a:off x="2679661" y="976908"/>
          <a:ext cx="730817" cy="464069"/>
        </a:xfrm>
        <a:prstGeom prst="roundRect">
          <a:avLst>
            <a:gd name="adj" fmla="val 10000"/>
          </a:avLst>
        </a:prstGeom>
      </dsp:spPr>
      <dsp:style>
        <a:lnRef idx="2">
          <a:schemeClr val="lt1"/>
        </a:lnRef>
        <a:fillRef idx="1">
          <a:schemeClr val="accent4">
            <a:hueOff val="0"/>
            <a:satOff val="0"/>
            <a:lumOff val="0"/>
            <a:alpha val="100000"/>
          </a:schemeClr>
        </a:fillRef>
        <a:effectRef idx="0">
          <a:scrgbClr r="0" g="0" b="0"/>
        </a:effectRef>
        <a:fontRef idx="minor">
          <a:schemeClr val="lt1"/>
        </a:fontRef>
      </dsp:style>
      <dsp:txXfrm>
        <a:off x="2679661" y="976908"/>
        <a:ext cx="730817" cy="464069"/>
      </dsp:txXfrm>
    </dsp:sp>
    <dsp:sp modelId="{3669B6E0-BF71-434F-B14B-F3951B7B80A7}">
      <dsp:nvSpPr>
        <dsp:cNvPr id="16" name="圆角矩形 15"/>
        <dsp:cNvSpPr/>
      </dsp:nvSpPr>
      <dsp:spPr bwMode="white">
        <a:xfrm>
          <a:off x="2760863" y="1054049"/>
          <a:ext cx="730817" cy="464069"/>
        </a:xfrm>
        <a:prstGeom prst="roundRect">
          <a:avLst>
            <a:gd name="adj" fmla="val 10000"/>
          </a:avLst>
        </a:prstGeom>
      </dsp:spPr>
      <dsp:style>
        <a:lnRef idx="2">
          <a:schemeClr val="accent4">
            <a:hueOff val="0"/>
            <a:satOff val="0"/>
            <a:lumOff val="0"/>
            <a:alpha val="100000"/>
          </a:schemeClr>
        </a:lnRef>
        <a:fillRef idx="1">
          <a:schemeClr val="lt1">
            <a:alpha val="90000"/>
          </a:schemeClr>
        </a:fillRef>
        <a:effectRef idx="0">
          <a:scrgbClr r="0" g="0" b="0"/>
        </a:effectRef>
        <a:fontRef idx="minor"/>
      </dsp:style>
      <dsp:txBody>
        <a:bodyPr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zh-CN" altLang="en-US" sz="1200" b="1">
              <a:solidFill>
                <a:schemeClr val="dk1"/>
              </a:solidFill>
            </a:rPr>
            <a:t>物流运输管理</a:t>
          </a:r>
          <a:endParaRPr>
            <a:solidFill>
              <a:schemeClr val="dk1"/>
            </a:solidFill>
          </a:endParaRPr>
        </a:p>
      </dsp:txBody>
      <dsp:txXfrm>
        <a:off x="2760863" y="1054049"/>
        <a:ext cx="730817" cy="464069"/>
      </dsp:txXfrm>
    </dsp:sp>
    <dsp:sp modelId="{88990396-FDFB-4B9D-8EBA-E7DB9C514C6C}">
      <dsp:nvSpPr>
        <dsp:cNvPr id="18" name="圆角矩形 17"/>
        <dsp:cNvSpPr/>
      </dsp:nvSpPr>
      <dsp:spPr bwMode="white">
        <a:xfrm>
          <a:off x="3572881" y="976908"/>
          <a:ext cx="730817" cy="464069"/>
        </a:xfrm>
        <a:prstGeom prst="roundRect">
          <a:avLst>
            <a:gd name="adj" fmla="val 10000"/>
          </a:avLst>
        </a:prstGeom>
      </dsp:spPr>
      <dsp:style>
        <a:lnRef idx="2">
          <a:schemeClr val="lt1"/>
        </a:lnRef>
        <a:fillRef idx="1">
          <a:schemeClr val="accent4">
            <a:hueOff val="0"/>
            <a:satOff val="0"/>
            <a:lumOff val="0"/>
            <a:alpha val="100000"/>
          </a:schemeClr>
        </a:fillRef>
        <a:effectRef idx="0">
          <a:scrgbClr r="0" g="0" b="0"/>
        </a:effectRef>
        <a:fontRef idx="minor">
          <a:schemeClr val="lt1"/>
        </a:fontRef>
      </dsp:style>
      <dsp:txXfrm>
        <a:off x="3572881" y="976908"/>
        <a:ext cx="730817" cy="464069"/>
      </dsp:txXfrm>
    </dsp:sp>
    <dsp:sp modelId="{32E75E48-A66B-4066-B0BF-FE14EB5C7982}">
      <dsp:nvSpPr>
        <dsp:cNvPr id="19" name="圆角矩形 18"/>
        <dsp:cNvSpPr/>
      </dsp:nvSpPr>
      <dsp:spPr bwMode="white">
        <a:xfrm>
          <a:off x="3654083" y="1054049"/>
          <a:ext cx="730817" cy="464069"/>
        </a:xfrm>
        <a:prstGeom prst="roundRect">
          <a:avLst>
            <a:gd name="adj" fmla="val 10000"/>
          </a:avLst>
        </a:prstGeom>
      </dsp:spPr>
      <dsp:style>
        <a:lnRef idx="2">
          <a:schemeClr val="accent4">
            <a:hueOff val="0"/>
            <a:satOff val="0"/>
            <a:lumOff val="0"/>
            <a:alpha val="100000"/>
          </a:schemeClr>
        </a:lnRef>
        <a:fillRef idx="1">
          <a:schemeClr val="lt1">
            <a:alpha val="90000"/>
          </a:schemeClr>
        </a:fillRef>
        <a:effectRef idx="0">
          <a:scrgbClr r="0" g="0" b="0"/>
        </a:effectRef>
        <a:fontRef idx="minor"/>
      </dsp:style>
      <dsp:txBody>
        <a:bodyPr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zh-CN" altLang="en-US" sz="1200" b="1">
              <a:solidFill>
                <a:schemeClr val="dk1"/>
              </a:solidFill>
            </a:rPr>
            <a:t>质监员</a:t>
          </a:r>
          <a:endParaRPr>
            <a:solidFill>
              <a:schemeClr val="dk1"/>
            </a:solidFill>
          </a:endParaRPr>
        </a:p>
      </dsp:txBody>
      <dsp:txXfrm>
        <a:off x="3654083" y="1054049"/>
        <a:ext cx="730817" cy="464069"/>
      </dsp:txXfrm>
    </dsp:sp>
    <dsp:sp modelId="{08382B9E-C6D3-4C70-8A08-8B57F13E9D0C}">
      <dsp:nvSpPr>
        <dsp:cNvPr id="21" name="圆角矩形 20"/>
        <dsp:cNvSpPr/>
      </dsp:nvSpPr>
      <dsp:spPr bwMode="white">
        <a:xfrm>
          <a:off x="4466102" y="976908"/>
          <a:ext cx="730817" cy="464069"/>
        </a:xfrm>
        <a:prstGeom prst="roundRect">
          <a:avLst>
            <a:gd name="adj" fmla="val 10000"/>
          </a:avLst>
        </a:prstGeom>
      </dsp:spPr>
      <dsp:style>
        <a:lnRef idx="2">
          <a:schemeClr val="lt1"/>
        </a:lnRef>
        <a:fillRef idx="1">
          <a:schemeClr val="accent4">
            <a:hueOff val="0"/>
            <a:satOff val="0"/>
            <a:lumOff val="0"/>
            <a:alpha val="100000"/>
          </a:schemeClr>
        </a:fillRef>
        <a:effectRef idx="0">
          <a:scrgbClr r="0" g="0" b="0"/>
        </a:effectRef>
        <a:fontRef idx="minor">
          <a:schemeClr val="lt1"/>
        </a:fontRef>
      </dsp:style>
      <dsp:txXfrm>
        <a:off x="4466102" y="976908"/>
        <a:ext cx="730817" cy="464069"/>
      </dsp:txXfrm>
    </dsp:sp>
    <dsp:sp modelId="{880FFFA8-ACD5-45E6-8E00-685BE6FE364F}">
      <dsp:nvSpPr>
        <dsp:cNvPr id="22" name="圆角矩形 21"/>
        <dsp:cNvSpPr/>
      </dsp:nvSpPr>
      <dsp:spPr bwMode="white">
        <a:xfrm>
          <a:off x="4547303" y="1054049"/>
          <a:ext cx="730817" cy="464069"/>
        </a:xfrm>
        <a:prstGeom prst="roundRect">
          <a:avLst>
            <a:gd name="adj" fmla="val 10000"/>
          </a:avLst>
        </a:prstGeom>
      </dsp:spPr>
      <dsp:style>
        <a:lnRef idx="2">
          <a:schemeClr val="accent4">
            <a:hueOff val="0"/>
            <a:satOff val="0"/>
            <a:lumOff val="0"/>
            <a:alpha val="100000"/>
          </a:schemeClr>
        </a:lnRef>
        <a:fillRef idx="1">
          <a:schemeClr val="lt1">
            <a:alpha val="90000"/>
          </a:schemeClr>
        </a:fillRef>
        <a:effectRef idx="0">
          <a:scrgbClr r="0" g="0" b="0"/>
        </a:effectRef>
        <a:fontRef idx="minor"/>
      </dsp:style>
      <dsp:txBody>
        <a:bodyPr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zh-CN" altLang="en-US" sz="1200" b="1">
              <a:solidFill>
                <a:schemeClr val="dk1"/>
              </a:solidFill>
            </a:rPr>
            <a:t>售后专员</a:t>
          </a:r>
          <a:endParaRPr>
            <a:solidFill>
              <a:schemeClr val="dk1"/>
            </a:solidFill>
          </a:endParaRPr>
        </a:p>
      </dsp:txBody>
      <dsp:txXfrm>
        <a:off x="4547303" y="1054049"/>
        <a:ext cx="730817" cy="4640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278120" cy="3637915"/>
        <a:chOff x="0" y="0"/>
        <a:chExt cx="5278120" cy="3637915"/>
      </a:xfrm>
    </dsp:grpSpPr>
    <dsp:sp modelId="{34D79EA9-2B71-403F-8F2A-16B6D341AA0B}">
      <dsp:nvSpPr>
        <dsp:cNvPr id="4" name="任意多边形 3"/>
        <dsp:cNvSpPr/>
      </dsp:nvSpPr>
      <dsp:spPr bwMode="white">
        <a:xfrm>
          <a:off x="1563802" y="352056"/>
          <a:ext cx="205288" cy="1466901"/>
        </a:xfrm>
        <a:custGeom>
          <a:avLst/>
          <a:gdLst/>
          <a:ahLst/>
          <a:cxnLst/>
          <a:pathLst>
            <a:path w="323" h="2310">
              <a:moveTo>
                <a:pt x="0" y="2310"/>
              </a:moveTo>
              <a:lnTo>
                <a:pt x="162" y="2310"/>
              </a:lnTo>
              <a:lnTo>
                <a:pt x="162" y="0"/>
              </a:lnTo>
              <a:lnTo>
                <a:pt x="323" y="0"/>
              </a:lnTo>
            </a:path>
          </a:pathLst>
        </a:custGeom>
      </dsp:spPr>
      <dsp:style>
        <a:lnRef idx="2">
          <a:schemeClr val="accent4"/>
        </a:lnRef>
        <a:fillRef idx="0">
          <a:schemeClr val="accent2">
            <a:tint val="90000"/>
          </a:schemeClr>
        </a:fillRef>
        <a:effectRef idx="0">
          <a:scrgbClr r="0" g="0" b="0"/>
        </a:effectRef>
        <a:fontRef idx="minor"/>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zh-CN" altLang="en-US" sz="1200">
            <a:solidFill>
              <a:schemeClr val="tx1"/>
            </a:solidFill>
          </a:endParaRPr>
        </a:p>
      </dsp:txBody>
      <dsp:txXfrm>
        <a:off x="1563802" y="352056"/>
        <a:ext cx="205288" cy="1466901"/>
      </dsp:txXfrm>
    </dsp:sp>
    <dsp:sp modelId="{50FDE6D4-F57F-4334-820E-B2338A41A543}">
      <dsp:nvSpPr>
        <dsp:cNvPr id="6" name="任意多边形 5"/>
        <dsp:cNvSpPr/>
      </dsp:nvSpPr>
      <dsp:spPr bwMode="white">
        <a:xfrm>
          <a:off x="2795529" y="156469"/>
          <a:ext cx="205288" cy="195587"/>
        </a:xfrm>
        <a:custGeom>
          <a:avLst/>
          <a:gdLst/>
          <a:ahLst/>
          <a:cxnLst/>
          <a:pathLst>
            <a:path w="323" h="308">
              <a:moveTo>
                <a:pt x="0" y="308"/>
              </a:moveTo>
              <a:lnTo>
                <a:pt x="162" y="308"/>
              </a:lnTo>
              <a:lnTo>
                <a:pt x="162" y="0"/>
              </a:lnTo>
              <a:lnTo>
                <a:pt x="323" y="0"/>
              </a:lnTo>
            </a:path>
          </a:pathLst>
        </a:custGeom>
      </dsp:spPr>
      <dsp:style>
        <a:lnRef idx="2">
          <a:schemeClr val="accent5"/>
        </a:lnRef>
        <a:fillRef idx="0">
          <a:schemeClr val="accent2">
            <a:tint val="70000"/>
          </a:schemeClr>
        </a:fillRef>
        <a:effectRef idx="0">
          <a:scrgbClr r="0" g="0" b="0"/>
        </a:effectRef>
        <a:fontRef idx="minor"/>
      </dsp:style>
      <dsp:txBody>
        <a:bodyPr lIns="12700" tIns="0" rIns="12700" bIns="0" anchor="ctr"/>
        <a:lstStyle>
          <a:lvl1pPr algn="ctr">
            <a:defRPr sz="12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pPr>
          <a:endParaRPr lang="zh-CN" altLang="en-US">
            <a:solidFill>
              <a:schemeClr val="tx1"/>
            </a:solidFill>
          </a:endParaRPr>
        </a:p>
      </dsp:txBody>
      <dsp:txXfrm>
        <a:off x="2795529" y="156469"/>
        <a:ext cx="205288" cy="195587"/>
      </dsp:txXfrm>
    </dsp:sp>
    <dsp:sp modelId="{D53C34DD-B694-401B-A83D-A6B1C3A20E1C}">
      <dsp:nvSpPr>
        <dsp:cNvPr id="8" name="任意多边形 7"/>
        <dsp:cNvSpPr/>
      </dsp:nvSpPr>
      <dsp:spPr bwMode="white">
        <a:xfrm>
          <a:off x="2795529" y="352056"/>
          <a:ext cx="205288" cy="195587"/>
        </a:xfrm>
        <a:custGeom>
          <a:avLst/>
          <a:gdLst/>
          <a:ahLst/>
          <a:cxnLst/>
          <a:pathLst>
            <a:path w="323" h="308">
              <a:moveTo>
                <a:pt x="0" y="0"/>
              </a:moveTo>
              <a:lnTo>
                <a:pt x="162" y="0"/>
              </a:lnTo>
              <a:lnTo>
                <a:pt x="162" y="308"/>
              </a:lnTo>
              <a:lnTo>
                <a:pt x="323" y="308"/>
              </a:lnTo>
            </a:path>
          </a:pathLst>
        </a:custGeom>
      </dsp:spPr>
      <dsp:style>
        <a:lnRef idx="2">
          <a:schemeClr val="accent5"/>
        </a:lnRef>
        <a:fillRef idx="0">
          <a:schemeClr val="accent2">
            <a:tint val="70000"/>
          </a:schemeClr>
        </a:fillRef>
        <a:effectRef idx="0">
          <a:scrgbClr r="0" g="0" b="0"/>
        </a:effectRef>
        <a:fontRef idx="minor"/>
      </dsp:style>
      <dsp:txBody>
        <a:bodyPr lIns="12700" tIns="0" rIns="12700" bIns="0" anchor="ctr"/>
        <a:lstStyle>
          <a:lvl1pPr algn="ctr">
            <a:defRPr sz="12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pPr>
          <a:endParaRPr lang="zh-CN" altLang="en-US">
            <a:solidFill>
              <a:schemeClr val="tx1"/>
            </a:solidFill>
          </a:endParaRPr>
        </a:p>
      </dsp:txBody>
      <dsp:txXfrm>
        <a:off x="2795529" y="352056"/>
        <a:ext cx="205288" cy="195587"/>
      </dsp:txXfrm>
    </dsp:sp>
    <dsp:sp modelId="{66501721-55DE-409D-A7B1-1BB9A941D560}">
      <dsp:nvSpPr>
        <dsp:cNvPr id="10" name="任意多边形 9"/>
        <dsp:cNvSpPr/>
      </dsp:nvSpPr>
      <dsp:spPr bwMode="white">
        <a:xfrm>
          <a:off x="1563802" y="743230"/>
          <a:ext cx="205288" cy="1075728"/>
        </a:xfrm>
        <a:custGeom>
          <a:avLst/>
          <a:gdLst/>
          <a:ahLst/>
          <a:cxnLst/>
          <a:pathLst>
            <a:path w="323" h="1694">
              <a:moveTo>
                <a:pt x="0" y="1694"/>
              </a:moveTo>
              <a:lnTo>
                <a:pt x="162" y="1694"/>
              </a:lnTo>
              <a:lnTo>
                <a:pt x="162" y="0"/>
              </a:lnTo>
              <a:lnTo>
                <a:pt x="323" y="0"/>
              </a:lnTo>
            </a:path>
          </a:pathLst>
        </a:custGeom>
      </dsp:spPr>
      <dsp:style>
        <a:lnRef idx="2">
          <a:schemeClr val="accent4"/>
        </a:lnRef>
        <a:fillRef idx="0">
          <a:schemeClr val="accent2">
            <a:tint val="90000"/>
          </a:schemeClr>
        </a:fillRef>
        <a:effectRef idx="0">
          <a:scrgbClr r="0" g="0" b="0"/>
        </a:effectRef>
        <a:fontRef idx="minor"/>
      </dsp:style>
      <dsp:txBody>
        <a:bodyPr lIns="12700" tIns="0" rIns="12700" bIns="0" anchor="ctr"/>
        <a:lstStyle>
          <a:lvl1pPr algn="ctr">
            <a:defRPr sz="5000"/>
          </a:lvl1pPr>
          <a:lvl2pPr marL="285750" indent="-285750" algn="ctr">
            <a:defRPr sz="3900"/>
          </a:lvl2pPr>
          <a:lvl3pPr marL="571500" indent="-285750" algn="ctr">
            <a:defRPr sz="3900"/>
          </a:lvl3pPr>
          <a:lvl4pPr marL="857250" indent="-285750" algn="ctr">
            <a:defRPr sz="3900"/>
          </a:lvl4pPr>
          <a:lvl5pPr marL="1143000" indent="-285750" algn="ctr">
            <a:defRPr sz="3900"/>
          </a:lvl5pPr>
          <a:lvl6pPr marL="1428750" indent="-285750" algn="ctr">
            <a:defRPr sz="3900"/>
          </a:lvl6pPr>
          <a:lvl7pPr marL="1714500" indent="-285750" algn="ctr">
            <a:defRPr sz="3900"/>
          </a:lvl7pPr>
          <a:lvl8pPr marL="2000250" indent="-285750" algn="ctr">
            <a:defRPr sz="3900"/>
          </a:lvl8pPr>
          <a:lvl9pPr marL="2286000" indent="-285750" algn="ctr">
            <a:defRPr sz="3900"/>
          </a:lvl9pPr>
        </a:lstStyle>
        <a:p>
          <a:pPr lvl="0">
            <a:lnSpc>
              <a:spcPct val="100000"/>
            </a:lnSpc>
            <a:spcBef>
              <a:spcPct val="0"/>
            </a:spcBef>
            <a:spcAft>
              <a:spcPct val="35000"/>
            </a:spcAft>
          </a:pPr>
          <a:endParaRPr lang="zh-CN" altLang="en-US">
            <a:solidFill>
              <a:schemeClr val="tx1"/>
            </a:solidFill>
          </a:endParaRPr>
        </a:p>
      </dsp:txBody>
      <dsp:txXfrm>
        <a:off x="1563802" y="743230"/>
        <a:ext cx="205288" cy="1075728"/>
      </dsp:txXfrm>
    </dsp:sp>
    <dsp:sp modelId="{E5B9AABC-25B3-46F6-AB87-F11570AC6DF3}">
      <dsp:nvSpPr>
        <dsp:cNvPr id="12" name="任意多边形 11"/>
        <dsp:cNvSpPr/>
      </dsp:nvSpPr>
      <dsp:spPr bwMode="white">
        <a:xfrm>
          <a:off x="1563802" y="1134404"/>
          <a:ext cx="205288" cy="684554"/>
        </a:xfrm>
        <a:custGeom>
          <a:avLst/>
          <a:gdLst/>
          <a:ahLst/>
          <a:cxnLst/>
          <a:pathLst>
            <a:path w="323" h="1078">
              <a:moveTo>
                <a:pt x="0" y="1078"/>
              </a:moveTo>
              <a:lnTo>
                <a:pt x="162" y="1078"/>
              </a:lnTo>
              <a:lnTo>
                <a:pt x="162" y="0"/>
              </a:lnTo>
              <a:lnTo>
                <a:pt x="323" y="0"/>
              </a:lnTo>
            </a:path>
          </a:pathLst>
        </a:custGeom>
      </dsp:spPr>
      <dsp:style>
        <a:lnRef idx="2">
          <a:schemeClr val="accent4"/>
        </a:lnRef>
        <a:fillRef idx="0">
          <a:schemeClr val="accent2">
            <a:tint val="90000"/>
          </a:schemeClr>
        </a:fillRef>
        <a:effectRef idx="0">
          <a:scrgbClr r="0" g="0" b="0"/>
        </a:effectRef>
        <a:fontRef idx="minor"/>
      </dsp:style>
      <dsp:txBody>
        <a:bodyPr lIns="12700" tIns="0" rIns="12700" bIns="0" anchor="ctr"/>
        <a:lstStyle>
          <a:lvl1pPr algn="ctr">
            <a:defRPr sz="4400"/>
          </a:lvl1pPr>
          <a:lvl2pPr marL="285750" indent="-285750" algn="ctr">
            <a:defRPr sz="3400"/>
          </a:lvl2pPr>
          <a:lvl3pPr marL="571500" indent="-285750" algn="ctr">
            <a:defRPr sz="3400"/>
          </a:lvl3pPr>
          <a:lvl4pPr marL="857250" indent="-285750" algn="ctr">
            <a:defRPr sz="3400"/>
          </a:lvl4pPr>
          <a:lvl5pPr marL="1143000" indent="-285750" algn="ctr">
            <a:defRPr sz="3400"/>
          </a:lvl5pPr>
          <a:lvl6pPr marL="1428750" indent="-285750" algn="ctr">
            <a:defRPr sz="3400"/>
          </a:lvl6pPr>
          <a:lvl7pPr marL="1714500" indent="-285750" algn="ctr">
            <a:defRPr sz="3400"/>
          </a:lvl7pPr>
          <a:lvl8pPr marL="2000250" indent="-285750" algn="ctr">
            <a:defRPr sz="3400"/>
          </a:lvl8pPr>
          <a:lvl9pPr marL="2286000" indent="-285750" algn="ctr">
            <a:defRPr sz="3400"/>
          </a:lvl9pPr>
        </a:lstStyle>
        <a:p>
          <a:pPr lvl="0">
            <a:lnSpc>
              <a:spcPct val="100000"/>
            </a:lnSpc>
            <a:spcBef>
              <a:spcPct val="0"/>
            </a:spcBef>
            <a:spcAft>
              <a:spcPct val="35000"/>
            </a:spcAft>
          </a:pPr>
          <a:endParaRPr lang="zh-CN" altLang="en-US">
            <a:solidFill>
              <a:schemeClr val="tx1"/>
            </a:solidFill>
          </a:endParaRPr>
        </a:p>
      </dsp:txBody>
      <dsp:txXfrm>
        <a:off x="1563802" y="1134404"/>
        <a:ext cx="205288" cy="684554"/>
      </dsp:txXfrm>
    </dsp:sp>
    <dsp:sp modelId="{6243DC1B-4EAE-428C-BF0B-C7F306241B3A}">
      <dsp:nvSpPr>
        <dsp:cNvPr id="14" name="任意多边形 13"/>
        <dsp:cNvSpPr/>
      </dsp:nvSpPr>
      <dsp:spPr bwMode="white">
        <a:xfrm>
          <a:off x="1563802" y="1525577"/>
          <a:ext cx="205288" cy="293380"/>
        </a:xfrm>
        <a:custGeom>
          <a:avLst/>
          <a:gdLst/>
          <a:ahLst/>
          <a:cxnLst/>
          <a:pathLst>
            <a:path w="323" h="462">
              <a:moveTo>
                <a:pt x="0" y="462"/>
              </a:moveTo>
              <a:lnTo>
                <a:pt x="162" y="462"/>
              </a:lnTo>
              <a:lnTo>
                <a:pt x="162" y="0"/>
              </a:lnTo>
              <a:lnTo>
                <a:pt x="323" y="0"/>
              </a:lnTo>
            </a:path>
          </a:pathLst>
        </a:custGeom>
      </dsp:spPr>
      <dsp:style>
        <a:lnRef idx="2">
          <a:schemeClr val="accent4"/>
        </a:lnRef>
        <a:fillRef idx="0">
          <a:schemeClr val="accent2">
            <a:tint val="90000"/>
          </a:schemeClr>
        </a:fillRef>
        <a:effectRef idx="0">
          <a:scrgbClr r="0" g="0" b="0"/>
        </a:effectRef>
        <a:fontRef idx="minor"/>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zh-CN" altLang="en-US" sz="1200">
            <a:solidFill>
              <a:schemeClr val="tx1"/>
            </a:solidFill>
          </a:endParaRPr>
        </a:p>
      </dsp:txBody>
      <dsp:txXfrm>
        <a:off x="1563802" y="1525577"/>
        <a:ext cx="205288" cy="293380"/>
      </dsp:txXfrm>
    </dsp:sp>
    <dsp:sp modelId="{4BB0676D-2872-4A33-946A-F7E41D608A5A}">
      <dsp:nvSpPr>
        <dsp:cNvPr id="16" name="任意多边形 15"/>
        <dsp:cNvSpPr/>
      </dsp:nvSpPr>
      <dsp:spPr bwMode="white">
        <a:xfrm>
          <a:off x="1563802" y="1818958"/>
          <a:ext cx="205288" cy="97793"/>
        </a:xfrm>
        <a:custGeom>
          <a:avLst/>
          <a:gdLst/>
          <a:ahLst/>
          <a:cxnLst/>
          <a:pathLst>
            <a:path w="323" h="154">
              <a:moveTo>
                <a:pt x="0" y="0"/>
              </a:moveTo>
              <a:lnTo>
                <a:pt x="162" y="0"/>
              </a:lnTo>
              <a:lnTo>
                <a:pt x="162" y="154"/>
              </a:lnTo>
              <a:lnTo>
                <a:pt x="323" y="154"/>
              </a:lnTo>
            </a:path>
          </a:pathLst>
        </a:custGeom>
      </dsp:spPr>
      <dsp:style>
        <a:lnRef idx="2">
          <a:schemeClr val="accent4"/>
        </a:lnRef>
        <a:fillRef idx="0">
          <a:schemeClr val="accent2">
            <a:tint val="90000"/>
          </a:schemeClr>
        </a:fillRef>
        <a:effectRef idx="0">
          <a:scrgbClr r="0" g="0" b="0"/>
        </a:effectRef>
        <a:fontRef idx="minor"/>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zh-CN" altLang="en-US" sz="1200">
            <a:solidFill>
              <a:schemeClr val="tx1"/>
            </a:solidFill>
          </a:endParaRPr>
        </a:p>
      </dsp:txBody>
      <dsp:txXfrm>
        <a:off x="1563802" y="1818958"/>
        <a:ext cx="205288" cy="97793"/>
      </dsp:txXfrm>
    </dsp:sp>
    <dsp:sp modelId="{50989DDD-9C69-437F-8069-7ECDB393303F}">
      <dsp:nvSpPr>
        <dsp:cNvPr id="18" name="任意多边形 17"/>
        <dsp:cNvSpPr/>
      </dsp:nvSpPr>
      <dsp:spPr bwMode="white">
        <a:xfrm>
          <a:off x="2795529" y="1916751"/>
          <a:ext cx="205288" cy="0"/>
        </a:xfrm>
        <a:custGeom>
          <a:avLst/>
          <a:gdLst/>
          <a:ahLst/>
          <a:cxnLst/>
          <a:pathLst>
            <a:path w="323">
              <a:moveTo>
                <a:pt x="0" y="0"/>
              </a:moveTo>
              <a:lnTo>
                <a:pt x="323" y="0"/>
              </a:lnTo>
            </a:path>
          </a:pathLst>
        </a:custGeom>
      </dsp:spPr>
      <dsp:style>
        <a:lnRef idx="2">
          <a:schemeClr val="accent5"/>
        </a:lnRef>
        <a:fillRef idx="0">
          <a:schemeClr val="accent2">
            <a:tint val="70000"/>
          </a:schemeClr>
        </a:fillRef>
        <a:effectRef idx="0">
          <a:scrgbClr r="0" g="0" b="0"/>
        </a:effectRef>
        <a:fontRef idx="minor"/>
      </dsp:style>
      <dsp:txBody>
        <a:bodyPr lIns="12700" tIns="0" rIns="12700" bIns="0" anchor="ctr"/>
        <a:lstStyle>
          <a:lvl1pPr algn="ctr">
            <a:defRPr sz="500"/>
          </a:lvl1pPr>
          <a:lvl2pPr marL="57150" indent="-57150" algn="ctr">
            <a:defRPr sz="400"/>
          </a:lvl2pPr>
          <a:lvl3pPr marL="114300" indent="-57150" algn="ctr">
            <a:defRPr sz="400"/>
          </a:lvl3pPr>
          <a:lvl4pPr marL="171450" indent="-57150" algn="ctr">
            <a:defRPr sz="400"/>
          </a:lvl4pPr>
          <a:lvl5pPr marL="228600" indent="-57150" algn="ctr">
            <a:defRPr sz="400"/>
          </a:lvl5pPr>
          <a:lvl6pPr marL="285750" indent="-57150" algn="ctr">
            <a:defRPr sz="400"/>
          </a:lvl6pPr>
          <a:lvl7pPr marL="342900" indent="-57150" algn="ctr">
            <a:defRPr sz="400"/>
          </a:lvl7pPr>
          <a:lvl8pPr marL="400050" indent="-57150" algn="ctr">
            <a:defRPr sz="400"/>
          </a:lvl8pPr>
          <a:lvl9pPr marL="457200" indent="-57150" algn="ctr">
            <a:defRPr sz="400"/>
          </a:lvl9pPr>
        </a:lstStyle>
        <a:p>
          <a:pPr lvl="0">
            <a:lnSpc>
              <a:spcPct val="100000"/>
            </a:lnSpc>
            <a:spcBef>
              <a:spcPct val="0"/>
            </a:spcBef>
            <a:spcAft>
              <a:spcPct val="35000"/>
            </a:spcAft>
          </a:pPr>
          <a:endParaRPr lang="zh-CN" altLang="en-US">
            <a:solidFill>
              <a:schemeClr val="tx1"/>
            </a:solidFill>
          </a:endParaRPr>
        </a:p>
      </dsp:txBody>
      <dsp:txXfrm>
        <a:off x="2795529" y="1916751"/>
        <a:ext cx="205288" cy="0"/>
      </dsp:txXfrm>
    </dsp:sp>
    <dsp:sp modelId="{1450E69D-640B-441C-B3FE-8032F928C12F}">
      <dsp:nvSpPr>
        <dsp:cNvPr id="20" name="任意多边形 19"/>
        <dsp:cNvSpPr/>
      </dsp:nvSpPr>
      <dsp:spPr bwMode="white">
        <a:xfrm>
          <a:off x="1563802" y="1818958"/>
          <a:ext cx="205288" cy="488967"/>
        </a:xfrm>
        <a:custGeom>
          <a:avLst/>
          <a:gdLst/>
          <a:ahLst/>
          <a:cxnLst/>
          <a:pathLst>
            <a:path w="323" h="770">
              <a:moveTo>
                <a:pt x="0" y="0"/>
              </a:moveTo>
              <a:lnTo>
                <a:pt x="162" y="0"/>
              </a:lnTo>
              <a:lnTo>
                <a:pt x="162" y="770"/>
              </a:lnTo>
              <a:lnTo>
                <a:pt x="323" y="770"/>
              </a:lnTo>
            </a:path>
          </a:pathLst>
        </a:custGeom>
      </dsp:spPr>
      <dsp:style>
        <a:lnRef idx="2">
          <a:schemeClr val="accent4"/>
        </a:lnRef>
        <a:fillRef idx="0">
          <a:schemeClr val="accent2">
            <a:tint val="90000"/>
          </a:schemeClr>
        </a:fillRef>
        <a:effectRef idx="0">
          <a:scrgbClr r="0" g="0" b="0"/>
        </a:effectRef>
        <a:fontRef idx="minor"/>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zh-CN" altLang="en-US" sz="1200">
            <a:solidFill>
              <a:schemeClr val="tx1"/>
            </a:solidFill>
          </a:endParaRPr>
        </a:p>
      </dsp:txBody>
      <dsp:txXfrm>
        <a:off x="1563802" y="1818958"/>
        <a:ext cx="205288" cy="488967"/>
      </dsp:txXfrm>
    </dsp:sp>
    <dsp:sp modelId="{400B3B7E-8A7D-4B33-BC79-94BD15FA05B9}">
      <dsp:nvSpPr>
        <dsp:cNvPr id="22" name="任意多边形 21"/>
        <dsp:cNvSpPr/>
      </dsp:nvSpPr>
      <dsp:spPr bwMode="white">
        <a:xfrm>
          <a:off x="1563802" y="1818958"/>
          <a:ext cx="205288" cy="880141"/>
        </a:xfrm>
        <a:custGeom>
          <a:avLst/>
          <a:gdLst/>
          <a:ahLst/>
          <a:cxnLst/>
          <a:pathLst>
            <a:path w="323" h="1386">
              <a:moveTo>
                <a:pt x="0" y="0"/>
              </a:moveTo>
              <a:lnTo>
                <a:pt x="162" y="0"/>
              </a:lnTo>
              <a:lnTo>
                <a:pt x="162" y="1386"/>
              </a:lnTo>
              <a:lnTo>
                <a:pt x="323" y="1386"/>
              </a:lnTo>
            </a:path>
          </a:pathLst>
        </a:custGeom>
      </dsp:spPr>
      <dsp:style>
        <a:lnRef idx="2">
          <a:schemeClr val="accent4"/>
        </a:lnRef>
        <a:fillRef idx="0">
          <a:schemeClr val="accent2">
            <a:tint val="90000"/>
          </a:schemeClr>
        </a:fillRef>
        <a:effectRef idx="0">
          <a:scrgbClr r="0" g="0" b="0"/>
        </a:effectRef>
        <a:fontRef idx="minor"/>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zh-CN" altLang="en-US" sz="1200">
            <a:solidFill>
              <a:schemeClr val="tx1"/>
            </a:solidFill>
          </a:endParaRPr>
        </a:p>
      </dsp:txBody>
      <dsp:txXfrm>
        <a:off x="1563802" y="1818958"/>
        <a:ext cx="205288" cy="880141"/>
      </dsp:txXfrm>
    </dsp:sp>
    <dsp:sp modelId="{67076895-AC32-48FA-8ED5-BDFA892740B5}">
      <dsp:nvSpPr>
        <dsp:cNvPr id="24" name="任意多边形 23"/>
        <dsp:cNvSpPr/>
      </dsp:nvSpPr>
      <dsp:spPr bwMode="white">
        <a:xfrm>
          <a:off x="2795529" y="2699098"/>
          <a:ext cx="205288" cy="0"/>
        </a:xfrm>
        <a:custGeom>
          <a:avLst/>
          <a:gdLst/>
          <a:ahLst/>
          <a:cxnLst/>
          <a:pathLst>
            <a:path w="323">
              <a:moveTo>
                <a:pt x="0" y="0"/>
              </a:moveTo>
              <a:lnTo>
                <a:pt x="323" y="0"/>
              </a:lnTo>
            </a:path>
          </a:pathLst>
        </a:custGeom>
      </dsp:spPr>
      <dsp:style>
        <a:lnRef idx="2">
          <a:schemeClr val="accent5"/>
        </a:lnRef>
        <a:fillRef idx="0">
          <a:schemeClr val="accent2">
            <a:tint val="70000"/>
          </a:schemeClr>
        </a:fillRef>
        <a:effectRef idx="0">
          <a:scrgbClr r="0" g="0" b="0"/>
        </a:effectRef>
        <a:fontRef idx="minor"/>
      </dsp:style>
      <dsp:txBody>
        <a:bodyPr lIns="12700" tIns="0" rIns="12700" bIns="0" anchor="ctr"/>
        <a:lstStyle>
          <a:lvl1pPr algn="ctr">
            <a:defRPr sz="500"/>
          </a:lvl1pPr>
          <a:lvl2pPr marL="57150" indent="-57150" algn="ctr">
            <a:defRPr sz="400"/>
          </a:lvl2pPr>
          <a:lvl3pPr marL="114300" indent="-57150" algn="ctr">
            <a:defRPr sz="400"/>
          </a:lvl3pPr>
          <a:lvl4pPr marL="171450" indent="-57150" algn="ctr">
            <a:defRPr sz="400"/>
          </a:lvl4pPr>
          <a:lvl5pPr marL="228600" indent="-57150" algn="ctr">
            <a:defRPr sz="400"/>
          </a:lvl5pPr>
          <a:lvl6pPr marL="285750" indent="-57150" algn="ctr">
            <a:defRPr sz="400"/>
          </a:lvl6pPr>
          <a:lvl7pPr marL="342900" indent="-57150" algn="ctr">
            <a:defRPr sz="400"/>
          </a:lvl7pPr>
          <a:lvl8pPr marL="400050" indent="-57150" algn="ctr">
            <a:defRPr sz="400"/>
          </a:lvl8pPr>
          <a:lvl9pPr marL="457200" indent="-57150" algn="ctr">
            <a:defRPr sz="400"/>
          </a:lvl9pPr>
        </a:lstStyle>
        <a:p>
          <a:pPr lvl="0">
            <a:lnSpc>
              <a:spcPct val="100000"/>
            </a:lnSpc>
            <a:spcBef>
              <a:spcPct val="0"/>
            </a:spcBef>
            <a:spcAft>
              <a:spcPct val="35000"/>
            </a:spcAft>
          </a:pPr>
          <a:endParaRPr lang="zh-CN" altLang="en-US">
            <a:solidFill>
              <a:schemeClr val="tx1"/>
            </a:solidFill>
          </a:endParaRPr>
        </a:p>
      </dsp:txBody>
      <dsp:txXfrm>
        <a:off x="2795529" y="2699098"/>
        <a:ext cx="205288" cy="0"/>
      </dsp:txXfrm>
    </dsp:sp>
    <dsp:sp modelId="{0C7637EB-A9FB-4674-9E2F-DF31683CF547}">
      <dsp:nvSpPr>
        <dsp:cNvPr id="26" name="任意多边形 25"/>
        <dsp:cNvSpPr/>
      </dsp:nvSpPr>
      <dsp:spPr bwMode="white">
        <a:xfrm>
          <a:off x="1563802" y="1818958"/>
          <a:ext cx="205288" cy="1466901"/>
        </a:xfrm>
        <a:custGeom>
          <a:avLst/>
          <a:gdLst/>
          <a:ahLst/>
          <a:cxnLst/>
          <a:pathLst>
            <a:path w="323" h="2310">
              <a:moveTo>
                <a:pt x="0" y="0"/>
              </a:moveTo>
              <a:lnTo>
                <a:pt x="162" y="0"/>
              </a:lnTo>
              <a:lnTo>
                <a:pt x="162" y="2310"/>
              </a:lnTo>
              <a:lnTo>
                <a:pt x="323" y="2310"/>
              </a:lnTo>
            </a:path>
          </a:pathLst>
        </a:custGeom>
      </dsp:spPr>
      <dsp:style>
        <a:lnRef idx="2">
          <a:schemeClr val="accent4"/>
        </a:lnRef>
        <a:fillRef idx="0">
          <a:schemeClr val="accent2">
            <a:tint val="90000"/>
          </a:schemeClr>
        </a:fillRef>
        <a:effectRef idx="0">
          <a:scrgbClr r="0" g="0" b="0"/>
        </a:effectRef>
        <a:fontRef idx="minor"/>
      </dsp:style>
      <dsp:txBody>
        <a:bodyPr lIns="12700" tIns="0" rIns="12700" bIns="0" anchor="ctr"/>
        <a:lstStyle>
          <a:lvl1pPr algn="ctr">
            <a:defRPr sz="5000"/>
          </a:lvl1pPr>
          <a:lvl2pPr marL="285750" indent="-285750" algn="ctr">
            <a:defRPr sz="3900"/>
          </a:lvl2pPr>
          <a:lvl3pPr marL="571500" indent="-285750" algn="ctr">
            <a:defRPr sz="3900"/>
          </a:lvl3pPr>
          <a:lvl4pPr marL="857250" indent="-285750" algn="ctr">
            <a:defRPr sz="3900"/>
          </a:lvl4pPr>
          <a:lvl5pPr marL="1143000" indent="-285750" algn="ctr">
            <a:defRPr sz="3900"/>
          </a:lvl5pPr>
          <a:lvl6pPr marL="1428750" indent="-285750" algn="ctr">
            <a:defRPr sz="3900"/>
          </a:lvl6pPr>
          <a:lvl7pPr marL="1714500" indent="-285750" algn="ctr">
            <a:defRPr sz="3900"/>
          </a:lvl7pPr>
          <a:lvl8pPr marL="2000250" indent="-285750" algn="ctr">
            <a:defRPr sz="3900"/>
          </a:lvl8pPr>
          <a:lvl9pPr marL="2286000" indent="-285750" algn="ctr">
            <a:defRPr sz="3900"/>
          </a:lvl9pPr>
        </a:lstStyle>
        <a:p>
          <a:pPr lvl="0">
            <a:lnSpc>
              <a:spcPct val="100000"/>
            </a:lnSpc>
            <a:spcBef>
              <a:spcPct val="0"/>
            </a:spcBef>
            <a:spcAft>
              <a:spcPct val="35000"/>
            </a:spcAft>
          </a:pPr>
          <a:endParaRPr lang="zh-CN" altLang="en-US">
            <a:solidFill>
              <a:schemeClr val="tx1"/>
            </a:solidFill>
          </a:endParaRPr>
        </a:p>
      </dsp:txBody>
      <dsp:txXfrm>
        <a:off x="1563802" y="1818958"/>
        <a:ext cx="205288" cy="1466901"/>
      </dsp:txXfrm>
    </dsp:sp>
    <dsp:sp modelId="{2AB6A527-9313-4639-8AB2-7765A98B8095}">
      <dsp:nvSpPr>
        <dsp:cNvPr id="28" name="任意多边形 27"/>
        <dsp:cNvSpPr/>
      </dsp:nvSpPr>
      <dsp:spPr bwMode="white">
        <a:xfrm>
          <a:off x="2795529" y="3090272"/>
          <a:ext cx="205288" cy="195587"/>
        </a:xfrm>
        <a:custGeom>
          <a:avLst/>
          <a:gdLst/>
          <a:ahLst/>
          <a:cxnLst/>
          <a:pathLst>
            <a:path w="323" h="308">
              <a:moveTo>
                <a:pt x="0" y="308"/>
              </a:moveTo>
              <a:lnTo>
                <a:pt x="162" y="308"/>
              </a:lnTo>
              <a:lnTo>
                <a:pt x="162" y="0"/>
              </a:lnTo>
              <a:lnTo>
                <a:pt x="323" y="0"/>
              </a:lnTo>
            </a:path>
          </a:pathLst>
        </a:custGeom>
      </dsp:spPr>
      <dsp:style>
        <a:lnRef idx="2">
          <a:schemeClr val="accent5"/>
        </a:lnRef>
        <a:fillRef idx="0">
          <a:schemeClr val="accent2">
            <a:tint val="70000"/>
          </a:schemeClr>
        </a:fillRef>
        <a:effectRef idx="0">
          <a:scrgbClr r="0" g="0" b="0"/>
        </a:effectRef>
        <a:fontRef idx="minor"/>
      </dsp:style>
      <dsp:txBody>
        <a:bodyPr lIns="12700" tIns="0" rIns="12700" bIns="0" anchor="ctr"/>
        <a:lstStyle>
          <a:lvl1pPr algn="ctr">
            <a:defRPr sz="12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pPr>
          <a:endParaRPr lang="zh-CN" altLang="en-US">
            <a:solidFill>
              <a:schemeClr val="tx1"/>
            </a:solidFill>
          </a:endParaRPr>
        </a:p>
      </dsp:txBody>
      <dsp:txXfrm>
        <a:off x="2795529" y="3090272"/>
        <a:ext cx="205288" cy="195587"/>
      </dsp:txXfrm>
    </dsp:sp>
    <dsp:sp modelId="{82E7FB69-0CED-4B9D-8B71-DB724B7D6C83}">
      <dsp:nvSpPr>
        <dsp:cNvPr id="30" name="任意多边形 29"/>
        <dsp:cNvSpPr/>
      </dsp:nvSpPr>
      <dsp:spPr bwMode="white">
        <a:xfrm>
          <a:off x="2795529" y="3285859"/>
          <a:ext cx="205288" cy="195587"/>
        </a:xfrm>
        <a:custGeom>
          <a:avLst/>
          <a:gdLst/>
          <a:ahLst/>
          <a:cxnLst/>
          <a:pathLst>
            <a:path w="323" h="308">
              <a:moveTo>
                <a:pt x="0" y="0"/>
              </a:moveTo>
              <a:lnTo>
                <a:pt x="162" y="0"/>
              </a:lnTo>
              <a:lnTo>
                <a:pt x="162" y="308"/>
              </a:lnTo>
              <a:lnTo>
                <a:pt x="323" y="308"/>
              </a:lnTo>
            </a:path>
          </a:pathLst>
        </a:custGeom>
      </dsp:spPr>
      <dsp:style>
        <a:lnRef idx="2">
          <a:schemeClr val="accent5"/>
        </a:lnRef>
        <a:fillRef idx="0">
          <a:schemeClr val="accent2">
            <a:tint val="70000"/>
          </a:schemeClr>
        </a:fillRef>
        <a:effectRef idx="0">
          <a:scrgbClr r="0" g="0" b="0"/>
        </a:effectRef>
        <a:fontRef idx="minor"/>
      </dsp:style>
      <dsp:txBody>
        <a:bodyPr lIns="12700" tIns="0" rIns="12700" bIns="0" anchor="ctr"/>
        <a:lstStyle>
          <a:lvl1pPr algn="ctr">
            <a:defRPr sz="12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pPr>
          <a:endParaRPr lang="zh-CN" altLang="en-US">
            <a:solidFill>
              <a:schemeClr val="tx1"/>
            </a:solidFill>
          </a:endParaRPr>
        </a:p>
      </dsp:txBody>
      <dsp:txXfrm>
        <a:off x="2795529" y="3285859"/>
        <a:ext cx="205288" cy="195587"/>
      </dsp:txXfrm>
    </dsp:sp>
    <dsp:sp modelId="{2D23180B-20CA-464B-83B9-6115F912E418}">
      <dsp:nvSpPr>
        <dsp:cNvPr id="3" name="矩形 2"/>
        <dsp:cNvSpPr/>
      </dsp:nvSpPr>
      <dsp:spPr bwMode="white">
        <a:xfrm rot="16200000">
          <a:off x="583809" y="1662488"/>
          <a:ext cx="1647047" cy="312939"/>
        </a:xfrm>
        <a:prstGeom prst="rect">
          <a:avLst/>
        </a:prstGeom>
        <a:sp3d prstMaterial="dkEdge">
          <a:bevelT w="8200" h="38100"/>
        </a:sp3d>
      </dsp:spPr>
      <dsp:style>
        <a:lnRef idx="0">
          <a:schemeClr val="lt1"/>
        </a:lnRef>
        <a:fillRef idx="2">
          <a:schemeClr val="accent2"/>
        </a:fillRef>
        <a:effectRef idx="1">
          <a:scrgbClr r="0" g="0" b="0"/>
        </a:effectRef>
        <a:fontRef idx="minor">
          <a:schemeClr val="dk1"/>
        </a:fontRef>
      </dsp:style>
      <dsp:txBody>
        <a:bodyPr lIns="7620" tIns="7620" rIns="7620" bIns="762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b="1"/>
            <a:t>项目负责人</a:t>
          </a:r>
          <a:endParaRPr lang="zh-CN" altLang="en-US" sz="1200"/>
        </a:p>
      </dsp:txBody>
      <dsp:txXfrm rot="16200000">
        <a:off x="583809" y="1662488"/>
        <a:ext cx="1647047" cy="312939"/>
      </dsp:txXfrm>
    </dsp:sp>
    <dsp:sp modelId="{BF59C357-0F04-48C9-979A-3B9777282C92}">
      <dsp:nvSpPr>
        <dsp:cNvPr id="5" name="矩形 4"/>
        <dsp:cNvSpPr/>
      </dsp:nvSpPr>
      <dsp:spPr bwMode="white">
        <a:xfrm>
          <a:off x="1769090" y="195587"/>
          <a:ext cx="1026440" cy="312939"/>
        </a:xfrm>
        <a:prstGeom prst="rect">
          <a:avLst/>
        </a:prstGeom>
        <a:sp3d prstMaterial="dkEdge">
          <a:bevelT w="8200" h="38100"/>
        </a:sp3d>
      </dsp:spPr>
      <dsp:style>
        <a:lnRef idx="0">
          <a:schemeClr val="lt1"/>
        </a:lnRef>
        <a:fillRef idx="2">
          <a:schemeClr val="accent4">
            <a:hueOff val="0"/>
            <a:satOff val="0"/>
            <a:lumOff val="0"/>
            <a:alpha val="100000"/>
          </a:schemeClr>
        </a:fillRef>
        <a:effectRef idx="1">
          <a:scrgbClr r="0" g="0" b="0"/>
        </a:effectRef>
        <a:fontRef idx="minor">
          <a:schemeClr val="dk1"/>
        </a:fontRef>
      </dsp:style>
      <dsp:txBody>
        <a:bodyPr lIns="7620" tIns="7620" rIns="7620" bIns="762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b="1"/>
            <a:t>采购部</a:t>
          </a:r>
        </a:p>
      </dsp:txBody>
      <dsp:txXfrm>
        <a:off x="1769090" y="195587"/>
        <a:ext cx="1026440" cy="312939"/>
      </dsp:txXfrm>
    </dsp:sp>
    <dsp:sp modelId="{DB1457C3-6D70-486C-A24F-8DEC5BEFC8C5}">
      <dsp:nvSpPr>
        <dsp:cNvPr id="7" name="矩形 6"/>
        <dsp:cNvSpPr/>
      </dsp:nvSpPr>
      <dsp:spPr bwMode="white">
        <a:xfrm>
          <a:off x="3000817" y="0"/>
          <a:ext cx="1026440" cy="312939"/>
        </a:xfrm>
        <a:prstGeom prst="rect">
          <a:avLst/>
        </a:prstGeom>
        <a:sp3d prstMaterial="dkEdge">
          <a:bevelT w="8200" h="38100"/>
        </a:sp3d>
      </dsp:spPr>
      <dsp:style>
        <a:lnRef idx="0">
          <a:schemeClr val="lt1"/>
        </a:lnRef>
        <a:fillRef idx="2">
          <a:schemeClr val="accent5">
            <a:hueOff val="0"/>
            <a:satOff val="0"/>
            <a:lumOff val="0"/>
            <a:alpha val="100000"/>
          </a:schemeClr>
        </a:fillRef>
        <a:effectRef idx="1">
          <a:scrgbClr r="0" g="0" b="0"/>
        </a:effectRef>
        <a:fontRef idx="minor">
          <a:schemeClr val="dk1"/>
        </a:fontRef>
      </dsp:style>
      <dsp:txBody>
        <a:bodyPr lIns="7620" tIns="7620" rIns="7620" bIns="762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b="1"/>
            <a:t>原材料采购等</a:t>
          </a:r>
        </a:p>
      </dsp:txBody>
      <dsp:txXfrm>
        <a:off x="3000817" y="0"/>
        <a:ext cx="1026440" cy="312939"/>
      </dsp:txXfrm>
    </dsp:sp>
    <dsp:sp modelId="{7958384A-0D96-4703-A8AF-364CE4B9EDC1}">
      <dsp:nvSpPr>
        <dsp:cNvPr id="9" name="矩形 8"/>
        <dsp:cNvSpPr/>
      </dsp:nvSpPr>
      <dsp:spPr bwMode="white">
        <a:xfrm>
          <a:off x="3000817" y="391174"/>
          <a:ext cx="1026440" cy="312939"/>
        </a:xfrm>
        <a:prstGeom prst="rect">
          <a:avLst/>
        </a:prstGeom>
        <a:sp3d prstMaterial="dkEdge">
          <a:bevelT w="8200" h="38100"/>
        </a:sp3d>
      </dsp:spPr>
      <dsp:style>
        <a:lnRef idx="0">
          <a:schemeClr val="lt1"/>
        </a:lnRef>
        <a:fillRef idx="2">
          <a:schemeClr val="accent5">
            <a:hueOff val="0"/>
            <a:satOff val="0"/>
            <a:lumOff val="0"/>
            <a:alpha val="100000"/>
          </a:schemeClr>
        </a:fillRef>
        <a:effectRef idx="1">
          <a:scrgbClr r="0" g="0" b="0"/>
        </a:effectRef>
        <a:fontRef idx="minor">
          <a:schemeClr val="dk1"/>
        </a:fontRef>
      </dsp:style>
      <dsp:txBody>
        <a:bodyPr lIns="7620" tIns="7620" rIns="7620" bIns="762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b="1"/>
            <a:t>产品检验</a:t>
          </a:r>
        </a:p>
      </dsp:txBody>
      <dsp:txXfrm>
        <a:off x="3000817" y="391174"/>
        <a:ext cx="1026440" cy="312939"/>
      </dsp:txXfrm>
    </dsp:sp>
    <dsp:sp modelId="{EB706AFB-D9D1-4A08-BD04-A9A29236E126}">
      <dsp:nvSpPr>
        <dsp:cNvPr id="11" name="矩形 10"/>
        <dsp:cNvSpPr/>
      </dsp:nvSpPr>
      <dsp:spPr bwMode="white">
        <a:xfrm>
          <a:off x="1769090" y="586760"/>
          <a:ext cx="1026440" cy="312939"/>
        </a:xfrm>
        <a:prstGeom prst="rect">
          <a:avLst/>
        </a:prstGeom>
        <a:sp3d prstMaterial="dkEdge">
          <a:bevelT w="8200" h="38100"/>
        </a:sp3d>
      </dsp:spPr>
      <dsp:style>
        <a:lnRef idx="0">
          <a:schemeClr val="lt1"/>
        </a:lnRef>
        <a:fillRef idx="2">
          <a:schemeClr val="accent4">
            <a:hueOff val="0"/>
            <a:satOff val="0"/>
            <a:lumOff val="0"/>
            <a:alpha val="100000"/>
          </a:schemeClr>
        </a:fillRef>
        <a:effectRef idx="1">
          <a:scrgbClr r="0" g="0" b="0"/>
        </a:effectRef>
        <a:fontRef idx="minor">
          <a:schemeClr val="dk1"/>
        </a:fontRef>
      </dsp:style>
      <dsp:txBody>
        <a:bodyPr lIns="7620" tIns="7620" rIns="7620" bIns="762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b="1"/>
            <a:t>仓储部</a:t>
          </a:r>
        </a:p>
      </dsp:txBody>
      <dsp:txXfrm>
        <a:off x="1769090" y="586760"/>
        <a:ext cx="1026440" cy="312939"/>
      </dsp:txXfrm>
    </dsp:sp>
    <dsp:sp modelId="{43AAF3DC-85F7-4D50-8B1C-71955E6D45D2}">
      <dsp:nvSpPr>
        <dsp:cNvPr id="13" name="矩形 12"/>
        <dsp:cNvSpPr/>
      </dsp:nvSpPr>
      <dsp:spPr bwMode="white">
        <a:xfrm>
          <a:off x="1769090" y="977934"/>
          <a:ext cx="1026440" cy="312939"/>
        </a:xfrm>
        <a:prstGeom prst="rect">
          <a:avLst/>
        </a:prstGeom>
        <a:sp3d prstMaterial="dkEdge">
          <a:bevelT w="8200" h="38100"/>
        </a:sp3d>
      </dsp:spPr>
      <dsp:style>
        <a:lnRef idx="0">
          <a:schemeClr val="lt1"/>
        </a:lnRef>
        <a:fillRef idx="2">
          <a:schemeClr val="accent4">
            <a:hueOff val="0"/>
            <a:satOff val="0"/>
            <a:lumOff val="0"/>
            <a:alpha val="100000"/>
          </a:schemeClr>
        </a:fillRef>
        <a:effectRef idx="1">
          <a:scrgbClr r="0" g="0" b="0"/>
        </a:effectRef>
        <a:fontRef idx="minor">
          <a:schemeClr val="dk1"/>
        </a:fontRef>
      </dsp:style>
      <dsp:txBody>
        <a:bodyPr lIns="7620" tIns="7620" rIns="7620" bIns="762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b="1"/>
            <a:t>物资储存</a:t>
          </a:r>
        </a:p>
      </dsp:txBody>
      <dsp:txXfrm>
        <a:off x="1769090" y="977934"/>
        <a:ext cx="1026440" cy="312939"/>
      </dsp:txXfrm>
    </dsp:sp>
    <dsp:sp modelId="{D9138398-0B5D-401E-AEAC-6856C1BC5121}">
      <dsp:nvSpPr>
        <dsp:cNvPr id="15" name="矩形 14"/>
        <dsp:cNvSpPr/>
      </dsp:nvSpPr>
      <dsp:spPr bwMode="white">
        <a:xfrm>
          <a:off x="1769090" y="1369108"/>
          <a:ext cx="1026440" cy="312939"/>
        </a:xfrm>
        <a:prstGeom prst="rect">
          <a:avLst/>
        </a:prstGeom>
        <a:sp3d prstMaterial="dkEdge">
          <a:bevelT w="8200" h="38100"/>
        </a:sp3d>
      </dsp:spPr>
      <dsp:style>
        <a:lnRef idx="0">
          <a:schemeClr val="lt1"/>
        </a:lnRef>
        <a:fillRef idx="2">
          <a:schemeClr val="accent4">
            <a:hueOff val="0"/>
            <a:satOff val="0"/>
            <a:lumOff val="0"/>
            <a:alpha val="100000"/>
          </a:schemeClr>
        </a:fillRef>
        <a:effectRef idx="1">
          <a:scrgbClr r="0" g="0" b="0"/>
        </a:effectRef>
        <a:fontRef idx="minor">
          <a:schemeClr val="dk1"/>
        </a:fontRef>
      </dsp:style>
      <dsp:txBody>
        <a:bodyPr lIns="7620" tIns="7620" rIns="7620" bIns="762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b="1"/>
            <a:t>技术部</a:t>
          </a:r>
        </a:p>
      </dsp:txBody>
      <dsp:txXfrm>
        <a:off x="1769090" y="1369108"/>
        <a:ext cx="1026440" cy="312939"/>
      </dsp:txXfrm>
    </dsp:sp>
    <dsp:sp modelId="{FA25414A-4D7F-44B9-A703-5AE52BFC5B58}">
      <dsp:nvSpPr>
        <dsp:cNvPr id="17" name="矩形 16"/>
        <dsp:cNvSpPr/>
      </dsp:nvSpPr>
      <dsp:spPr bwMode="white">
        <a:xfrm>
          <a:off x="1769090" y="1760281"/>
          <a:ext cx="1026440" cy="312939"/>
        </a:xfrm>
        <a:prstGeom prst="rect">
          <a:avLst/>
        </a:prstGeom>
        <a:sp3d prstMaterial="dkEdge">
          <a:bevelT w="8200" h="38100"/>
        </a:sp3d>
      </dsp:spPr>
      <dsp:style>
        <a:lnRef idx="0">
          <a:schemeClr val="lt1"/>
        </a:lnRef>
        <a:fillRef idx="2">
          <a:schemeClr val="accent4">
            <a:hueOff val="0"/>
            <a:satOff val="0"/>
            <a:lumOff val="0"/>
            <a:alpha val="100000"/>
          </a:schemeClr>
        </a:fillRef>
        <a:effectRef idx="1">
          <a:scrgbClr r="0" g="0" b="0"/>
        </a:effectRef>
        <a:fontRef idx="minor">
          <a:schemeClr val="dk1"/>
        </a:fontRef>
      </dsp:style>
      <dsp:txBody>
        <a:bodyPr lIns="7620" tIns="7620" rIns="7620" bIns="762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b="1"/>
            <a:t>配送中心</a:t>
          </a:r>
        </a:p>
      </dsp:txBody>
      <dsp:txXfrm>
        <a:off x="1769090" y="1760281"/>
        <a:ext cx="1026440" cy="312939"/>
      </dsp:txXfrm>
    </dsp:sp>
    <dsp:sp modelId="{1A3C3D3D-C445-4C13-9EA9-CD59A10FB865}">
      <dsp:nvSpPr>
        <dsp:cNvPr id="19" name="矩形 18"/>
        <dsp:cNvSpPr/>
      </dsp:nvSpPr>
      <dsp:spPr bwMode="white">
        <a:xfrm>
          <a:off x="3000817" y="1760281"/>
          <a:ext cx="1026440" cy="312939"/>
        </a:xfrm>
        <a:prstGeom prst="rect">
          <a:avLst/>
        </a:prstGeom>
        <a:sp3d prstMaterial="dkEdge">
          <a:bevelT w="8200" h="38100"/>
        </a:sp3d>
      </dsp:spPr>
      <dsp:style>
        <a:lnRef idx="0">
          <a:schemeClr val="lt1"/>
        </a:lnRef>
        <a:fillRef idx="2">
          <a:schemeClr val="accent5">
            <a:hueOff val="0"/>
            <a:satOff val="0"/>
            <a:lumOff val="0"/>
            <a:alpha val="100000"/>
          </a:schemeClr>
        </a:fillRef>
        <a:effectRef idx="1">
          <a:scrgbClr r="0" g="0" b="0"/>
        </a:effectRef>
        <a:fontRef idx="minor">
          <a:schemeClr val="dk1"/>
        </a:fontRef>
      </dsp:style>
      <dsp:txBody>
        <a:bodyPr lIns="7620" tIns="7620" rIns="7620" bIns="762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b="1"/>
            <a:t>组织配送及车辆调度</a:t>
          </a:r>
        </a:p>
      </dsp:txBody>
      <dsp:txXfrm>
        <a:off x="3000817" y="1760281"/>
        <a:ext cx="1026440" cy="312939"/>
      </dsp:txXfrm>
    </dsp:sp>
    <dsp:sp modelId="{54C24482-0CA5-41B5-982E-ABCCBDCD1954}">
      <dsp:nvSpPr>
        <dsp:cNvPr id="21" name="矩形 20"/>
        <dsp:cNvSpPr/>
      </dsp:nvSpPr>
      <dsp:spPr bwMode="white">
        <a:xfrm>
          <a:off x="1769090" y="2151455"/>
          <a:ext cx="1026440" cy="312939"/>
        </a:xfrm>
        <a:prstGeom prst="rect">
          <a:avLst/>
        </a:prstGeom>
        <a:sp3d prstMaterial="dkEdge">
          <a:bevelT w="8200" h="38100"/>
        </a:sp3d>
      </dsp:spPr>
      <dsp:style>
        <a:lnRef idx="0">
          <a:schemeClr val="lt1"/>
        </a:lnRef>
        <a:fillRef idx="2">
          <a:schemeClr val="accent4">
            <a:hueOff val="0"/>
            <a:satOff val="0"/>
            <a:lumOff val="0"/>
            <a:alpha val="100000"/>
          </a:schemeClr>
        </a:fillRef>
        <a:effectRef idx="1">
          <a:scrgbClr r="0" g="0" b="0"/>
        </a:effectRef>
        <a:fontRef idx="minor">
          <a:schemeClr val="dk1"/>
        </a:fontRef>
      </dsp:style>
      <dsp:txBody>
        <a:bodyPr lIns="7620" tIns="7620" rIns="7620" bIns="762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b="1"/>
            <a:t>质监员</a:t>
          </a:r>
        </a:p>
      </dsp:txBody>
      <dsp:txXfrm>
        <a:off x="1769090" y="2151455"/>
        <a:ext cx="1026440" cy="312939"/>
      </dsp:txXfrm>
    </dsp:sp>
    <dsp:sp modelId="{A1563F5D-BCC3-4F8C-BB86-05313608EF2D}">
      <dsp:nvSpPr>
        <dsp:cNvPr id="23" name="矩形 22"/>
        <dsp:cNvSpPr/>
      </dsp:nvSpPr>
      <dsp:spPr bwMode="white">
        <a:xfrm>
          <a:off x="1769090" y="2542629"/>
          <a:ext cx="1026440" cy="312939"/>
        </a:xfrm>
        <a:prstGeom prst="rect">
          <a:avLst/>
        </a:prstGeom>
        <a:sp3d prstMaterial="dkEdge">
          <a:bevelT w="8200" h="38100"/>
        </a:sp3d>
      </dsp:spPr>
      <dsp:style>
        <a:lnRef idx="0">
          <a:schemeClr val="lt1"/>
        </a:lnRef>
        <a:fillRef idx="2">
          <a:schemeClr val="accent4">
            <a:hueOff val="0"/>
            <a:satOff val="0"/>
            <a:lumOff val="0"/>
            <a:alpha val="100000"/>
          </a:schemeClr>
        </a:fillRef>
        <a:effectRef idx="1">
          <a:scrgbClr r="0" g="0" b="0"/>
        </a:effectRef>
        <a:fontRef idx="minor">
          <a:schemeClr val="dk1"/>
        </a:fontRef>
      </dsp:style>
      <dsp:txBody>
        <a:bodyPr lIns="7620" tIns="7620" rIns="7620" bIns="762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b="1"/>
            <a:t>售后专员</a:t>
          </a:r>
        </a:p>
      </dsp:txBody>
      <dsp:txXfrm>
        <a:off x="1769090" y="2542629"/>
        <a:ext cx="1026440" cy="312939"/>
      </dsp:txXfrm>
    </dsp:sp>
    <dsp:sp modelId="{3C1258DB-4B53-417E-8F5C-2DD2C1730327}">
      <dsp:nvSpPr>
        <dsp:cNvPr id="25" name="矩形 24"/>
        <dsp:cNvSpPr/>
      </dsp:nvSpPr>
      <dsp:spPr bwMode="white">
        <a:xfrm>
          <a:off x="3000817" y="2542629"/>
          <a:ext cx="1026440" cy="312939"/>
        </a:xfrm>
        <a:prstGeom prst="rect">
          <a:avLst/>
        </a:prstGeom>
        <a:sp3d prstMaterial="dkEdge">
          <a:bevelT w="8200" h="38100"/>
        </a:sp3d>
      </dsp:spPr>
      <dsp:style>
        <a:lnRef idx="0">
          <a:schemeClr val="lt1"/>
        </a:lnRef>
        <a:fillRef idx="2">
          <a:schemeClr val="accent5">
            <a:hueOff val="0"/>
            <a:satOff val="0"/>
            <a:lumOff val="0"/>
            <a:alpha val="100000"/>
          </a:schemeClr>
        </a:fillRef>
        <a:effectRef idx="1">
          <a:scrgbClr r="0" g="0" b="0"/>
        </a:effectRef>
        <a:fontRef idx="minor">
          <a:schemeClr val="dk1"/>
        </a:fontRef>
      </dsp:style>
      <dsp:txBody>
        <a:bodyPr lIns="7620" tIns="7620" rIns="7620" bIns="762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b="1"/>
            <a:t>客服</a:t>
          </a:r>
        </a:p>
      </dsp:txBody>
      <dsp:txXfrm>
        <a:off x="3000817" y="2542629"/>
        <a:ext cx="1026440" cy="312939"/>
      </dsp:txXfrm>
    </dsp:sp>
    <dsp:sp modelId="{C72EA3EB-886E-4034-BAEC-3E1032C0FA34}">
      <dsp:nvSpPr>
        <dsp:cNvPr id="27" name="矩形 26"/>
        <dsp:cNvSpPr/>
      </dsp:nvSpPr>
      <dsp:spPr bwMode="white">
        <a:xfrm>
          <a:off x="1769090" y="3129389"/>
          <a:ext cx="1026440" cy="312939"/>
        </a:xfrm>
        <a:prstGeom prst="rect">
          <a:avLst/>
        </a:prstGeom>
        <a:sp3d prstMaterial="dkEdge">
          <a:bevelT w="8200" h="38100"/>
        </a:sp3d>
      </dsp:spPr>
      <dsp:style>
        <a:lnRef idx="0">
          <a:schemeClr val="lt1"/>
        </a:lnRef>
        <a:fillRef idx="2">
          <a:schemeClr val="accent4">
            <a:hueOff val="0"/>
            <a:satOff val="0"/>
            <a:lumOff val="0"/>
            <a:alpha val="100000"/>
          </a:schemeClr>
        </a:fillRef>
        <a:effectRef idx="1">
          <a:scrgbClr r="0" g="0" b="0"/>
        </a:effectRef>
        <a:fontRef idx="minor">
          <a:schemeClr val="dk1"/>
        </a:fontRef>
      </dsp:style>
      <dsp:txBody>
        <a:bodyPr lIns="7620" tIns="7620" rIns="7620" bIns="762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b="1"/>
            <a:t>办公室</a:t>
          </a:r>
        </a:p>
      </dsp:txBody>
      <dsp:txXfrm>
        <a:off x="1769090" y="3129389"/>
        <a:ext cx="1026440" cy="312939"/>
      </dsp:txXfrm>
    </dsp:sp>
    <dsp:sp modelId="{DD58D80A-8117-463A-879B-AFB36B182EE9}">
      <dsp:nvSpPr>
        <dsp:cNvPr id="29" name="矩形 28"/>
        <dsp:cNvSpPr/>
      </dsp:nvSpPr>
      <dsp:spPr bwMode="white">
        <a:xfrm>
          <a:off x="3000817" y="2933802"/>
          <a:ext cx="1026440" cy="312939"/>
        </a:xfrm>
        <a:prstGeom prst="rect">
          <a:avLst/>
        </a:prstGeom>
        <a:sp3d prstMaterial="dkEdge">
          <a:bevelT w="8200" h="38100"/>
        </a:sp3d>
      </dsp:spPr>
      <dsp:style>
        <a:lnRef idx="0">
          <a:schemeClr val="lt1"/>
        </a:lnRef>
        <a:fillRef idx="2">
          <a:schemeClr val="accent5">
            <a:hueOff val="0"/>
            <a:satOff val="0"/>
            <a:lumOff val="0"/>
            <a:alpha val="100000"/>
          </a:schemeClr>
        </a:fillRef>
        <a:effectRef idx="1">
          <a:scrgbClr r="0" g="0" b="0"/>
        </a:effectRef>
        <a:fontRef idx="minor">
          <a:schemeClr val="dk1"/>
        </a:fontRef>
      </dsp:style>
      <dsp:txBody>
        <a:bodyPr lIns="7620" tIns="7620" rIns="7620" bIns="762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b="1"/>
            <a:t>其它事项</a:t>
          </a:r>
        </a:p>
      </dsp:txBody>
      <dsp:txXfrm>
        <a:off x="3000817" y="2933802"/>
        <a:ext cx="1026440" cy="312939"/>
      </dsp:txXfrm>
    </dsp:sp>
    <dsp:sp modelId="{73138FFD-41FD-4AB4-B56D-0DE4D76A3090}">
      <dsp:nvSpPr>
        <dsp:cNvPr id="31" name="矩形 30"/>
        <dsp:cNvSpPr/>
      </dsp:nvSpPr>
      <dsp:spPr bwMode="white">
        <a:xfrm>
          <a:off x="3000817" y="3324976"/>
          <a:ext cx="1026440" cy="312939"/>
        </a:xfrm>
        <a:prstGeom prst="rect">
          <a:avLst/>
        </a:prstGeom>
        <a:sp3d prstMaterial="dkEdge">
          <a:bevelT w="8200" h="38100"/>
        </a:sp3d>
      </dsp:spPr>
      <dsp:style>
        <a:lnRef idx="0">
          <a:schemeClr val="lt1"/>
        </a:lnRef>
        <a:fillRef idx="2">
          <a:schemeClr val="accent5">
            <a:hueOff val="0"/>
            <a:satOff val="0"/>
            <a:lumOff val="0"/>
            <a:alpha val="100000"/>
          </a:schemeClr>
        </a:fillRef>
        <a:effectRef idx="1">
          <a:scrgbClr r="0" g="0" b="0"/>
        </a:effectRef>
        <a:fontRef idx="minor">
          <a:schemeClr val="dk1"/>
        </a:fontRef>
      </dsp:style>
      <dsp:txBody>
        <a:bodyPr lIns="7620" tIns="7620" rIns="7620" bIns="762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b="1"/>
            <a:t>人员培训</a:t>
          </a:r>
        </a:p>
      </dsp:txBody>
      <dsp:txXfrm>
        <a:off x="3000817" y="3324976"/>
        <a:ext cx="1026440" cy="3129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274310" cy="3242945"/>
        <a:chOff x="0" y="0"/>
        <a:chExt cx="5274310" cy="3242945"/>
      </a:xfrm>
    </dsp:grpSpPr>
    <dsp:sp modelId="{37821BAC-8A24-4E25-9A40-0696DE7DB3D7}">
      <dsp:nvSpPr>
        <dsp:cNvPr id="3" name="矩形 2"/>
        <dsp:cNvSpPr/>
      </dsp:nvSpPr>
      <dsp:spPr bwMode="white">
        <a:xfrm>
          <a:off x="0" y="2785677"/>
          <a:ext cx="5274310" cy="457268"/>
        </a:xfrm>
        <a:prstGeom prst="rect">
          <a:avLst/>
        </a:prstGeom>
        <a:sp3d contourW="19050" prstMaterial="metal">
          <a:bevelT w="88900" h="203200"/>
          <a:bevelB w="165100" h="254000"/>
        </a:sp3d>
      </dsp:spPr>
      <dsp:style>
        <a:lnRef idx="0">
          <a:schemeClr val="lt1"/>
        </a:lnRef>
        <a:fillRef idx="1">
          <a:schemeClr val="accent3">
            <a:hueOff val="0"/>
            <a:satOff val="0"/>
            <a:lumOff val="0"/>
            <a:alpha val="100000"/>
          </a:schemeClr>
        </a:fillRef>
        <a:effectRef idx="2">
          <a:scrgbClr r="0" g="0" b="0"/>
        </a:effectRef>
        <a:fontRef idx="minor">
          <a:schemeClr val="lt1"/>
        </a:fontRef>
      </dsp:style>
      <dsp:txBody>
        <a:bodyPr lIns="106680" tIns="106680" rIns="106680" bIns="106680" anchor="ctr"/>
        <a:lstStyle>
          <a:lvl1pPr algn="ctr">
            <a:defRPr sz="1500"/>
          </a:lvl1pPr>
          <a:lvl2pPr marL="57150" indent="-57150" algn="ctr">
            <a:defRPr sz="1100"/>
          </a:lvl2pPr>
          <a:lvl3pPr marL="114300" indent="-57150" algn="ctr">
            <a:defRPr sz="1100"/>
          </a:lvl3pPr>
          <a:lvl4pPr marL="171450" indent="-57150" algn="ctr">
            <a:defRPr sz="1100"/>
          </a:lvl4pPr>
          <a:lvl5pPr marL="228600" indent="-57150" algn="ctr">
            <a:defRPr sz="1100"/>
          </a:lvl5pPr>
          <a:lvl6pPr marL="285750" indent="-57150" algn="ctr">
            <a:defRPr sz="1100"/>
          </a:lvl6pPr>
          <a:lvl7pPr marL="342900" indent="-57150" algn="ctr">
            <a:defRPr sz="1100"/>
          </a:lvl7pPr>
          <a:lvl8pPr marL="400050" indent="-57150" algn="ctr">
            <a:defRPr sz="1100"/>
          </a:lvl8pPr>
          <a:lvl9pPr marL="457200" indent="-57150" algn="ctr">
            <a:defRPr sz="1100"/>
          </a:lvl9pPr>
        </a:lstStyle>
        <a:p>
          <a:pPr lvl="0">
            <a:lnSpc>
              <a:spcPct val="100000"/>
            </a:lnSpc>
            <a:spcBef>
              <a:spcPct val="0"/>
            </a:spcBef>
            <a:spcAft>
              <a:spcPct val="35000"/>
            </a:spcAft>
          </a:pPr>
          <a:r>
            <a:rPr lang="zh-CN"/>
            <a:t>通知现场司机按照新定线路继续完成继续完成运输路线</a:t>
          </a:r>
        </a:p>
      </dsp:txBody>
      <dsp:txXfrm>
        <a:off x="0" y="2785677"/>
        <a:ext cx="5274310" cy="457268"/>
      </dsp:txXfrm>
    </dsp:sp>
    <dsp:sp modelId="{ECAD0505-4EC2-445A-9DB8-4A3F5404797C}">
      <dsp:nvSpPr>
        <dsp:cNvPr id="4" name="上箭头标注 3"/>
        <dsp:cNvSpPr/>
      </dsp:nvSpPr>
      <dsp:spPr bwMode="white">
        <a:xfrm rot="10800000">
          <a:off x="0" y="2089258"/>
          <a:ext cx="5274310" cy="703278"/>
        </a:xfrm>
        <a:prstGeom prst="upArrowCallout">
          <a:avLst/>
        </a:prstGeom>
        <a:sp3d contourW="19050" prstMaterial="metal">
          <a:bevelT w="88900" h="203200"/>
          <a:bevelB w="165100" h="254000"/>
        </a:sp3d>
      </dsp:spPr>
      <dsp:style>
        <a:lnRef idx="0">
          <a:schemeClr val="lt1"/>
        </a:lnRef>
        <a:fillRef idx="1">
          <a:schemeClr val="accent3">
            <a:hueOff val="690000"/>
            <a:satOff val="25000"/>
            <a:lumOff val="-3626"/>
            <a:alpha val="100000"/>
          </a:schemeClr>
        </a:fillRef>
        <a:effectRef idx="2">
          <a:scrgbClr r="0" g="0" b="0"/>
        </a:effectRef>
        <a:fontRef idx="minor">
          <a:schemeClr val="lt1"/>
        </a:fontRef>
      </dsp:style>
      <dsp:txBody>
        <a:bodyPr rot="10800000" lIns="106680" tIns="106680" rIns="106680" bIns="106680" anchor="ctr"/>
        <a:lstStyle>
          <a:lvl1pPr algn="ctr">
            <a:defRPr sz="1500"/>
          </a:lvl1pPr>
          <a:lvl2pPr marL="57150" indent="-57150" algn="ctr">
            <a:defRPr sz="1100"/>
          </a:lvl2pPr>
          <a:lvl3pPr marL="114300" indent="-57150" algn="ctr">
            <a:defRPr sz="1100"/>
          </a:lvl3pPr>
          <a:lvl4pPr marL="171450" indent="-57150" algn="ctr">
            <a:defRPr sz="1100"/>
          </a:lvl4pPr>
          <a:lvl5pPr marL="228600" indent="-57150" algn="ctr">
            <a:defRPr sz="1100"/>
          </a:lvl5pPr>
          <a:lvl6pPr marL="285750" indent="-57150" algn="ctr">
            <a:defRPr sz="1100"/>
          </a:lvl6pPr>
          <a:lvl7pPr marL="342900" indent="-57150" algn="ctr">
            <a:defRPr sz="1100"/>
          </a:lvl7pPr>
          <a:lvl8pPr marL="400050" indent="-57150" algn="ctr">
            <a:defRPr sz="1100"/>
          </a:lvl8pPr>
          <a:lvl9pPr marL="457200" indent="-57150" algn="ctr">
            <a:defRPr sz="1100"/>
          </a:lvl9pPr>
        </a:lstStyle>
        <a:p>
          <a:pPr lvl="0">
            <a:lnSpc>
              <a:spcPct val="100000"/>
            </a:lnSpc>
            <a:spcBef>
              <a:spcPct val="0"/>
            </a:spcBef>
            <a:spcAft>
              <a:spcPct val="35000"/>
            </a:spcAft>
          </a:pPr>
          <a:r>
            <a:rPr lang="zh-CN"/>
            <a:t>研究商定第二条合理运输线路</a:t>
          </a:r>
        </a:p>
      </dsp:txBody>
      <dsp:txXfrm rot="10800000">
        <a:off x="0" y="2089258"/>
        <a:ext cx="5274310" cy="703278"/>
      </dsp:txXfrm>
    </dsp:sp>
    <dsp:sp modelId="{72B76E11-4C31-4E5E-A27D-B52D08A0579C}">
      <dsp:nvSpPr>
        <dsp:cNvPr id="5" name="上箭头标注 4"/>
        <dsp:cNvSpPr/>
      </dsp:nvSpPr>
      <dsp:spPr bwMode="white">
        <a:xfrm rot="10800000">
          <a:off x="0" y="1392838"/>
          <a:ext cx="5274310" cy="703278"/>
        </a:xfrm>
        <a:prstGeom prst="upArrowCallout">
          <a:avLst/>
        </a:prstGeom>
        <a:sp3d contourW="19050" prstMaterial="metal">
          <a:bevelT w="88900" h="203200"/>
          <a:bevelB w="165100" h="254000"/>
        </a:sp3d>
      </dsp:spPr>
      <dsp:style>
        <a:lnRef idx="0">
          <a:schemeClr val="lt1"/>
        </a:lnRef>
        <a:fillRef idx="1">
          <a:schemeClr val="accent3">
            <a:hueOff val="1380000"/>
            <a:satOff val="50000"/>
            <a:lumOff val="-7254"/>
            <a:alpha val="100000"/>
          </a:schemeClr>
        </a:fillRef>
        <a:effectRef idx="2">
          <a:scrgbClr r="0" g="0" b="0"/>
        </a:effectRef>
        <a:fontRef idx="minor">
          <a:schemeClr val="lt1"/>
        </a:fontRef>
      </dsp:style>
      <dsp:txBody>
        <a:bodyPr rot="10800000" lIns="106680" tIns="106680" rIns="106680" bIns="106680" anchor="ctr"/>
        <a:lstStyle>
          <a:lvl1pPr algn="ctr">
            <a:defRPr sz="1500"/>
          </a:lvl1pPr>
          <a:lvl2pPr marL="57150" indent="-57150" algn="ctr">
            <a:defRPr sz="1100"/>
          </a:lvl2pPr>
          <a:lvl3pPr marL="114300" indent="-57150" algn="ctr">
            <a:defRPr sz="1100"/>
          </a:lvl3pPr>
          <a:lvl4pPr marL="171450" indent="-57150" algn="ctr">
            <a:defRPr sz="1100"/>
          </a:lvl4pPr>
          <a:lvl5pPr marL="228600" indent="-57150" algn="ctr">
            <a:defRPr sz="1100"/>
          </a:lvl5pPr>
          <a:lvl6pPr marL="285750" indent="-57150" algn="ctr">
            <a:defRPr sz="1100"/>
          </a:lvl6pPr>
          <a:lvl7pPr marL="342900" indent="-57150" algn="ctr">
            <a:defRPr sz="1100"/>
          </a:lvl7pPr>
          <a:lvl8pPr marL="400050" indent="-57150" algn="ctr">
            <a:defRPr sz="1100"/>
          </a:lvl8pPr>
          <a:lvl9pPr marL="457200" indent="-57150" algn="ctr">
            <a:defRPr sz="1100"/>
          </a:lvl9pPr>
        </a:lstStyle>
        <a:p>
          <a:pPr lvl="0">
            <a:lnSpc>
              <a:spcPct val="100000"/>
            </a:lnSpc>
            <a:spcBef>
              <a:spcPct val="0"/>
            </a:spcBef>
            <a:spcAft>
              <a:spcPct val="35000"/>
            </a:spcAft>
          </a:pPr>
          <a:r>
            <a:rPr lang="zh-CN"/>
            <a:t>通知项目经理进行全程监控</a:t>
          </a:r>
        </a:p>
      </dsp:txBody>
      <dsp:txXfrm rot="10800000">
        <a:off x="0" y="1392838"/>
        <a:ext cx="5274310" cy="703278"/>
      </dsp:txXfrm>
    </dsp:sp>
    <dsp:sp modelId="{CBD49CB6-1D4A-4C94-B007-C882A3D7785C}">
      <dsp:nvSpPr>
        <dsp:cNvPr id="6" name="上箭头标注 5"/>
        <dsp:cNvSpPr/>
      </dsp:nvSpPr>
      <dsp:spPr bwMode="white">
        <a:xfrm rot="10800000">
          <a:off x="0" y="696419"/>
          <a:ext cx="5274310" cy="703278"/>
        </a:xfrm>
        <a:prstGeom prst="upArrowCallout">
          <a:avLst/>
        </a:prstGeom>
        <a:sp3d contourW="19050" prstMaterial="metal">
          <a:bevelT w="88900" h="203200"/>
          <a:bevelB w="165100" h="254000"/>
        </a:sp3d>
      </dsp:spPr>
      <dsp:style>
        <a:lnRef idx="0">
          <a:schemeClr val="lt1"/>
        </a:lnRef>
        <a:fillRef idx="1">
          <a:schemeClr val="accent3">
            <a:hueOff val="2070000"/>
            <a:satOff val="75000"/>
            <a:lumOff val="-10881"/>
            <a:alpha val="100000"/>
          </a:schemeClr>
        </a:fillRef>
        <a:effectRef idx="2">
          <a:scrgbClr r="0" g="0" b="0"/>
        </a:effectRef>
        <a:fontRef idx="minor">
          <a:schemeClr val="lt1"/>
        </a:fontRef>
      </dsp:style>
      <dsp:txBody>
        <a:bodyPr rot="10800000" lIns="106680" tIns="106680" rIns="106680" bIns="106680" anchor="ctr"/>
        <a:lstStyle>
          <a:lvl1pPr algn="ctr">
            <a:defRPr sz="1500"/>
          </a:lvl1pPr>
          <a:lvl2pPr marL="57150" indent="-57150" algn="ctr">
            <a:defRPr sz="1100"/>
          </a:lvl2pPr>
          <a:lvl3pPr marL="114300" indent="-57150" algn="ctr">
            <a:defRPr sz="1100"/>
          </a:lvl3pPr>
          <a:lvl4pPr marL="171450" indent="-57150" algn="ctr">
            <a:defRPr sz="1100"/>
          </a:lvl4pPr>
          <a:lvl5pPr marL="228600" indent="-57150" algn="ctr">
            <a:defRPr sz="1100"/>
          </a:lvl5pPr>
          <a:lvl6pPr marL="285750" indent="-57150" algn="ctr">
            <a:defRPr sz="1100"/>
          </a:lvl6pPr>
          <a:lvl7pPr marL="342900" indent="-57150" algn="ctr">
            <a:defRPr sz="1100"/>
          </a:lvl7pPr>
          <a:lvl8pPr marL="400050" indent="-57150" algn="ctr">
            <a:defRPr sz="1100"/>
          </a:lvl8pPr>
          <a:lvl9pPr marL="457200" indent="-57150" algn="ctr">
            <a:defRPr sz="1100"/>
          </a:lvl9pPr>
        </a:lstStyle>
        <a:p>
          <a:pPr lvl="0">
            <a:lnSpc>
              <a:spcPct val="100000"/>
            </a:lnSpc>
            <a:spcBef>
              <a:spcPct val="0"/>
            </a:spcBef>
            <a:spcAft>
              <a:spcPct val="35000"/>
            </a:spcAft>
          </a:pPr>
          <a:r>
            <a:rPr lang="zh-CN"/>
            <a:t>项目助理记录详细情况</a:t>
          </a:r>
        </a:p>
      </dsp:txBody>
      <dsp:txXfrm rot="10800000">
        <a:off x="0" y="696419"/>
        <a:ext cx="5274310" cy="703278"/>
      </dsp:txXfrm>
    </dsp:sp>
    <dsp:sp modelId="{FC8B88D1-BDC8-4E4E-897A-20380B358ECE}">
      <dsp:nvSpPr>
        <dsp:cNvPr id="7" name="上箭头标注 6"/>
        <dsp:cNvSpPr/>
      </dsp:nvSpPr>
      <dsp:spPr bwMode="white">
        <a:xfrm rot="10800000">
          <a:off x="0" y="0"/>
          <a:ext cx="5274310" cy="703278"/>
        </a:xfrm>
        <a:prstGeom prst="upArrowCallout">
          <a:avLst/>
        </a:prstGeom>
        <a:sp3d contourW="19050" prstMaterial="metal">
          <a:bevelT w="88900" h="203200"/>
          <a:bevelB w="165100" h="254000"/>
        </a:sp3d>
      </dsp:spPr>
      <dsp:style>
        <a:lnRef idx="0">
          <a:schemeClr val="lt1"/>
        </a:lnRef>
        <a:fillRef idx="1">
          <a:schemeClr val="accent3">
            <a:hueOff val="2760000"/>
            <a:satOff val="100000"/>
            <a:lumOff val="-14509"/>
            <a:alpha val="100000"/>
          </a:schemeClr>
        </a:fillRef>
        <a:effectRef idx="2">
          <a:scrgbClr r="0" g="0" b="0"/>
        </a:effectRef>
        <a:fontRef idx="minor">
          <a:schemeClr val="lt1"/>
        </a:fontRef>
      </dsp:style>
      <dsp:txBody>
        <a:bodyPr rot="10800000" lIns="106680" tIns="106680" rIns="106680" bIns="106680" anchor="ctr"/>
        <a:lstStyle>
          <a:lvl1pPr algn="ctr">
            <a:defRPr sz="1500"/>
          </a:lvl1pPr>
          <a:lvl2pPr marL="57150" indent="-57150" algn="ctr">
            <a:defRPr sz="1100"/>
          </a:lvl2pPr>
          <a:lvl3pPr marL="114300" indent="-57150" algn="ctr">
            <a:defRPr sz="1100"/>
          </a:lvl3pPr>
          <a:lvl4pPr marL="171450" indent="-57150" algn="ctr">
            <a:defRPr sz="1100"/>
          </a:lvl4pPr>
          <a:lvl5pPr marL="228600" indent="-57150" algn="ctr">
            <a:defRPr sz="1100"/>
          </a:lvl5pPr>
          <a:lvl6pPr marL="285750" indent="-57150" algn="ctr">
            <a:defRPr sz="1100"/>
          </a:lvl6pPr>
          <a:lvl7pPr marL="342900" indent="-57150" algn="ctr">
            <a:defRPr sz="1100"/>
          </a:lvl7pPr>
          <a:lvl8pPr marL="400050" indent="-57150" algn="ctr">
            <a:defRPr sz="1100"/>
          </a:lvl8pPr>
          <a:lvl9pPr marL="457200" indent="-57150" algn="ctr">
            <a:defRPr sz="1100"/>
          </a:lvl9pPr>
        </a:lstStyle>
        <a:p>
          <a:pPr lvl="0">
            <a:lnSpc>
              <a:spcPct val="100000"/>
            </a:lnSpc>
            <a:spcBef>
              <a:spcPct val="0"/>
            </a:spcBef>
            <a:spcAft>
              <a:spcPct val="35000"/>
            </a:spcAft>
          </a:pPr>
          <a:r>
            <a:rPr lang="zh-CN"/>
            <a:t>现场司机信息反馈</a:t>
          </a:r>
        </a:p>
      </dsp:txBody>
      <dsp:txXfrm rot="10800000">
        <a:off x="0" y="0"/>
        <a:ext cx="5274310" cy="703278"/>
      </dsp:txXfrm>
    </dsp:sp>
  </dsp:spTree>
</dsp:drawing>
</file>

<file path=word/diagrams/drawing4.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278120" cy="2707005"/>
        <a:chOff x="0" y="0"/>
        <a:chExt cx="5278120" cy="2707005"/>
      </a:xfrm>
    </dsp:grpSpPr>
    <dsp:sp modelId="{99045266-EE42-41FB-963E-FE62D1500936}">
      <dsp:nvSpPr>
        <dsp:cNvPr id="5" name="任意多边形 4"/>
        <dsp:cNvSpPr/>
      </dsp:nvSpPr>
      <dsp:spPr bwMode="white">
        <a:xfrm>
          <a:off x="2598459" y="869946"/>
          <a:ext cx="446610" cy="212952"/>
        </a:xfrm>
        <a:custGeom>
          <a:avLst/>
          <a:gdLst/>
          <a:ahLst/>
          <a:cxnLst/>
          <a:pathLst>
            <a:path w="703" h="335">
              <a:moveTo>
                <a:pt x="703" y="0"/>
              </a:moveTo>
              <a:lnTo>
                <a:pt x="703" y="271"/>
              </a:lnTo>
              <a:lnTo>
                <a:pt x="0" y="271"/>
              </a:lnTo>
              <a:lnTo>
                <a:pt x="0" y="335"/>
              </a:lnTo>
            </a:path>
          </a:pathLst>
        </a:custGeom>
      </dsp:spPr>
      <dsp:style>
        <a:lnRef idx="2">
          <a:schemeClr val="accent5"/>
        </a:lnRef>
        <a:fillRef idx="0">
          <a:schemeClr val="accent4">
            <a:tint val="90000"/>
          </a:schemeClr>
        </a:fillRef>
        <a:effectRef idx="0">
          <a:scrgbClr r="0" g="0" b="0"/>
        </a:effectRef>
        <a:fontRef idx="minor"/>
      </dsp:style>
      <dsp:txXfrm>
        <a:off x="2598459" y="869946"/>
        <a:ext cx="446610" cy="212952"/>
      </dsp:txXfrm>
    </dsp:sp>
    <dsp:sp modelId="{093D37C5-A45E-4560-8C52-2B530FA1D5D1}">
      <dsp:nvSpPr>
        <dsp:cNvPr id="8" name="任意多边形 7"/>
        <dsp:cNvSpPr/>
      </dsp:nvSpPr>
      <dsp:spPr bwMode="white">
        <a:xfrm>
          <a:off x="365408" y="1546966"/>
          <a:ext cx="2233051" cy="212952"/>
        </a:xfrm>
        <a:custGeom>
          <a:avLst/>
          <a:gdLst/>
          <a:ahLst/>
          <a:cxnLst/>
          <a:pathLst>
            <a:path w="3517" h="335">
              <a:moveTo>
                <a:pt x="3517" y="0"/>
              </a:moveTo>
              <a:lnTo>
                <a:pt x="3517" y="271"/>
              </a:lnTo>
              <a:lnTo>
                <a:pt x="0" y="271"/>
              </a:lnTo>
              <a:lnTo>
                <a:pt x="0" y="335"/>
              </a:lnTo>
            </a:path>
          </a:pathLst>
        </a:custGeom>
      </dsp:spPr>
      <dsp:style>
        <a:lnRef idx="2">
          <a:schemeClr val="accent6"/>
        </a:lnRef>
        <a:fillRef idx="0">
          <a:schemeClr val="accent4">
            <a:tint val="70000"/>
          </a:schemeClr>
        </a:fillRef>
        <a:effectRef idx="0">
          <a:scrgbClr r="0" g="0" b="0"/>
        </a:effectRef>
        <a:fontRef idx="minor"/>
      </dsp:style>
      <dsp:txXfrm>
        <a:off x="365408" y="1546966"/>
        <a:ext cx="2233051" cy="212952"/>
      </dsp:txXfrm>
    </dsp:sp>
    <dsp:sp modelId="{387A6FB1-51B0-4A0D-9C0B-97B9E85F51FA}">
      <dsp:nvSpPr>
        <dsp:cNvPr id="11" name="任意多边形 10"/>
        <dsp:cNvSpPr/>
      </dsp:nvSpPr>
      <dsp:spPr bwMode="white">
        <a:xfrm>
          <a:off x="1258629" y="1546966"/>
          <a:ext cx="1339830" cy="212952"/>
        </a:xfrm>
        <a:custGeom>
          <a:avLst/>
          <a:gdLst/>
          <a:ahLst/>
          <a:cxnLst/>
          <a:pathLst>
            <a:path w="2110" h="335">
              <a:moveTo>
                <a:pt x="2110" y="0"/>
              </a:moveTo>
              <a:lnTo>
                <a:pt x="2110" y="271"/>
              </a:lnTo>
              <a:lnTo>
                <a:pt x="0" y="271"/>
              </a:lnTo>
              <a:lnTo>
                <a:pt x="0" y="335"/>
              </a:lnTo>
            </a:path>
          </a:pathLst>
        </a:custGeom>
      </dsp:spPr>
      <dsp:style>
        <a:lnRef idx="2">
          <a:schemeClr val="accent6"/>
        </a:lnRef>
        <a:fillRef idx="0">
          <a:schemeClr val="accent4">
            <a:tint val="70000"/>
          </a:schemeClr>
        </a:fillRef>
        <a:effectRef idx="0">
          <a:scrgbClr r="0" g="0" b="0"/>
        </a:effectRef>
        <a:fontRef idx="minor"/>
      </dsp:style>
      <dsp:txXfrm>
        <a:off x="1258629" y="1546966"/>
        <a:ext cx="1339830" cy="212952"/>
      </dsp:txXfrm>
    </dsp:sp>
    <dsp:sp modelId="{D0971F60-BCAB-4CBF-83B2-763332F8F276}">
      <dsp:nvSpPr>
        <dsp:cNvPr id="14" name="任意多边形 13"/>
        <dsp:cNvSpPr/>
      </dsp:nvSpPr>
      <dsp:spPr bwMode="white">
        <a:xfrm>
          <a:off x="2151849" y="1546966"/>
          <a:ext cx="446610" cy="212952"/>
        </a:xfrm>
        <a:custGeom>
          <a:avLst/>
          <a:gdLst/>
          <a:ahLst/>
          <a:cxnLst/>
          <a:pathLst>
            <a:path w="703" h="335">
              <a:moveTo>
                <a:pt x="703" y="0"/>
              </a:moveTo>
              <a:lnTo>
                <a:pt x="703" y="271"/>
              </a:lnTo>
              <a:lnTo>
                <a:pt x="0" y="271"/>
              </a:lnTo>
              <a:lnTo>
                <a:pt x="0" y="335"/>
              </a:lnTo>
            </a:path>
          </a:pathLst>
        </a:custGeom>
      </dsp:spPr>
      <dsp:style>
        <a:lnRef idx="2">
          <a:schemeClr val="accent6"/>
        </a:lnRef>
        <a:fillRef idx="0">
          <a:schemeClr val="accent4">
            <a:tint val="70000"/>
          </a:schemeClr>
        </a:fillRef>
        <a:effectRef idx="0">
          <a:scrgbClr r="0" g="0" b="0"/>
        </a:effectRef>
        <a:fontRef idx="minor"/>
      </dsp:style>
      <dsp:txXfrm>
        <a:off x="2151849" y="1546966"/>
        <a:ext cx="446610" cy="212952"/>
      </dsp:txXfrm>
    </dsp:sp>
    <dsp:sp modelId="{0E71C095-16AA-4C55-B4F6-9595A764E580}">
      <dsp:nvSpPr>
        <dsp:cNvPr id="17" name="任意多边形 16"/>
        <dsp:cNvSpPr/>
      </dsp:nvSpPr>
      <dsp:spPr bwMode="white">
        <a:xfrm>
          <a:off x="2598459" y="1546966"/>
          <a:ext cx="446610" cy="212952"/>
        </a:xfrm>
        <a:custGeom>
          <a:avLst/>
          <a:gdLst/>
          <a:ahLst/>
          <a:cxnLst/>
          <a:pathLst>
            <a:path w="703" h="335">
              <a:moveTo>
                <a:pt x="0" y="0"/>
              </a:moveTo>
              <a:lnTo>
                <a:pt x="0" y="271"/>
              </a:lnTo>
              <a:lnTo>
                <a:pt x="703" y="271"/>
              </a:lnTo>
              <a:lnTo>
                <a:pt x="703" y="335"/>
              </a:lnTo>
            </a:path>
          </a:pathLst>
        </a:custGeom>
      </dsp:spPr>
      <dsp:style>
        <a:lnRef idx="2">
          <a:schemeClr val="accent6"/>
        </a:lnRef>
        <a:fillRef idx="0">
          <a:schemeClr val="accent4">
            <a:tint val="70000"/>
          </a:schemeClr>
        </a:fillRef>
        <a:effectRef idx="0">
          <a:scrgbClr r="0" g="0" b="0"/>
        </a:effectRef>
        <a:fontRef idx="minor"/>
      </dsp:style>
      <dsp:txXfrm>
        <a:off x="2598459" y="1546966"/>
        <a:ext cx="446610" cy="212952"/>
      </dsp:txXfrm>
    </dsp:sp>
    <dsp:sp modelId="{664BF598-63C6-48A7-B7A9-CEE8DFA2EEA0}">
      <dsp:nvSpPr>
        <dsp:cNvPr id="20" name="任意多边形 19"/>
        <dsp:cNvSpPr/>
      </dsp:nvSpPr>
      <dsp:spPr bwMode="white">
        <a:xfrm>
          <a:off x="2598459" y="1546966"/>
          <a:ext cx="1339830" cy="212952"/>
        </a:xfrm>
        <a:custGeom>
          <a:avLst/>
          <a:gdLst/>
          <a:ahLst/>
          <a:cxnLst/>
          <a:pathLst>
            <a:path w="2110" h="335">
              <a:moveTo>
                <a:pt x="0" y="0"/>
              </a:moveTo>
              <a:lnTo>
                <a:pt x="0" y="271"/>
              </a:lnTo>
              <a:lnTo>
                <a:pt x="2110" y="271"/>
              </a:lnTo>
              <a:lnTo>
                <a:pt x="2110" y="335"/>
              </a:lnTo>
            </a:path>
          </a:pathLst>
        </a:custGeom>
      </dsp:spPr>
      <dsp:style>
        <a:lnRef idx="2">
          <a:schemeClr val="accent6"/>
        </a:lnRef>
        <a:fillRef idx="0">
          <a:schemeClr val="accent4">
            <a:tint val="70000"/>
          </a:schemeClr>
        </a:fillRef>
        <a:effectRef idx="0">
          <a:scrgbClr r="0" g="0" b="0"/>
        </a:effectRef>
        <a:fontRef idx="minor"/>
      </dsp:style>
      <dsp:txXfrm>
        <a:off x="2598459" y="1546966"/>
        <a:ext cx="1339830" cy="212952"/>
      </dsp:txXfrm>
    </dsp:sp>
    <dsp:sp modelId="{922F9D76-D6AC-432F-B973-15FD97769FDD}">
      <dsp:nvSpPr>
        <dsp:cNvPr id="23" name="任意多边形 22"/>
        <dsp:cNvSpPr/>
      </dsp:nvSpPr>
      <dsp:spPr bwMode="white">
        <a:xfrm>
          <a:off x="2598459" y="1546966"/>
          <a:ext cx="2233051" cy="212952"/>
        </a:xfrm>
        <a:custGeom>
          <a:avLst/>
          <a:gdLst/>
          <a:ahLst/>
          <a:cxnLst/>
          <a:pathLst>
            <a:path w="3517" h="335">
              <a:moveTo>
                <a:pt x="0" y="0"/>
              </a:moveTo>
              <a:lnTo>
                <a:pt x="0" y="271"/>
              </a:lnTo>
              <a:lnTo>
                <a:pt x="3517" y="271"/>
              </a:lnTo>
              <a:lnTo>
                <a:pt x="3517" y="335"/>
              </a:lnTo>
            </a:path>
          </a:pathLst>
        </a:custGeom>
      </dsp:spPr>
      <dsp:style>
        <a:lnRef idx="2">
          <a:schemeClr val="accent6"/>
        </a:lnRef>
        <a:fillRef idx="0">
          <a:schemeClr val="accent4">
            <a:tint val="70000"/>
          </a:schemeClr>
        </a:fillRef>
        <a:effectRef idx="0">
          <a:scrgbClr r="0" g="0" b="0"/>
        </a:effectRef>
        <a:fontRef idx="minor"/>
      </dsp:style>
      <dsp:txXfrm>
        <a:off x="2598459" y="1546966"/>
        <a:ext cx="2233051" cy="212952"/>
      </dsp:txXfrm>
    </dsp:sp>
    <dsp:sp modelId="{40C13DC7-71A4-4173-AF65-B0EF65942D38}">
      <dsp:nvSpPr>
        <dsp:cNvPr id="26" name="任意多边形 25"/>
        <dsp:cNvSpPr/>
      </dsp:nvSpPr>
      <dsp:spPr bwMode="white">
        <a:xfrm>
          <a:off x="3045069" y="869946"/>
          <a:ext cx="446610" cy="212952"/>
        </a:xfrm>
        <a:custGeom>
          <a:avLst/>
          <a:gdLst/>
          <a:ahLst/>
          <a:cxnLst/>
          <a:pathLst>
            <a:path w="703" h="335">
              <a:moveTo>
                <a:pt x="0" y="0"/>
              </a:moveTo>
              <a:lnTo>
                <a:pt x="0" y="271"/>
              </a:lnTo>
              <a:lnTo>
                <a:pt x="703" y="271"/>
              </a:lnTo>
              <a:lnTo>
                <a:pt x="703" y="335"/>
              </a:lnTo>
            </a:path>
          </a:pathLst>
        </a:custGeom>
      </dsp:spPr>
      <dsp:style>
        <a:lnRef idx="2">
          <a:schemeClr val="accent5"/>
        </a:lnRef>
        <a:fillRef idx="0">
          <a:schemeClr val="accent4">
            <a:tint val="90000"/>
          </a:schemeClr>
        </a:fillRef>
        <a:effectRef idx="0">
          <a:scrgbClr r="0" g="0" b="0"/>
        </a:effectRef>
        <a:fontRef idx="minor"/>
      </dsp:style>
      <dsp:txXfrm>
        <a:off x="3045069" y="869946"/>
        <a:ext cx="446610" cy="212952"/>
      </dsp:txXfrm>
    </dsp:sp>
    <dsp:sp modelId="{27BFDE9B-F817-41A9-A9DA-721D25D511C8}">
      <dsp:nvSpPr>
        <dsp:cNvPr id="3" name="圆角矩形 2"/>
        <dsp:cNvSpPr/>
      </dsp:nvSpPr>
      <dsp:spPr bwMode="white">
        <a:xfrm>
          <a:off x="2679661" y="405877"/>
          <a:ext cx="730817" cy="464069"/>
        </a:xfrm>
        <a:prstGeom prst="roundRect">
          <a:avLst>
            <a:gd name="adj" fmla="val 10000"/>
          </a:avLst>
        </a:prstGeom>
        <a:sp3d prstMaterial="dkEdge">
          <a:bevelT w="8200" h="38100"/>
        </a:sp3d>
      </dsp:spPr>
      <dsp:style>
        <a:lnRef idx="0">
          <a:schemeClr val="lt1"/>
        </a:lnRef>
        <a:fillRef idx="2">
          <a:schemeClr val="accent3"/>
        </a:fillRef>
        <a:effectRef idx="1">
          <a:scrgbClr r="0" g="0" b="0"/>
        </a:effectRef>
        <a:fontRef idx="minor">
          <a:schemeClr val="dk1"/>
        </a:fontRef>
      </dsp:style>
      <dsp:txXfrm>
        <a:off x="2679661" y="405877"/>
        <a:ext cx="730817" cy="464069"/>
      </dsp:txXfrm>
    </dsp:sp>
    <dsp:sp modelId="{1B9F45C4-987B-40BC-B2AD-A8DF2B10F437}">
      <dsp:nvSpPr>
        <dsp:cNvPr id="4" name="圆角矩形 3"/>
        <dsp:cNvSpPr/>
      </dsp:nvSpPr>
      <dsp:spPr bwMode="white">
        <a:xfrm>
          <a:off x="2760863" y="483019"/>
          <a:ext cx="730817" cy="464069"/>
        </a:xfrm>
        <a:prstGeom prst="roundRect">
          <a:avLst>
            <a:gd name="adj" fmla="val 10000"/>
          </a:avLst>
        </a:prstGeom>
      </dsp:spPr>
      <dsp:style>
        <a:lnRef idx="1">
          <a:schemeClr val="accent3"/>
        </a:lnRef>
        <a:fillRef idx="1">
          <a:schemeClr val="lt1">
            <a:alpha val="90000"/>
          </a:schemeClr>
        </a:fillRef>
        <a:effectRef idx="0">
          <a:scrgbClr r="0" g="0" b="0"/>
        </a:effectRef>
        <a:fontRef idx="minor"/>
      </dsp:style>
      <dsp:txBody>
        <a:bodyPr lIns="41910" tIns="41910" rIns="41910" bIns="41910" anchor="ctr"/>
        <a:lstStyle>
          <a:lvl1pPr algn="ctr">
            <a:defRPr sz="11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pPr>
          <a:r>
            <a:rPr lang="zh-CN">
              <a:solidFill>
                <a:schemeClr val="dk1"/>
              </a:solidFill>
            </a:rPr>
            <a:t>项目领导小组</a:t>
          </a:r>
          <a:endParaRPr lang="zh-CN" altLang="en-US">
            <a:solidFill>
              <a:schemeClr val="dk1"/>
            </a:solidFill>
          </a:endParaRPr>
        </a:p>
      </dsp:txBody>
      <dsp:txXfrm>
        <a:off x="2760863" y="483019"/>
        <a:ext cx="730817" cy="464069"/>
      </dsp:txXfrm>
    </dsp:sp>
    <dsp:sp modelId="{27868715-A185-4B5C-98C6-B635494EA49B}">
      <dsp:nvSpPr>
        <dsp:cNvPr id="6" name="圆角矩形 5"/>
        <dsp:cNvSpPr/>
      </dsp:nvSpPr>
      <dsp:spPr bwMode="white">
        <a:xfrm>
          <a:off x="2233051" y="1082897"/>
          <a:ext cx="730817" cy="464069"/>
        </a:xfrm>
        <a:prstGeom prst="roundRect">
          <a:avLst>
            <a:gd name="adj" fmla="val 10000"/>
          </a:avLst>
        </a:prstGeom>
        <a:sp3d prstMaterial="dkEdge">
          <a:bevelT w="8200" h="38100"/>
        </a:sp3d>
      </dsp:spPr>
      <dsp:style>
        <a:lnRef idx="0">
          <a:schemeClr val="lt1"/>
        </a:lnRef>
        <a:fillRef idx="2">
          <a:schemeClr val="accent5"/>
        </a:fillRef>
        <a:effectRef idx="1">
          <a:scrgbClr r="0" g="0" b="0"/>
        </a:effectRef>
        <a:fontRef idx="minor">
          <a:schemeClr val="dk1"/>
        </a:fontRef>
      </dsp:style>
      <dsp:txXfrm>
        <a:off x="2233051" y="1082897"/>
        <a:ext cx="730817" cy="464069"/>
      </dsp:txXfrm>
    </dsp:sp>
    <dsp:sp modelId="{5AC277A0-B0EC-4F7D-9BD8-73309ACD4455}">
      <dsp:nvSpPr>
        <dsp:cNvPr id="7" name="圆角矩形 6"/>
        <dsp:cNvSpPr/>
      </dsp:nvSpPr>
      <dsp:spPr bwMode="white">
        <a:xfrm>
          <a:off x="2314253" y="1160039"/>
          <a:ext cx="730817" cy="464069"/>
        </a:xfrm>
        <a:prstGeom prst="roundRect">
          <a:avLst>
            <a:gd name="adj" fmla="val 10000"/>
          </a:avLst>
        </a:prstGeom>
      </dsp:spPr>
      <dsp:style>
        <a:lnRef idx="1">
          <a:schemeClr val="accent5">
            <a:hueOff val="0"/>
            <a:satOff val="0"/>
            <a:lumOff val="0"/>
            <a:alpha val="100000"/>
          </a:schemeClr>
        </a:lnRef>
        <a:fillRef idx="1">
          <a:schemeClr val="lt1">
            <a:alpha val="90000"/>
          </a:schemeClr>
        </a:fillRef>
        <a:effectRef idx="0">
          <a:scrgbClr r="0" g="0" b="0"/>
        </a:effectRef>
        <a:fontRef idx="minor"/>
      </dsp:style>
      <dsp:txBody>
        <a:bodyPr lIns="41910" tIns="41910" rIns="41910" bIns="41910" anchor="ctr"/>
        <a:lstStyle>
          <a:lvl1pPr algn="ctr">
            <a:defRPr sz="11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pPr>
          <a:r>
            <a:rPr lang="zh-CN">
              <a:solidFill>
                <a:schemeClr val="dk1"/>
              </a:solidFill>
            </a:rPr>
            <a:t>项目实施组</a:t>
          </a:r>
          <a:endParaRPr>
            <a:solidFill>
              <a:schemeClr val="dk1"/>
            </a:solidFill>
          </a:endParaRPr>
        </a:p>
      </dsp:txBody>
      <dsp:txXfrm>
        <a:off x="2314253" y="1160039"/>
        <a:ext cx="730817" cy="464069"/>
      </dsp:txXfrm>
    </dsp:sp>
    <dsp:sp modelId="{C74BA791-9038-401D-8A80-2B45625F5B9A}">
      <dsp:nvSpPr>
        <dsp:cNvPr id="9" name="圆角矩形 8"/>
        <dsp:cNvSpPr/>
      </dsp:nvSpPr>
      <dsp:spPr bwMode="white">
        <a:xfrm>
          <a:off x="0" y="1759918"/>
          <a:ext cx="730817" cy="464069"/>
        </a:xfrm>
        <a:prstGeom prst="roundRect">
          <a:avLst>
            <a:gd name="adj" fmla="val 10000"/>
          </a:avLst>
        </a:prstGeom>
        <a:sp3d prstMaterial="dkEdge">
          <a:bevelT w="8200" h="38100"/>
        </a:sp3d>
      </dsp:spPr>
      <dsp:style>
        <a:lnRef idx="0">
          <a:schemeClr val="lt1"/>
        </a:lnRef>
        <a:fillRef idx="2">
          <a:schemeClr val="accent6">
            <a:hueOff val="0"/>
            <a:satOff val="0"/>
            <a:lumOff val="0"/>
            <a:alpha val="100000"/>
          </a:schemeClr>
        </a:fillRef>
        <a:effectRef idx="1">
          <a:scrgbClr r="0" g="0" b="0"/>
        </a:effectRef>
        <a:fontRef idx="minor">
          <a:schemeClr val="dk1"/>
        </a:fontRef>
      </dsp:style>
      <dsp:txXfrm>
        <a:off x="0" y="1759918"/>
        <a:ext cx="730817" cy="464069"/>
      </dsp:txXfrm>
    </dsp:sp>
    <dsp:sp modelId="{9364F55C-2D6F-4178-B417-0842101ADC7B}">
      <dsp:nvSpPr>
        <dsp:cNvPr id="10" name="圆角矩形 9"/>
        <dsp:cNvSpPr/>
      </dsp:nvSpPr>
      <dsp:spPr bwMode="white">
        <a:xfrm>
          <a:off x="81202" y="1837059"/>
          <a:ext cx="730817" cy="464069"/>
        </a:xfrm>
        <a:prstGeom prst="roundRect">
          <a:avLst>
            <a:gd name="adj" fmla="val 10000"/>
          </a:avLst>
        </a:prstGeom>
      </dsp:spPr>
      <dsp:style>
        <a:lnRef idx="1">
          <a:schemeClr val="accent6">
            <a:hueOff val="0"/>
            <a:satOff val="0"/>
            <a:lumOff val="0"/>
            <a:alpha val="100000"/>
          </a:schemeClr>
        </a:lnRef>
        <a:fillRef idx="1">
          <a:schemeClr val="lt1">
            <a:alpha val="90000"/>
          </a:schemeClr>
        </a:fillRef>
        <a:effectRef idx="0">
          <a:scrgbClr r="0" g="0" b="0"/>
        </a:effectRef>
        <a:fontRef idx="minor"/>
      </dsp:style>
      <dsp:txBody>
        <a:bodyPr lIns="41910" tIns="41910" rIns="41910" bIns="41910" anchor="ctr"/>
        <a:lstStyle>
          <a:lvl1pPr algn="ctr">
            <a:defRPr sz="11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pPr>
          <a:r>
            <a:rPr lang="zh-CN">
              <a:solidFill>
                <a:schemeClr val="dk1"/>
              </a:solidFill>
            </a:rPr>
            <a:t>商务小组</a:t>
          </a:r>
          <a:endParaRPr>
            <a:solidFill>
              <a:schemeClr val="dk1"/>
            </a:solidFill>
          </a:endParaRPr>
        </a:p>
      </dsp:txBody>
      <dsp:txXfrm>
        <a:off x="81202" y="1837059"/>
        <a:ext cx="730817" cy="464069"/>
      </dsp:txXfrm>
    </dsp:sp>
    <dsp:sp modelId="{9A866DD7-5CD6-4172-A253-ACB4772E6AC7}">
      <dsp:nvSpPr>
        <dsp:cNvPr id="12" name="圆角矩形 11"/>
        <dsp:cNvSpPr/>
      </dsp:nvSpPr>
      <dsp:spPr bwMode="white">
        <a:xfrm>
          <a:off x="893220" y="1759918"/>
          <a:ext cx="730817" cy="464069"/>
        </a:xfrm>
        <a:prstGeom prst="roundRect">
          <a:avLst>
            <a:gd name="adj" fmla="val 10000"/>
          </a:avLst>
        </a:prstGeom>
        <a:sp3d prstMaterial="dkEdge">
          <a:bevelT w="8200" h="38100"/>
        </a:sp3d>
      </dsp:spPr>
      <dsp:style>
        <a:lnRef idx="0">
          <a:schemeClr val="lt1"/>
        </a:lnRef>
        <a:fillRef idx="2">
          <a:schemeClr val="accent6">
            <a:hueOff val="0"/>
            <a:satOff val="0"/>
            <a:lumOff val="0"/>
            <a:alpha val="100000"/>
          </a:schemeClr>
        </a:fillRef>
        <a:effectRef idx="1">
          <a:scrgbClr r="0" g="0" b="0"/>
        </a:effectRef>
        <a:fontRef idx="minor">
          <a:schemeClr val="dk1"/>
        </a:fontRef>
      </dsp:style>
      <dsp:txXfrm>
        <a:off x="893220" y="1759918"/>
        <a:ext cx="730817" cy="464069"/>
      </dsp:txXfrm>
    </dsp:sp>
    <dsp:sp modelId="{2E3B88FE-B472-4707-A072-9604FE7977D6}">
      <dsp:nvSpPr>
        <dsp:cNvPr id="13" name="圆角矩形 12"/>
        <dsp:cNvSpPr/>
      </dsp:nvSpPr>
      <dsp:spPr bwMode="white">
        <a:xfrm>
          <a:off x="974422" y="1837059"/>
          <a:ext cx="730817" cy="464069"/>
        </a:xfrm>
        <a:prstGeom prst="roundRect">
          <a:avLst>
            <a:gd name="adj" fmla="val 10000"/>
          </a:avLst>
        </a:prstGeom>
      </dsp:spPr>
      <dsp:style>
        <a:lnRef idx="1">
          <a:schemeClr val="accent6">
            <a:hueOff val="0"/>
            <a:satOff val="0"/>
            <a:lumOff val="0"/>
            <a:alpha val="100000"/>
          </a:schemeClr>
        </a:lnRef>
        <a:fillRef idx="1">
          <a:schemeClr val="lt1">
            <a:alpha val="90000"/>
          </a:schemeClr>
        </a:fillRef>
        <a:effectRef idx="0">
          <a:scrgbClr r="0" g="0" b="0"/>
        </a:effectRef>
        <a:fontRef idx="minor"/>
      </dsp:style>
      <dsp:txBody>
        <a:bodyPr lIns="41910" tIns="41910" rIns="41910" bIns="41910" anchor="ctr"/>
        <a:lstStyle>
          <a:lvl1pPr algn="ctr">
            <a:defRPr sz="11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pPr>
          <a:r>
            <a:rPr lang="zh-CN">
              <a:solidFill>
                <a:schemeClr val="dk1"/>
              </a:solidFill>
            </a:rPr>
            <a:t>运输实施小组</a:t>
          </a:r>
          <a:endParaRPr>
            <a:solidFill>
              <a:schemeClr val="dk1"/>
            </a:solidFill>
          </a:endParaRPr>
        </a:p>
      </dsp:txBody>
      <dsp:txXfrm>
        <a:off x="974422" y="1837059"/>
        <a:ext cx="730817" cy="464069"/>
      </dsp:txXfrm>
    </dsp:sp>
    <dsp:sp modelId="{8BE4965F-64AE-4C51-A663-543699C9479E}">
      <dsp:nvSpPr>
        <dsp:cNvPr id="15" name="圆角矩形 14"/>
        <dsp:cNvSpPr/>
      </dsp:nvSpPr>
      <dsp:spPr bwMode="white">
        <a:xfrm>
          <a:off x="1786441" y="1759918"/>
          <a:ext cx="730817" cy="464069"/>
        </a:xfrm>
        <a:prstGeom prst="roundRect">
          <a:avLst>
            <a:gd name="adj" fmla="val 10000"/>
          </a:avLst>
        </a:prstGeom>
        <a:sp3d prstMaterial="dkEdge">
          <a:bevelT w="8200" h="38100"/>
        </a:sp3d>
      </dsp:spPr>
      <dsp:style>
        <a:lnRef idx="0">
          <a:schemeClr val="lt1"/>
        </a:lnRef>
        <a:fillRef idx="2">
          <a:schemeClr val="accent6">
            <a:hueOff val="0"/>
            <a:satOff val="0"/>
            <a:lumOff val="0"/>
            <a:alpha val="100000"/>
          </a:schemeClr>
        </a:fillRef>
        <a:effectRef idx="1">
          <a:scrgbClr r="0" g="0" b="0"/>
        </a:effectRef>
        <a:fontRef idx="minor">
          <a:schemeClr val="dk1"/>
        </a:fontRef>
      </dsp:style>
      <dsp:txXfrm>
        <a:off x="1786441" y="1759918"/>
        <a:ext cx="730817" cy="464069"/>
      </dsp:txXfrm>
    </dsp:sp>
    <dsp:sp modelId="{D71FBCA1-4AC9-4495-BBDA-DE5036927B69}">
      <dsp:nvSpPr>
        <dsp:cNvPr id="16" name="圆角矩形 15"/>
        <dsp:cNvSpPr/>
      </dsp:nvSpPr>
      <dsp:spPr bwMode="white">
        <a:xfrm>
          <a:off x="1867642" y="1837059"/>
          <a:ext cx="730817" cy="464069"/>
        </a:xfrm>
        <a:prstGeom prst="roundRect">
          <a:avLst>
            <a:gd name="adj" fmla="val 10000"/>
          </a:avLst>
        </a:prstGeom>
      </dsp:spPr>
      <dsp:style>
        <a:lnRef idx="1">
          <a:schemeClr val="accent6">
            <a:hueOff val="0"/>
            <a:satOff val="0"/>
            <a:lumOff val="0"/>
            <a:alpha val="100000"/>
          </a:schemeClr>
        </a:lnRef>
        <a:fillRef idx="1">
          <a:schemeClr val="lt1">
            <a:alpha val="90000"/>
          </a:schemeClr>
        </a:fillRef>
        <a:effectRef idx="0">
          <a:scrgbClr r="0" g="0" b="0"/>
        </a:effectRef>
        <a:fontRef idx="minor"/>
      </dsp:style>
      <dsp:txBody>
        <a:bodyPr lIns="41910" tIns="41910" rIns="41910" bIns="41910" anchor="ctr"/>
        <a:lstStyle>
          <a:lvl1pPr algn="ctr">
            <a:defRPr sz="11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pPr>
          <a:r>
            <a:rPr lang="zh-CN">
              <a:solidFill>
                <a:schemeClr val="dk1"/>
              </a:solidFill>
            </a:rPr>
            <a:t>技术支持小组</a:t>
          </a:r>
          <a:endParaRPr>
            <a:solidFill>
              <a:schemeClr val="dk1"/>
            </a:solidFill>
          </a:endParaRPr>
        </a:p>
      </dsp:txBody>
      <dsp:txXfrm>
        <a:off x="1867642" y="1837059"/>
        <a:ext cx="730817" cy="464069"/>
      </dsp:txXfrm>
    </dsp:sp>
    <dsp:sp modelId="{E60EA14C-8D57-4E30-A8B8-14ED662A39ED}">
      <dsp:nvSpPr>
        <dsp:cNvPr id="18" name="圆角矩形 17"/>
        <dsp:cNvSpPr/>
      </dsp:nvSpPr>
      <dsp:spPr bwMode="white">
        <a:xfrm>
          <a:off x="2679661" y="1759918"/>
          <a:ext cx="730817" cy="464069"/>
        </a:xfrm>
        <a:prstGeom prst="roundRect">
          <a:avLst>
            <a:gd name="adj" fmla="val 10000"/>
          </a:avLst>
        </a:prstGeom>
        <a:sp3d prstMaterial="dkEdge">
          <a:bevelT w="8200" h="38100"/>
        </a:sp3d>
      </dsp:spPr>
      <dsp:style>
        <a:lnRef idx="0">
          <a:schemeClr val="lt1"/>
        </a:lnRef>
        <a:fillRef idx="2">
          <a:schemeClr val="accent6">
            <a:hueOff val="0"/>
            <a:satOff val="0"/>
            <a:lumOff val="0"/>
            <a:alpha val="100000"/>
          </a:schemeClr>
        </a:fillRef>
        <a:effectRef idx="1">
          <a:scrgbClr r="0" g="0" b="0"/>
        </a:effectRef>
        <a:fontRef idx="minor">
          <a:schemeClr val="dk1"/>
        </a:fontRef>
      </dsp:style>
      <dsp:txXfrm>
        <a:off x="2679661" y="1759918"/>
        <a:ext cx="730817" cy="464069"/>
      </dsp:txXfrm>
    </dsp:sp>
    <dsp:sp modelId="{83E5A5C9-367E-49EB-B95E-0076BB737C86}">
      <dsp:nvSpPr>
        <dsp:cNvPr id="19" name="圆角矩形 18"/>
        <dsp:cNvSpPr/>
      </dsp:nvSpPr>
      <dsp:spPr bwMode="white">
        <a:xfrm>
          <a:off x="2760863" y="1837059"/>
          <a:ext cx="730817" cy="464069"/>
        </a:xfrm>
        <a:prstGeom prst="roundRect">
          <a:avLst>
            <a:gd name="adj" fmla="val 10000"/>
          </a:avLst>
        </a:prstGeom>
      </dsp:spPr>
      <dsp:style>
        <a:lnRef idx="1">
          <a:schemeClr val="accent6">
            <a:hueOff val="0"/>
            <a:satOff val="0"/>
            <a:lumOff val="0"/>
            <a:alpha val="100000"/>
          </a:schemeClr>
        </a:lnRef>
        <a:fillRef idx="1">
          <a:schemeClr val="lt1">
            <a:alpha val="90000"/>
          </a:schemeClr>
        </a:fillRef>
        <a:effectRef idx="0">
          <a:scrgbClr r="0" g="0" b="0"/>
        </a:effectRef>
        <a:fontRef idx="minor"/>
      </dsp:style>
      <dsp:txBody>
        <a:bodyPr lIns="41910" tIns="41910" rIns="41910" bIns="41910" anchor="ctr"/>
        <a:lstStyle>
          <a:lvl1pPr algn="ctr">
            <a:defRPr sz="11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pPr>
          <a:r>
            <a:rPr lang="zh-CN">
              <a:solidFill>
                <a:schemeClr val="dk1"/>
              </a:solidFill>
            </a:rPr>
            <a:t>验收小组</a:t>
          </a:r>
          <a:endParaRPr>
            <a:solidFill>
              <a:schemeClr val="dk1"/>
            </a:solidFill>
          </a:endParaRPr>
        </a:p>
      </dsp:txBody>
      <dsp:txXfrm>
        <a:off x="2760863" y="1837059"/>
        <a:ext cx="730817" cy="464069"/>
      </dsp:txXfrm>
    </dsp:sp>
    <dsp:sp modelId="{501E16F0-D3B7-4CAA-A3CF-29F050C302DA}">
      <dsp:nvSpPr>
        <dsp:cNvPr id="21" name="圆角矩形 20"/>
        <dsp:cNvSpPr/>
      </dsp:nvSpPr>
      <dsp:spPr bwMode="white">
        <a:xfrm>
          <a:off x="3572881" y="1759918"/>
          <a:ext cx="730817" cy="464069"/>
        </a:xfrm>
        <a:prstGeom prst="roundRect">
          <a:avLst>
            <a:gd name="adj" fmla="val 10000"/>
          </a:avLst>
        </a:prstGeom>
        <a:sp3d prstMaterial="dkEdge">
          <a:bevelT w="8200" h="38100"/>
        </a:sp3d>
      </dsp:spPr>
      <dsp:style>
        <a:lnRef idx="0">
          <a:schemeClr val="lt1"/>
        </a:lnRef>
        <a:fillRef idx="2">
          <a:schemeClr val="accent6">
            <a:hueOff val="0"/>
            <a:satOff val="0"/>
            <a:lumOff val="0"/>
            <a:alpha val="100000"/>
          </a:schemeClr>
        </a:fillRef>
        <a:effectRef idx="1">
          <a:scrgbClr r="0" g="0" b="0"/>
        </a:effectRef>
        <a:fontRef idx="minor">
          <a:schemeClr val="dk1"/>
        </a:fontRef>
      </dsp:style>
      <dsp:txXfrm>
        <a:off x="3572881" y="1759918"/>
        <a:ext cx="730817" cy="464069"/>
      </dsp:txXfrm>
    </dsp:sp>
    <dsp:sp modelId="{DA018783-52B2-44B3-8AEA-871F231492E0}">
      <dsp:nvSpPr>
        <dsp:cNvPr id="22" name="圆角矩形 21"/>
        <dsp:cNvSpPr/>
      </dsp:nvSpPr>
      <dsp:spPr bwMode="white">
        <a:xfrm>
          <a:off x="3654083" y="1837059"/>
          <a:ext cx="730817" cy="464069"/>
        </a:xfrm>
        <a:prstGeom prst="roundRect">
          <a:avLst>
            <a:gd name="adj" fmla="val 10000"/>
          </a:avLst>
        </a:prstGeom>
      </dsp:spPr>
      <dsp:style>
        <a:lnRef idx="1">
          <a:schemeClr val="accent6">
            <a:hueOff val="0"/>
            <a:satOff val="0"/>
            <a:lumOff val="0"/>
            <a:alpha val="100000"/>
          </a:schemeClr>
        </a:lnRef>
        <a:fillRef idx="1">
          <a:schemeClr val="lt1">
            <a:alpha val="90000"/>
          </a:schemeClr>
        </a:fillRef>
        <a:effectRef idx="0">
          <a:scrgbClr r="0" g="0" b="0"/>
        </a:effectRef>
        <a:fontRef idx="minor"/>
      </dsp:style>
      <dsp:txBody>
        <a:bodyPr lIns="41910" tIns="41910" rIns="41910" bIns="41910" anchor="ctr"/>
        <a:lstStyle>
          <a:lvl1pPr algn="ctr">
            <a:defRPr sz="11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pPr>
          <a:r>
            <a:rPr lang="zh-CN">
              <a:solidFill>
                <a:schemeClr val="dk1"/>
              </a:solidFill>
            </a:rPr>
            <a:t>质量监控小组</a:t>
          </a:r>
          <a:endParaRPr>
            <a:solidFill>
              <a:schemeClr val="dk1"/>
            </a:solidFill>
          </a:endParaRPr>
        </a:p>
      </dsp:txBody>
      <dsp:txXfrm>
        <a:off x="3654083" y="1837059"/>
        <a:ext cx="730817" cy="464069"/>
      </dsp:txXfrm>
    </dsp:sp>
    <dsp:sp modelId="{B8DA73E3-8C8F-4E20-BD72-265E330CD14C}">
      <dsp:nvSpPr>
        <dsp:cNvPr id="24" name="圆角矩形 23"/>
        <dsp:cNvSpPr/>
      </dsp:nvSpPr>
      <dsp:spPr bwMode="white">
        <a:xfrm>
          <a:off x="4466102" y="1759918"/>
          <a:ext cx="730817" cy="464069"/>
        </a:xfrm>
        <a:prstGeom prst="roundRect">
          <a:avLst>
            <a:gd name="adj" fmla="val 10000"/>
          </a:avLst>
        </a:prstGeom>
        <a:sp3d prstMaterial="dkEdge">
          <a:bevelT w="8200" h="38100"/>
        </a:sp3d>
      </dsp:spPr>
      <dsp:style>
        <a:lnRef idx="0">
          <a:schemeClr val="lt1"/>
        </a:lnRef>
        <a:fillRef idx="2">
          <a:schemeClr val="accent6">
            <a:hueOff val="0"/>
            <a:satOff val="0"/>
            <a:lumOff val="0"/>
            <a:alpha val="100000"/>
          </a:schemeClr>
        </a:fillRef>
        <a:effectRef idx="1">
          <a:scrgbClr r="0" g="0" b="0"/>
        </a:effectRef>
        <a:fontRef idx="minor">
          <a:schemeClr val="dk1"/>
        </a:fontRef>
      </dsp:style>
      <dsp:txXfrm>
        <a:off x="4466102" y="1759918"/>
        <a:ext cx="730817" cy="464069"/>
      </dsp:txXfrm>
    </dsp:sp>
    <dsp:sp modelId="{61EBCF35-46DD-4EBD-8D93-AF6C61DB6403}">
      <dsp:nvSpPr>
        <dsp:cNvPr id="25" name="圆角矩形 24"/>
        <dsp:cNvSpPr/>
      </dsp:nvSpPr>
      <dsp:spPr bwMode="white">
        <a:xfrm>
          <a:off x="4547303" y="1837059"/>
          <a:ext cx="730817" cy="464069"/>
        </a:xfrm>
        <a:prstGeom prst="roundRect">
          <a:avLst>
            <a:gd name="adj" fmla="val 10000"/>
          </a:avLst>
        </a:prstGeom>
      </dsp:spPr>
      <dsp:style>
        <a:lnRef idx="1">
          <a:schemeClr val="accent6">
            <a:hueOff val="0"/>
            <a:satOff val="0"/>
            <a:lumOff val="0"/>
            <a:alpha val="100000"/>
          </a:schemeClr>
        </a:lnRef>
        <a:fillRef idx="1">
          <a:schemeClr val="lt1">
            <a:alpha val="90000"/>
          </a:schemeClr>
        </a:fillRef>
        <a:effectRef idx="0">
          <a:scrgbClr r="0" g="0" b="0"/>
        </a:effectRef>
        <a:fontRef idx="minor"/>
      </dsp:style>
      <dsp:txBody>
        <a:bodyPr lIns="41910" tIns="41910" rIns="41910" bIns="41910" anchor="ctr"/>
        <a:lstStyle>
          <a:lvl1pPr algn="ctr">
            <a:defRPr sz="11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pPr>
          <a:r>
            <a:rPr lang="zh-CN">
              <a:solidFill>
                <a:schemeClr val="dk1"/>
              </a:solidFill>
            </a:rPr>
            <a:t>售后支持小组</a:t>
          </a:r>
          <a:endParaRPr>
            <a:solidFill>
              <a:schemeClr val="dk1"/>
            </a:solidFill>
          </a:endParaRPr>
        </a:p>
      </dsp:txBody>
      <dsp:txXfrm>
        <a:off x="4547303" y="1837059"/>
        <a:ext cx="730817" cy="464069"/>
      </dsp:txXfrm>
    </dsp:sp>
    <dsp:sp modelId="{E75EB168-0D74-4F52-8BAB-D01FB30F2B90}">
      <dsp:nvSpPr>
        <dsp:cNvPr id="27" name="圆角矩形 26"/>
        <dsp:cNvSpPr/>
      </dsp:nvSpPr>
      <dsp:spPr bwMode="white">
        <a:xfrm>
          <a:off x="3126271" y="1082897"/>
          <a:ext cx="730817" cy="464069"/>
        </a:xfrm>
        <a:prstGeom prst="roundRect">
          <a:avLst>
            <a:gd name="adj" fmla="val 10000"/>
          </a:avLst>
        </a:prstGeom>
        <a:sp3d prstMaterial="dkEdge">
          <a:bevelT w="8200" h="38100"/>
        </a:sp3d>
      </dsp:spPr>
      <dsp:style>
        <a:lnRef idx="0">
          <a:schemeClr val="lt1">
            <a:shade val="80000"/>
          </a:schemeClr>
        </a:lnRef>
        <a:fillRef idx="2">
          <a:schemeClr val="accent5"/>
        </a:fillRef>
        <a:effectRef idx="1">
          <a:scrgbClr r="0" g="0" b="0"/>
        </a:effectRef>
        <a:fontRef idx="minor">
          <a:schemeClr val="dk1"/>
        </a:fontRef>
      </dsp:style>
      <dsp:txXfrm>
        <a:off x="3126271" y="1082897"/>
        <a:ext cx="730817" cy="464069"/>
      </dsp:txXfrm>
    </dsp:sp>
    <dsp:sp modelId="{448E1844-84E0-4601-9C49-A5AA0133623C}">
      <dsp:nvSpPr>
        <dsp:cNvPr id="28" name="圆角矩形 27"/>
        <dsp:cNvSpPr/>
      </dsp:nvSpPr>
      <dsp:spPr bwMode="white">
        <a:xfrm>
          <a:off x="3207473" y="1160039"/>
          <a:ext cx="730817" cy="464069"/>
        </a:xfrm>
        <a:prstGeom prst="roundRect">
          <a:avLst>
            <a:gd name="adj" fmla="val 10000"/>
          </a:avLst>
        </a:prstGeom>
      </dsp:spPr>
      <dsp:style>
        <a:lnRef idx="1">
          <a:schemeClr val="accent5">
            <a:hueOff val="0"/>
            <a:satOff val="0"/>
            <a:lumOff val="0"/>
            <a:alpha val="100000"/>
          </a:schemeClr>
        </a:lnRef>
        <a:fillRef idx="1">
          <a:schemeClr val="lt1">
            <a:alpha val="90000"/>
          </a:schemeClr>
        </a:fillRef>
        <a:effectRef idx="0">
          <a:scrgbClr r="0" g="0" b="0"/>
        </a:effectRef>
        <a:fontRef idx="minor"/>
      </dsp:style>
      <dsp:txBody>
        <a:bodyPr lIns="41910" tIns="41910" rIns="41910" bIns="41910" anchor="ctr"/>
        <a:lstStyle>
          <a:lvl1pPr algn="ctr">
            <a:defRPr sz="11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pPr>
          <a:r>
            <a:rPr lang="zh-CN">
              <a:solidFill>
                <a:schemeClr val="dk1"/>
              </a:solidFill>
            </a:rPr>
            <a:t>供应链</a:t>
          </a:r>
          <a:endParaRPr lang="zh-CN" altLang="en-US">
            <a:solidFill>
              <a:schemeClr val="dk1"/>
            </a:solidFill>
          </a:endParaRPr>
        </a:p>
      </dsp:txBody>
      <dsp:txXfrm>
        <a:off x="3207473" y="1160039"/>
        <a:ext cx="730817" cy="464069"/>
      </dsp:txXfrm>
    </dsp:sp>
  </dsp:spTree>
</dsp:drawing>
</file>

<file path=word/diagrams/drawing5.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278120" cy="2635885"/>
        <a:chOff x="0" y="0"/>
        <a:chExt cx="5278120" cy="2635885"/>
      </a:xfrm>
    </dsp:grpSpPr>
    <dsp:sp modelId="{C3B0D1AB-BFB0-4691-8ADF-3B67FD279A18}">
      <dsp:nvSpPr>
        <dsp:cNvPr id="5" name="任意多边形 4"/>
        <dsp:cNvSpPr/>
      </dsp:nvSpPr>
      <dsp:spPr bwMode="white">
        <a:xfrm>
          <a:off x="2590189" y="735883"/>
          <a:ext cx="0" cy="256331"/>
        </a:xfrm>
        <a:custGeom>
          <a:avLst/>
          <a:gdLst/>
          <a:ahLst/>
          <a:cxnLst/>
          <a:pathLst>
            <a:path h="404">
              <a:moveTo>
                <a:pt x="0" y="0"/>
              </a:moveTo>
              <a:lnTo>
                <a:pt x="0" y="404"/>
              </a:lnTo>
            </a:path>
          </a:pathLst>
        </a:custGeom>
      </dsp:spPr>
      <dsp:style>
        <a:lnRef idx="2">
          <a:schemeClr val="accent6"/>
        </a:lnRef>
        <a:fillRef idx="0">
          <a:schemeClr val="accent6">
            <a:tint val="90000"/>
          </a:schemeClr>
        </a:fillRef>
        <a:effectRef idx="0">
          <a:scrgbClr r="0" g="0" b="0"/>
        </a:effectRef>
        <a:fontRef idx="minor"/>
      </dsp:style>
      <dsp:txXfrm>
        <a:off x="2590189" y="735883"/>
        <a:ext cx="0" cy="256331"/>
      </dsp:txXfrm>
    </dsp:sp>
    <dsp:sp modelId="{00101B43-EBB3-4A02-AB8E-6BC165A7B94C}">
      <dsp:nvSpPr>
        <dsp:cNvPr id="8" name="任意多边形 7"/>
        <dsp:cNvSpPr/>
      </dsp:nvSpPr>
      <dsp:spPr bwMode="white">
        <a:xfrm>
          <a:off x="439843" y="1550815"/>
          <a:ext cx="2150345" cy="256331"/>
        </a:xfrm>
        <a:custGeom>
          <a:avLst/>
          <a:gdLst/>
          <a:ahLst/>
          <a:cxnLst/>
          <a:pathLst>
            <a:path w="3386" h="404">
              <a:moveTo>
                <a:pt x="3386" y="0"/>
              </a:moveTo>
              <a:lnTo>
                <a:pt x="3386" y="327"/>
              </a:lnTo>
              <a:lnTo>
                <a:pt x="0" y="327"/>
              </a:lnTo>
              <a:lnTo>
                <a:pt x="0" y="404"/>
              </a:lnTo>
            </a:path>
          </a:pathLst>
        </a:custGeom>
      </dsp:spPr>
      <dsp:style>
        <a:lnRef idx="2">
          <a:schemeClr val="accent1"/>
        </a:lnRef>
        <a:fillRef idx="0">
          <a:schemeClr val="accent6">
            <a:tint val="70000"/>
          </a:schemeClr>
        </a:fillRef>
        <a:effectRef idx="0">
          <a:scrgbClr r="0" g="0" b="0"/>
        </a:effectRef>
        <a:fontRef idx="minor"/>
      </dsp:style>
      <dsp:txXfrm>
        <a:off x="439843" y="1550815"/>
        <a:ext cx="2150345" cy="256331"/>
      </dsp:txXfrm>
    </dsp:sp>
    <dsp:sp modelId="{E752F894-3B5F-4551-8C6C-98EB486331C4}">
      <dsp:nvSpPr>
        <dsp:cNvPr id="11" name="任意多边形 10"/>
        <dsp:cNvSpPr/>
      </dsp:nvSpPr>
      <dsp:spPr bwMode="white">
        <a:xfrm>
          <a:off x="1515016" y="1550815"/>
          <a:ext cx="1075173" cy="256331"/>
        </a:xfrm>
        <a:custGeom>
          <a:avLst/>
          <a:gdLst/>
          <a:ahLst/>
          <a:cxnLst/>
          <a:pathLst>
            <a:path w="1693" h="404">
              <a:moveTo>
                <a:pt x="1693" y="0"/>
              </a:moveTo>
              <a:lnTo>
                <a:pt x="1693" y="327"/>
              </a:lnTo>
              <a:lnTo>
                <a:pt x="0" y="327"/>
              </a:lnTo>
              <a:lnTo>
                <a:pt x="0" y="404"/>
              </a:lnTo>
            </a:path>
          </a:pathLst>
        </a:custGeom>
      </dsp:spPr>
      <dsp:style>
        <a:lnRef idx="2">
          <a:schemeClr val="accent1"/>
        </a:lnRef>
        <a:fillRef idx="0">
          <a:schemeClr val="accent6">
            <a:tint val="70000"/>
          </a:schemeClr>
        </a:fillRef>
        <a:effectRef idx="0">
          <a:scrgbClr r="0" g="0" b="0"/>
        </a:effectRef>
        <a:fontRef idx="minor"/>
      </dsp:style>
      <dsp:txXfrm>
        <a:off x="1515016" y="1550815"/>
        <a:ext cx="1075173" cy="256331"/>
      </dsp:txXfrm>
    </dsp:sp>
    <dsp:sp modelId="{BAE9FFE9-318E-4EF6-A360-F46EBF9055AD}">
      <dsp:nvSpPr>
        <dsp:cNvPr id="14" name="任意多边形 13"/>
        <dsp:cNvSpPr/>
      </dsp:nvSpPr>
      <dsp:spPr bwMode="white">
        <a:xfrm>
          <a:off x="2590189" y="1550815"/>
          <a:ext cx="0" cy="256331"/>
        </a:xfrm>
        <a:custGeom>
          <a:avLst/>
          <a:gdLst/>
          <a:ahLst/>
          <a:cxnLst/>
          <a:pathLst>
            <a:path h="404">
              <a:moveTo>
                <a:pt x="0" y="0"/>
              </a:moveTo>
              <a:lnTo>
                <a:pt x="0" y="404"/>
              </a:lnTo>
            </a:path>
          </a:pathLst>
        </a:custGeom>
      </dsp:spPr>
      <dsp:style>
        <a:lnRef idx="2">
          <a:schemeClr val="accent1"/>
        </a:lnRef>
        <a:fillRef idx="0">
          <a:schemeClr val="accent6">
            <a:tint val="70000"/>
          </a:schemeClr>
        </a:fillRef>
        <a:effectRef idx="0">
          <a:scrgbClr r="0" g="0" b="0"/>
        </a:effectRef>
        <a:fontRef idx="minor"/>
      </dsp:style>
      <dsp:txXfrm>
        <a:off x="2590189" y="1550815"/>
        <a:ext cx="0" cy="256331"/>
      </dsp:txXfrm>
    </dsp:sp>
    <dsp:sp modelId="{F277A14B-EFBF-42B0-8C2B-7313A2C6663C}">
      <dsp:nvSpPr>
        <dsp:cNvPr id="17" name="任意多边形 16"/>
        <dsp:cNvSpPr/>
      </dsp:nvSpPr>
      <dsp:spPr bwMode="white">
        <a:xfrm>
          <a:off x="2590189" y="1550815"/>
          <a:ext cx="1075173" cy="256331"/>
        </a:xfrm>
        <a:custGeom>
          <a:avLst/>
          <a:gdLst/>
          <a:ahLst/>
          <a:cxnLst/>
          <a:pathLst>
            <a:path w="1693" h="404">
              <a:moveTo>
                <a:pt x="0" y="0"/>
              </a:moveTo>
              <a:lnTo>
                <a:pt x="0" y="327"/>
              </a:lnTo>
              <a:lnTo>
                <a:pt x="1693" y="327"/>
              </a:lnTo>
              <a:lnTo>
                <a:pt x="1693" y="404"/>
              </a:lnTo>
            </a:path>
          </a:pathLst>
        </a:custGeom>
      </dsp:spPr>
      <dsp:style>
        <a:lnRef idx="2">
          <a:schemeClr val="accent1"/>
        </a:lnRef>
        <a:fillRef idx="0">
          <a:schemeClr val="accent6">
            <a:tint val="70000"/>
          </a:schemeClr>
        </a:fillRef>
        <a:effectRef idx="0">
          <a:scrgbClr r="0" g="0" b="0"/>
        </a:effectRef>
        <a:fontRef idx="minor"/>
      </dsp:style>
      <dsp:txXfrm>
        <a:off x="2590189" y="1550815"/>
        <a:ext cx="1075173" cy="256331"/>
      </dsp:txXfrm>
    </dsp:sp>
    <dsp:sp modelId="{0BD236FA-7BA0-4DB4-9D23-83795227FA8F}">
      <dsp:nvSpPr>
        <dsp:cNvPr id="20" name="任意多边形 19"/>
        <dsp:cNvSpPr/>
      </dsp:nvSpPr>
      <dsp:spPr bwMode="white">
        <a:xfrm>
          <a:off x="2590189" y="1550815"/>
          <a:ext cx="2150345" cy="256331"/>
        </a:xfrm>
        <a:custGeom>
          <a:avLst/>
          <a:gdLst/>
          <a:ahLst/>
          <a:cxnLst/>
          <a:pathLst>
            <a:path w="3386" h="404">
              <a:moveTo>
                <a:pt x="0" y="0"/>
              </a:moveTo>
              <a:lnTo>
                <a:pt x="0" y="327"/>
              </a:lnTo>
              <a:lnTo>
                <a:pt x="3386" y="327"/>
              </a:lnTo>
              <a:lnTo>
                <a:pt x="3386" y="404"/>
              </a:lnTo>
            </a:path>
          </a:pathLst>
        </a:custGeom>
      </dsp:spPr>
      <dsp:style>
        <a:lnRef idx="2">
          <a:schemeClr val="accent1"/>
        </a:lnRef>
        <a:fillRef idx="0">
          <a:schemeClr val="accent6">
            <a:tint val="70000"/>
          </a:schemeClr>
        </a:fillRef>
        <a:effectRef idx="0">
          <a:scrgbClr r="0" g="0" b="0"/>
        </a:effectRef>
        <a:fontRef idx="minor"/>
      </dsp:style>
      <dsp:txXfrm>
        <a:off x="2590189" y="1550815"/>
        <a:ext cx="2150345" cy="256331"/>
      </dsp:txXfrm>
    </dsp:sp>
    <dsp:sp modelId="{10FE37C3-CDB0-42E9-BF2E-740C6D3D058F}">
      <dsp:nvSpPr>
        <dsp:cNvPr id="3" name="圆角矩形 2"/>
        <dsp:cNvSpPr/>
      </dsp:nvSpPr>
      <dsp:spPr bwMode="white">
        <a:xfrm>
          <a:off x="2150345" y="177282"/>
          <a:ext cx="879687" cy="558601"/>
        </a:xfrm>
        <a:prstGeom prst="roundRect">
          <a:avLst>
            <a:gd name="adj" fmla="val 10000"/>
          </a:avLst>
        </a:prstGeom>
      </dsp:spPr>
      <dsp:style>
        <a:lnRef idx="0">
          <a:schemeClr val="lt1"/>
        </a:lnRef>
        <a:fillRef idx="3">
          <a:schemeClr val="accent4"/>
        </a:fillRef>
        <a:effectRef idx="3">
          <a:scrgbClr r="0" g="0" b="0"/>
        </a:effectRef>
        <a:fontRef idx="minor">
          <a:schemeClr val="lt1"/>
        </a:fontRef>
      </dsp:style>
      <dsp:txXfrm>
        <a:off x="2150345" y="177282"/>
        <a:ext cx="879687" cy="558601"/>
      </dsp:txXfrm>
    </dsp:sp>
    <dsp:sp modelId="{A63398A2-E068-476E-AF56-CAF59604892F}">
      <dsp:nvSpPr>
        <dsp:cNvPr id="4" name="圆角矩形 3"/>
        <dsp:cNvSpPr/>
      </dsp:nvSpPr>
      <dsp:spPr bwMode="white">
        <a:xfrm>
          <a:off x="2248088" y="270138"/>
          <a:ext cx="879687" cy="558601"/>
        </a:xfrm>
        <a:prstGeom prst="roundRect">
          <a:avLst>
            <a:gd name="adj" fmla="val 10000"/>
          </a:avLst>
        </a:prstGeom>
      </dsp:spPr>
      <dsp:style>
        <a:lnRef idx="1">
          <a:schemeClr val="accent4"/>
        </a:lnRef>
        <a:fillRef idx="1">
          <a:schemeClr val="lt1">
            <a:alpha val="90000"/>
          </a:schemeClr>
        </a:fillRef>
        <a:effectRef idx="2">
          <a:scrgbClr r="0" g="0" b="0"/>
        </a:effectRef>
        <a:fontRef idx="minor"/>
      </dsp:style>
      <dsp:txBody>
        <a:bodyPr lIns="49530" tIns="49530" rIns="49530" bIns="49530"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solidFill>
                <a:schemeClr val="dk1"/>
              </a:solidFill>
            </a:rPr>
            <a:t>总经理</a:t>
          </a:r>
          <a:endParaRPr lang="zh-CN" altLang="en-US">
            <a:solidFill>
              <a:schemeClr val="dk1"/>
            </a:solidFill>
          </a:endParaRPr>
        </a:p>
      </dsp:txBody>
      <dsp:txXfrm>
        <a:off x="2248088" y="270138"/>
        <a:ext cx="879687" cy="558601"/>
      </dsp:txXfrm>
    </dsp:sp>
    <dsp:sp modelId="{1A1E8C60-6021-4FCD-B698-BFB98171D93A}">
      <dsp:nvSpPr>
        <dsp:cNvPr id="6" name="圆角矩形 5"/>
        <dsp:cNvSpPr/>
      </dsp:nvSpPr>
      <dsp:spPr bwMode="white">
        <a:xfrm>
          <a:off x="2150345" y="992214"/>
          <a:ext cx="879687" cy="558601"/>
        </a:xfrm>
        <a:prstGeom prst="roundRect">
          <a:avLst>
            <a:gd name="adj" fmla="val 10000"/>
          </a:avLst>
        </a:prstGeom>
      </dsp:spPr>
      <dsp:style>
        <a:lnRef idx="0">
          <a:schemeClr val="lt1"/>
        </a:lnRef>
        <a:fillRef idx="3">
          <a:schemeClr val="accent6"/>
        </a:fillRef>
        <a:effectRef idx="3">
          <a:scrgbClr r="0" g="0" b="0"/>
        </a:effectRef>
        <a:fontRef idx="minor">
          <a:schemeClr val="lt1"/>
        </a:fontRef>
      </dsp:style>
      <dsp:txXfrm>
        <a:off x="2150345" y="992214"/>
        <a:ext cx="879687" cy="558601"/>
      </dsp:txXfrm>
    </dsp:sp>
    <dsp:sp modelId="{A4F6FD90-C454-4DDE-A21A-A76BB9C1A7F7}">
      <dsp:nvSpPr>
        <dsp:cNvPr id="7" name="圆角矩形 6"/>
        <dsp:cNvSpPr/>
      </dsp:nvSpPr>
      <dsp:spPr bwMode="white">
        <a:xfrm>
          <a:off x="2248088" y="1085070"/>
          <a:ext cx="879687" cy="558601"/>
        </a:xfrm>
        <a:prstGeom prst="roundRect">
          <a:avLst>
            <a:gd name="adj" fmla="val 10000"/>
          </a:avLst>
        </a:prstGeom>
      </dsp:spPr>
      <dsp:style>
        <a:lnRef idx="1">
          <a:schemeClr val="accent6"/>
        </a:lnRef>
        <a:fillRef idx="1">
          <a:schemeClr val="lt1">
            <a:alpha val="90000"/>
          </a:schemeClr>
        </a:fillRef>
        <a:effectRef idx="2">
          <a:scrgbClr r="0" g="0" b="0"/>
        </a:effectRef>
        <a:fontRef idx="minor"/>
      </dsp:style>
      <dsp:txBody>
        <a:bodyPr lIns="49530" tIns="49530" rIns="49530" bIns="49530"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solidFill>
                <a:schemeClr val="dk1"/>
              </a:solidFill>
            </a:rPr>
            <a:t>项目负责人</a:t>
          </a:r>
          <a:endParaRPr>
            <a:solidFill>
              <a:schemeClr val="dk1"/>
            </a:solidFill>
          </a:endParaRPr>
        </a:p>
      </dsp:txBody>
      <dsp:txXfrm>
        <a:off x="2248088" y="1085070"/>
        <a:ext cx="879687" cy="558601"/>
      </dsp:txXfrm>
    </dsp:sp>
    <dsp:sp modelId="{D134B57B-3118-4BFC-95E3-1296619DF9B3}">
      <dsp:nvSpPr>
        <dsp:cNvPr id="9" name="圆角矩形 8"/>
        <dsp:cNvSpPr/>
      </dsp:nvSpPr>
      <dsp:spPr bwMode="white">
        <a:xfrm>
          <a:off x="0" y="1807146"/>
          <a:ext cx="879687" cy="558601"/>
        </a:xfrm>
        <a:prstGeom prst="roundRect">
          <a:avLst>
            <a:gd name="adj" fmla="val 10000"/>
          </a:avLst>
        </a:prstGeom>
      </dsp:spPr>
      <dsp:style>
        <a:lnRef idx="0">
          <a:schemeClr val="lt1"/>
        </a:lnRef>
        <a:fillRef idx="3">
          <a:schemeClr val="accent1">
            <a:hueOff val="0"/>
            <a:satOff val="0"/>
            <a:lumOff val="0"/>
            <a:alpha val="100000"/>
          </a:schemeClr>
        </a:fillRef>
        <a:effectRef idx="3">
          <a:scrgbClr r="0" g="0" b="0"/>
        </a:effectRef>
        <a:fontRef idx="minor">
          <a:schemeClr val="lt1"/>
        </a:fontRef>
      </dsp:style>
      <dsp:txXfrm>
        <a:off x="0" y="1807146"/>
        <a:ext cx="879687" cy="558601"/>
      </dsp:txXfrm>
    </dsp:sp>
    <dsp:sp modelId="{93EB5617-6B19-4EFB-8D4F-57362B2E8196}">
      <dsp:nvSpPr>
        <dsp:cNvPr id="10" name="圆角矩形 9"/>
        <dsp:cNvSpPr/>
      </dsp:nvSpPr>
      <dsp:spPr bwMode="white">
        <a:xfrm>
          <a:off x="97743" y="1900002"/>
          <a:ext cx="879687" cy="558601"/>
        </a:xfrm>
        <a:prstGeom prst="roundRect">
          <a:avLst>
            <a:gd name="adj" fmla="val 10000"/>
          </a:avLst>
        </a:prstGeom>
      </dsp:spPr>
      <dsp:style>
        <a:lnRef idx="1">
          <a:schemeClr val="accent1">
            <a:hueOff val="0"/>
            <a:satOff val="0"/>
            <a:lumOff val="0"/>
            <a:alpha val="100000"/>
          </a:schemeClr>
        </a:lnRef>
        <a:fillRef idx="1">
          <a:schemeClr val="lt1">
            <a:alpha val="90000"/>
          </a:schemeClr>
        </a:fillRef>
        <a:effectRef idx="2">
          <a:scrgbClr r="0" g="0" b="0"/>
        </a:effectRef>
        <a:fontRef idx="minor"/>
      </dsp:style>
      <dsp:txBody>
        <a:bodyPr lIns="49530" tIns="49530" rIns="49530" bIns="49530"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solidFill>
                <a:schemeClr val="dk1"/>
              </a:solidFill>
            </a:rPr>
            <a:t>售后服部</a:t>
          </a:r>
          <a:endParaRPr>
            <a:solidFill>
              <a:schemeClr val="dk1"/>
            </a:solidFill>
          </a:endParaRPr>
        </a:p>
      </dsp:txBody>
      <dsp:txXfrm>
        <a:off x="97743" y="1900002"/>
        <a:ext cx="879687" cy="558601"/>
      </dsp:txXfrm>
    </dsp:sp>
    <dsp:sp modelId="{8CC0EF72-43D4-47C3-9C62-4D480F00B30B}">
      <dsp:nvSpPr>
        <dsp:cNvPr id="12" name="圆角矩形 11"/>
        <dsp:cNvSpPr/>
      </dsp:nvSpPr>
      <dsp:spPr bwMode="white">
        <a:xfrm>
          <a:off x="1075173" y="1807146"/>
          <a:ext cx="879687" cy="558601"/>
        </a:xfrm>
        <a:prstGeom prst="roundRect">
          <a:avLst>
            <a:gd name="adj" fmla="val 10000"/>
          </a:avLst>
        </a:prstGeom>
      </dsp:spPr>
      <dsp:style>
        <a:lnRef idx="0">
          <a:schemeClr val="lt1"/>
        </a:lnRef>
        <a:fillRef idx="3">
          <a:schemeClr val="accent1">
            <a:hueOff val="0"/>
            <a:satOff val="0"/>
            <a:lumOff val="0"/>
            <a:alpha val="100000"/>
          </a:schemeClr>
        </a:fillRef>
        <a:effectRef idx="3">
          <a:scrgbClr r="0" g="0" b="0"/>
        </a:effectRef>
        <a:fontRef idx="minor">
          <a:schemeClr val="lt1"/>
        </a:fontRef>
      </dsp:style>
      <dsp:txXfrm>
        <a:off x="1075173" y="1807146"/>
        <a:ext cx="879687" cy="558601"/>
      </dsp:txXfrm>
    </dsp:sp>
    <dsp:sp modelId="{1EDF03ED-D928-41B8-945C-AEFB0D95FF02}">
      <dsp:nvSpPr>
        <dsp:cNvPr id="13" name="圆角矩形 12"/>
        <dsp:cNvSpPr/>
      </dsp:nvSpPr>
      <dsp:spPr bwMode="white">
        <a:xfrm>
          <a:off x="1172916" y="1900002"/>
          <a:ext cx="879687" cy="558601"/>
        </a:xfrm>
        <a:prstGeom prst="roundRect">
          <a:avLst>
            <a:gd name="adj" fmla="val 10000"/>
          </a:avLst>
        </a:prstGeom>
      </dsp:spPr>
      <dsp:style>
        <a:lnRef idx="1">
          <a:schemeClr val="accent1">
            <a:hueOff val="0"/>
            <a:satOff val="0"/>
            <a:lumOff val="0"/>
            <a:alpha val="100000"/>
          </a:schemeClr>
        </a:lnRef>
        <a:fillRef idx="1">
          <a:schemeClr val="lt1">
            <a:alpha val="90000"/>
          </a:schemeClr>
        </a:fillRef>
        <a:effectRef idx="2">
          <a:scrgbClr r="0" g="0" b="0"/>
        </a:effectRef>
        <a:fontRef idx="minor"/>
      </dsp:style>
      <dsp:txBody>
        <a:bodyPr lIns="49530" tIns="49530" rIns="49530" bIns="49530"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solidFill>
                <a:schemeClr val="dk1"/>
              </a:solidFill>
            </a:rPr>
            <a:t>采购部</a:t>
          </a:r>
          <a:endParaRPr>
            <a:solidFill>
              <a:schemeClr val="dk1"/>
            </a:solidFill>
          </a:endParaRPr>
        </a:p>
      </dsp:txBody>
      <dsp:txXfrm>
        <a:off x="1172916" y="1900002"/>
        <a:ext cx="879687" cy="558601"/>
      </dsp:txXfrm>
    </dsp:sp>
    <dsp:sp modelId="{A0B7525D-238E-4B06-82BA-7CCD51CAFA80}">
      <dsp:nvSpPr>
        <dsp:cNvPr id="15" name="圆角矩形 14"/>
        <dsp:cNvSpPr/>
      </dsp:nvSpPr>
      <dsp:spPr bwMode="white">
        <a:xfrm>
          <a:off x="2150345" y="1807146"/>
          <a:ext cx="879687" cy="558601"/>
        </a:xfrm>
        <a:prstGeom prst="roundRect">
          <a:avLst>
            <a:gd name="adj" fmla="val 10000"/>
          </a:avLst>
        </a:prstGeom>
      </dsp:spPr>
      <dsp:style>
        <a:lnRef idx="0">
          <a:schemeClr val="lt1"/>
        </a:lnRef>
        <a:fillRef idx="3">
          <a:schemeClr val="accent1">
            <a:hueOff val="0"/>
            <a:satOff val="0"/>
            <a:lumOff val="0"/>
            <a:alpha val="100000"/>
          </a:schemeClr>
        </a:fillRef>
        <a:effectRef idx="3">
          <a:scrgbClr r="0" g="0" b="0"/>
        </a:effectRef>
        <a:fontRef idx="minor">
          <a:schemeClr val="lt1"/>
        </a:fontRef>
      </dsp:style>
      <dsp:txXfrm>
        <a:off x="2150345" y="1807146"/>
        <a:ext cx="879687" cy="558601"/>
      </dsp:txXfrm>
    </dsp:sp>
    <dsp:sp modelId="{5267438D-A5A1-4C97-ADFF-2BC9607D5E62}">
      <dsp:nvSpPr>
        <dsp:cNvPr id="16" name="圆角矩形 15"/>
        <dsp:cNvSpPr/>
      </dsp:nvSpPr>
      <dsp:spPr bwMode="white">
        <a:xfrm>
          <a:off x="2248088" y="1900002"/>
          <a:ext cx="879687" cy="558601"/>
        </a:xfrm>
        <a:prstGeom prst="roundRect">
          <a:avLst>
            <a:gd name="adj" fmla="val 10000"/>
          </a:avLst>
        </a:prstGeom>
      </dsp:spPr>
      <dsp:style>
        <a:lnRef idx="1">
          <a:schemeClr val="accent1">
            <a:hueOff val="0"/>
            <a:satOff val="0"/>
            <a:lumOff val="0"/>
            <a:alpha val="100000"/>
          </a:schemeClr>
        </a:lnRef>
        <a:fillRef idx="1">
          <a:schemeClr val="lt1">
            <a:alpha val="90000"/>
          </a:schemeClr>
        </a:fillRef>
        <a:effectRef idx="2">
          <a:scrgbClr r="0" g="0" b="0"/>
        </a:effectRef>
        <a:fontRef idx="minor"/>
      </dsp:style>
      <dsp:txBody>
        <a:bodyPr lIns="49530" tIns="49530" rIns="49530" bIns="49530"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solidFill>
                <a:schemeClr val="dk1"/>
              </a:solidFill>
            </a:rPr>
            <a:t>产品技术部</a:t>
          </a:r>
          <a:endParaRPr>
            <a:solidFill>
              <a:schemeClr val="dk1"/>
            </a:solidFill>
          </a:endParaRPr>
        </a:p>
      </dsp:txBody>
      <dsp:txXfrm>
        <a:off x="2248088" y="1900002"/>
        <a:ext cx="879687" cy="558601"/>
      </dsp:txXfrm>
    </dsp:sp>
    <dsp:sp modelId="{A20717C0-8165-4857-AA0A-54EA3E6D9EF7}">
      <dsp:nvSpPr>
        <dsp:cNvPr id="18" name="圆角矩形 17"/>
        <dsp:cNvSpPr/>
      </dsp:nvSpPr>
      <dsp:spPr bwMode="white">
        <a:xfrm>
          <a:off x="3225518" y="1807146"/>
          <a:ext cx="879687" cy="558601"/>
        </a:xfrm>
        <a:prstGeom prst="roundRect">
          <a:avLst>
            <a:gd name="adj" fmla="val 10000"/>
          </a:avLst>
        </a:prstGeom>
      </dsp:spPr>
      <dsp:style>
        <a:lnRef idx="0">
          <a:schemeClr val="lt1"/>
        </a:lnRef>
        <a:fillRef idx="3">
          <a:schemeClr val="accent1">
            <a:hueOff val="0"/>
            <a:satOff val="0"/>
            <a:lumOff val="0"/>
            <a:alpha val="100000"/>
          </a:schemeClr>
        </a:fillRef>
        <a:effectRef idx="3">
          <a:scrgbClr r="0" g="0" b="0"/>
        </a:effectRef>
        <a:fontRef idx="minor">
          <a:schemeClr val="lt1"/>
        </a:fontRef>
      </dsp:style>
      <dsp:txXfrm>
        <a:off x="3225518" y="1807146"/>
        <a:ext cx="879687" cy="558601"/>
      </dsp:txXfrm>
    </dsp:sp>
    <dsp:sp modelId="{9A5C7120-B9B6-443F-B667-C0F9B1E413AB}">
      <dsp:nvSpPr>
        <dsp:cNvPr id="19" name="圆角矩形 18"/>
        <dsp:cNvSpPr/>
      </dsp:nvSpPr>
      <dsp:spPr bwMode="white">
        <a:xfrm>
          <a:off x="3323261" y="1900002"/>
          <a:ext cx="879687" cy="558601"/>
        </a:xfrm>
        <a:prstGeom prst="roundRect">
          <a:avLst>
            <a:gd name="adj" fmla="val 10000"/>
          </a:avLst>
        </a:prstGeom>
      </dsp:spPr>
      <dsp:style>
        <a:lnRef idx="1">
          <a:schemeClr val="accent1">
            <a:hueOff val="0"/>
            <a:satOff val="0"/>
            <a:lumOff val="0"/>
            <a:alpha val="100000"/>
          </a:schemeClr>
        </a:lnRef>
        <a:fillRef idx="1">
          <a:schemeClr val="lt1">
            <a:alpha val="90000"/>
          </a:schemeClr>
        </a:fillRef>
        <a:effectRef idx="2">
          <a:scrgbClr r="0" g="0" b="0"/>
        </a:effectRef>
        <a:fontRef idx="minor"/>
      </dsp:style>
      <dsp:txBody>
        <a:bodyPr lIns="49530" tIns="49530" rIns="49530" bIns="49530"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solidFill>
                <a:schemeClr val="dk1"/>
              </a:solidFill>
            </a:rPr>
            <a:t>质检部</a:t>
          </a:r>
          <a:endParaRPr>
            <a:solidFill>
              <a:schemeClr val="dk1"/>
            </a:solidFill>
          </a:endParaRPr>
        </a:p>
      </dsp:txBody>
      <dsp:txXfrm>
        <a:off x="3323261" y="1900002"/>
        <a:ext cx="879687" cy="558601"/>
      </dsp:txXfrm>
    </dsp:sp>
    <dsp:sp modelId="{8E893DDC-0FF3-44B3-89B0-AFC8E9082142}">
      <dsp:nvSpPr>
        <dsp:cNvPr id="21" name="圆角矩形 20"/>
        <dsp:cNvSpPr/>
      </dsp:nvSpPr>
      <dsp:spPr bwMode="white">
        <a:xfrm>
          <a:off x="4300690" y="1807146"/>
          <a:ext cx="879687" cy="558601"/>
        </a:xfrm>
        <a:prstGeom prst="roundRect">
          <a:avLst>
            <a:gd name="adj" fmla="val 10000"/>
          </a:avLst>
        </a:prstGeom>
      </dsp:spPr>
      <dsp:style>
        <a:lnRef idx="0">
          <a:schemeClr val="lt1"/>
        </a:lnRef>
        <a:fillRef idx="3">
          <a:schemeClr val="accent1">
            <a:hueOff val="0"/>
            <a:satOff val="0"/>
            <a:lumOff val="0"/>
            <a:alpha val="100000"/>
          </a:schemeClr>
        </a:fillRef>
        <a:effectRef idx="3">
          <a:scrgbClr r="0" g="0" b="0"/>
        </a:effectRef>
        <a:fontRef idx="minor">
          <a:schemeClr val="lt1"/>
        </a:fontRef>
      </dsp:style>
      <dsp:txXfrm>
        <a:off x="4300690" y="1807146"/>
        <a:ext cx="879687" cy="558601"/>
      </dsp:txXfrm>
    </dsp:sp>
    <dsp:sp modelId="{ABA3859E-3FE4-466E-B51A-3AE3BBE90886}">
      <dsp:nvSpPr>
        <dsp:cNvPr id="22" name="圆角矩形 21"/>
        <dsp:cNvSpPr/>
      </dsp:nvSpPr>
      <dsp:spPr bwMode="white">
        <a:xfrm>
          <a:off x="4398433" y="1900002"/>
          <a:ext cx="879687" cy="558601"/>
        </a:xfrm>
        <a:prstGeom prst="roundRect">
          <a:avLst>
            <a:gd name="adj" fmla="val 10000"/>
          </a:avLst>
        </a:prstGeom>
      </dsp:spPr>
      <dsp:style>
        <a:lnRef idx="1">
          <a:schemeClr val="accent1">
            <a:hueOff val="0"/>
            <a:satOff val="0"/>
            <a:lumOff val="0"/>
            <a:alpha val="100000"/>
          </a:schemeClr>
        </a:lnRef>
        <a:fillRef idx="1">
          <a:schemeClr val="lt1">
            <a:alpha val="90000"/>
          </a:schemeClr>
        </a:fillRef>
        <a:effectRef idx="2">
          <a:scrgbClr r="0" g="0" b="0"/>
        </a:effectRef>
        <a:fontRef idx="minor"/>
      </dsp:style>
      <dsp:txBody>
        <a:bodyPr lIns="49530" tIns="49530" rIns="49530" bIns="49530"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solidFill>
                <a:schemeClr val="dk1"/>
              </a:solidFill>
            </a:rPr>
            <a:t>运输部</a:t>
          </a:r>
          <a:endParaRPr>
            <a:solidFill>
              <a:schemeClr val="dk1"/>
            </a:solidFill>
          </a:endParaRPr>
        </a:p>
      </dsp:txBody>
      <dsp:txXfrm>
        <a:off x="4398433" y="1900002"/>
        <a:ext cx="879687" cy="55860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srcNode" val="background"/>
                    <dgm:param type="dstNode" val="background2"/>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srcNode" val="background2"/>
                            <dgm:param type="dstNode" val="background3"/>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srcNode" val="background3"/>
                                        <dgm:param type="dstNode" val="background4"/>
                                        <dgm:param type="dim" val="1D"/>
                                        <dgm:param type="endSty" val="noArr"/>
                                        <dgm:param type="connRout" val="bend"/>
                                        <dgm:param type="begPts" val="bCtr"/>
                                        <dgm:param type="endPts" val="tCtr"/>
                                        <dgm:param type="bendPt" val="end"/>
                                      </dgm:alg>
                                    </dgm:if>
                                    <dgm:else name="Name26">
                                      <dgm:alg type="conn">
                                        <dgm:param type="srcNode" val="background4"/>
                                        <dgm:param type="dstNode" val="background4"/>
                                        <dgm:param type="dim" val="1D"/>
                                        <dgm:param type="endSty" val="noArr"/>
                                        <dgm:param type="connRout" val="bend"/>
                                        <dgm:param type="begPts" val="bCtr"/>
                                        <dgm:param type="endPts" val="tCtr"/>
                                        <dgm:param type="bendPt" val="end"/>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type="rect" r:blip="" rot="270">
                  <dgm:adjLst/>
                </dgm:shape>
              </dgm:if>
              <dgm:else name="Name11">
                <dgm:shape xmlns:r="http://schemas.openxmlformats.org/officeDocument/2006/relationships" type="rect" r:blip="" rot="90">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endSty" val="noArr"/>
                        <dgm:param type="connRout" val="bend"/>
                        <dgm:param type="begPts" val="midR"/>
                        <dgm:param type="endPts" val="midL"/>
                      </dgm:alg>
                    </dgm:if>
                    <dgm:else name="Name18">
                      <dgm:alg type="conn">
                        <dgm:param type="dim" val="1D"/>
                        <dgm:param type="endSty" val="noArr"/>
                        <dgm:param type="connRout" val="bend"/>
                        <dgm:param type="begPts" val="midL"/>
                        <dgm:param type="endPts" val="midR"/>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type="upArrowCallout" r:blip="" rot="180">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type="upArrowCallout" r:blip="" rot="180">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srcNode" val="background"/>
                    <dgm:param type="dstNode" val="background2"/>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srcNode" val="background2"/>
                            <dgm:param type="dstNode" val="background3"/>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srcNode" val="background3"/>
                                        <dgm:param type="dstNode" val="background4"/>
                                        <dgm:param type="dim" val="1D"/>
                                        <dgm:param type="endSty" val="noArr"/>
                                        <dgm:param type="connRout" val="bend"/>
                                        <dgm:param type="begPts" val="bCtr"/>
                                        <dgm:param type="endPts" val="tCtr"/>
                                        <dgm:param type="bendPt" val="end"/>
                                      </dgm:alg>
                                    </dgm:if>
                                    <dgm:else name="Name26">
                                      <dgm:alg type="conn">
                                        <dgm:param type="srcNode" val="background4"/>
                                        <dgm:param type="dstNode" val="background4"/>
                                        <dgm:param type="dim" val="1D"/>
                                        <dgm:param type="endSty" val="noArr"/>
                                        <dgm:param type="connRout" val="bend"/>
                                        <dgm:param type="begPts" val="bCtr"/>
                                        <dgm:param type="endPts" val="tCtr"/>
                                        <dgm:param type="bendPt" val="end"/>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3">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srcNode" val="background"/>
                    <dgm:param type="dstNode" val="background2"/>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srcNode" val="background2"/>
                            <dgm:param type="dstNode" val="background3"/>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srcNode" val="background3"/>
                                        <dgm:param type="dstNode" val="background4"/>
                                        <dgm:param type="dim" val="1D"/>
                                        <dgm:param type="endSty" val="noArr"/>
                                        <dgm:param type="connRout" val="bend"/>
                                        <dgm:param type="begPts" val="bCtr"/>
                                        <dgm:param type="endPts" val="tCtr"/>
                                        <dgm:param type="bendPt" val="end"/>
                                      </dgm:alg>
                                    </dgm:if>
                                    <dgm:else name="Name26">
                                      <dgm:alg type="conn">
                                        <dgm:param type="srcNode" val="background4"/>
                                        <dgm:param type="dstNode" val="background4"/>
                                        <dgm:param type="dim" val="1D"/>
                                        <dgm:param type="endSty" val="noArr"/>
                                        <dgm:param type="connRout" val="bend"/>
                                        <dgm:param type="begPts" val="bCtr"/>
                                        <dgm:param type="endPts" val="tCtr"/>
                                        <dgm:param type="bendPt" val="end"/>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3d3#2">
  <dgm:title val=""/>
  <dgm:desc val=""/>
  <dgm:catLst>
    <dgm:cat type="3D" pri="11300"/>
  </dgm:catLst>
  <dgm:scene3d>
    <a:camera prst="orthographicFront"/>
    <a:lightRig rig="threePt" dir="t"/>
  </dgm:scene3d>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1">
  <dgm:title val=""/>
  <dgm:desc val=""/>
  <dgm:catLst>
    <dgm:cat type="simple" pri="105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dgm:scene3d>
    <dgm:txPr/>
    <dgm:style>
      <a:lnRef idx="0">
        <a:scrgbClr r="0" g="0" b="0"/>
      </a:lnRef>
      <a:fillRef idx="1">
        <a:scrgbClr r="0" g="0" b="0"/>
      </a:fillRef>
      <a:effectRef idx="3">
        <a:scrgbClr r="0" g="0" b="0"/>
      </a:effectRef>
      <a:fontRef idx="minor"/>
    </dgm:style>
  </dgm:styleLbl>
  <dgm:styleLbl name="alignNode1">
    <dgm:scene3d>
      <a:camera prst="orthographicFront"/>
      <a:lightRig rig="threePt" dir="t"/>
    </dgm:scene3d>
    <dgm:txPr/>
    <dgm:style>
      <a:lnRef idx="1">
        <a:scrgbClr r="0" g="0" b="0"/>
      </a:lnRef>
      <a:fillRef idx="3">
        <a:scrgbClr r="0" g="0" b="0"/>
      </a:fillRef>
      <a:effectRef idx="3">
        <a:scrgbClr r="0" g="0" b="0"/>
      </a:effectRef>
      <a:fontRef idx="minor">
        <a:schemeClr val="lt1"/>
      </a:fontRef>
    </dgm:style>
  </dgm:styleLbl>
  <dgm:styleLbl name="asst0">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b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dgm:scene3d>
    <dgm:txPr/>
    <dgm:style>
      <a:lnRef idx="0">
        <a:scrgbClr r="0" g="0" b="0"/>
      </a:lnRef>
      <a:fillRef idx="1">
        <a:scrgbClr r="0" g="0" b="0"/>
      </a:fillRef>
      <a:effectRef idx="3">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callout">
    <dgm:scene3d>
      <a:camera prst="orthographicFront"/>
      <a:lightRig rig="threePt" dir="t"/>
    </dgm:scene3d>
    <dgm:txPr/>
    <dgm:style>
      <a:lnRef idx="1">
        <a:scrgbClr r="0" g="0" b="0"/>
      </a:lnRef>
      <a:fillRef idx="0">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3">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2">
        <a:scrgbClr r="0" g="0" b="0"/>
      </a:effectRef>
      <a:fontRef idx="minor"/>
    </dgm:style>
  </dgm:styleLbl>
  <dgm:styleLbl name="fgImgPlace1">
    <dgm:scene3d>
      <a:camera prst="orthographicFront"/>
      <a:lightRig rig="threePt" dir="t"/>
    </dgm:scene3d>
    <dgm:txPr/>
    <dgm:style>
      <a:lnRef idx="0">
        <a:scrgbClr r="0" g="0" b="0"/>
      </a:lnRef>
      <a:fillRef idx="1">
        <a:scrgbClr r="0" g="0" b="0"/>
      </a:fillRef>
      <a:effectRef idx="3">
        <a:scrgbClr r="0" g="0" b="0"/>
      </a:effectRef>
      <a:fontRef idx="minor"/>
    </dgm:style>
  </dgm:styleLbl>
  <dgm:styleLbl name="fgShp">
    <dgm:scene3d>
      <a:camera prst="orthographicFront"/>
      <a:lightRig rig="threePt" dir="t"/>
    </dgm:scene3d>
    <dgm:txPr/>
    <dgm:style>
      <a:lnRef idx="0">
        <a:scrgbClr r="0" g="0" b="0"/>
      </a:lnRef>
      <a:fillRef idx="3">
        <a:scrgbClr r="0" g="0" b="0"/>
      </a:fillRef>
      <a:effectRef idx="3">
        <a:scrgbClr r="0" g="0" b="0"/>
      </a:effectRef>
      <a:fontRef idx="minor"/>
    </dgm:style>
  </dgm:styleLbl>
  <dgm:styleLbl name="fgSib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0">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solidAlignAcc1">
    <dgm:scene3d>
      <a:camera prst="orthographicFront"/>
      <a:lightRig rig="threePt" dir="t"/>
    </dgm:scene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3">
        <a:scrgbClr r="0" g="0" b="0"/>
      </a:effectRef>
      <a:fontRef idx="minor"/>
    </dgm:style>
  </dgm:styleLbl>
  <dgm:styleLbl name="solidF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0">
        <a:scrgbClr r="0" g="0" b="0"/>
      </a:lnRef>
      <a:fillRef idx="3">
        <a:scrgbClr r="0" g="0" b="0"/>
      </a:fillRef>
      <a:effectRef idx="3">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467</Pages>
  <Words>164236</Words>
  <Characters>167718</Characters>
  <Lines>0</Lines>
  <Paragraphs>0</Paragraphs>
  <TotalTime>3</TotalTime>
  <ScaleCrop>false</ScaleCrop>
  <LinksUpToDate>false</LinksUpToDate>
  <CharactersWithSpaces>168085</CharactersWithSpaces>
  <Application>WPS Office_11.8.2.8555_F1E327BC-269C-435d-A152-05C5408002CA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2022-10-24T05:35:00Z</dcterms:created>
  <dc:creator>86152</dc:creator>
  <cp:lastModifiedBy>86152</cp:lastModifiedBy>
  <dcterms:modified xsi:type="dcterms:W3CDTF">2024-08-27T09:59:34Z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2052-11.8.2.8555</vt:lpwstr>
  </property>
  <property fmtid="{D5CDD505-2E9C-101B-9397-08002B2CF9AE}" pid="3" name="ICV">
    <vt:lpwstr>4B05510A5C6D4DCAAD6D8520D2B9984C</vt:lpwstr>
  </property>
</Properties>
</file>