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00B050"/>
  <w:body>
    <w:p>
      <w:pPr>
        <w:pStyle w:val="3"/>
        <w:spacing w:before="156" w:after="156"/>
        <w:rPr>
          <w:sz w:val="36"/>
          <w:szCs w:val="36"/>
        </w:rPr>
      </w:pPr>
      <w:bookmarkStart w:id="0" w:name="_Toc18416"/>
      <w:bookmarkStart w:id="1" w:name="_Toc212954808"/>
      <w:bookmarkStart w:id="2" w:name="_Toc212890256"/>
      <w:bookmarkStart w:id="3" w:name="_Toc212961581"/>
      <w:bookmarkStart w:id="4" w:name="_Toc525107823"/>
      <w:bookmarkStart w:id="5" w:name="_Toc212799379"/>
      <w:bookmarkStart w:id="6" w:name="_Toc212962392"/>
      <w:bookmarkStart w:id="7" w:name="_Toc212709858"/>
      <w:bookmarkStart w:id="8" w:name="_Toc212633709"/>
      <w:r>
        <w:rPr>
          <w:rFonts w:hint="eastAsia"/>
          <w:sz w:val="36"/>
          <w:szCs w:val="36"/>
        </w:rPr>
        <w:t>目录</w:t>
      </w:r>
      <w:bookmarkEnd w:id="0"/>
    </w:p>
    <w:p>
      <w:pPr>
        <w:pStyle w:val="59"/>
        <w:tabs>
          <w:tab w:val="right" w:pos="8505"/>
        </w:tabs>
        <w:ind w:firstLine="402"/>
      </w:pPr>
      <w:r>
        <w:rPr>
          <w:rFonts w:hint="eastAsia"/>
        </w:rPr>
        <w:fldChar w:fldCharType="begin"/>
      </w:r>
      <w:r>
        <w:rPr>
          <w:rFonts w:hint="eastAsia"/>
        </w:rPr>
        <w:instrText xml:space="preserve">TOC \o "1-1" \n  \h \u </w:instrText>
      </w:r>
      <w:r>
        <w:rPr>
          <w:rFonts w:hint="eastAsia"/>
        </w:rPr>
        <w:fldChar w:fldCharType="separate"/>
      </w:r>
    </w:p>
    <w:p>
      <w:pPr>
        <w:pStyle w:val="59"/>
        <w:tabs>
          <w:tab w:val="right" w:pos="8505"/>
        </w:tabs>
        <w:ind w:firstLine="402"/>
      </w:pPr>
      <w:r>
        <w:fldChar w:fldCharType="begin"/>
      </w:r>
      <w:r>
        <w:instrText xml:space="preserve"> HYPERLINK \l "_Toc3670" </w:instrText>
      </w:r>
      <w:r>
        <w:fldChar w:fldCharType="separate"/>
      </w:r>
      <w:r>
        <w:rPr>
          <w:rFonts w:hint="eastAsia"/>
          <w:szCs w:val="36"/>
        </w:rPr>
        <w:t>第一章 编制综合说明</w:t>
      </w:r>
      <w:r>
        <w:rPr>
          <w:rFonts w:hint="eastAsia"/>
          <w:szCs w:val="36"/>
        </w:rPr>
        <w:fldChar w:fldCharType="end"/>
      </w:r>
    </w:p>
    <w:p>
      <w:pPr>
        <w:pStyle w:val="59"/>
        <w:tabs>
          <w:tab w:val="right" w:pos="8505"/>
        </w:tabs>
        <w:ind w:firstLine="402"/>
      </w:pPr>
      <w:r>
        <w:fldChar w:fldCharType="begin"/>
      </w:r>
      <w:r>
        <w:instrText xml:space="preserve"> HYPERLINK \l "_Toc30881" </w:instrText>
      </w:r>
      <w:r>
        <w:fldChar w:fldCharType="separate"/>
      </w:r>
      <w:r>
        <w:rPr>
          <w:rFonts w:hint="eastAsia"/>
          <w:szCs w:val="36"/>
        </w:rPr>
        <w:t>第二章 工程概况</w:t>
      </w:r>
      <w:r>
        <w:rPr>
          <w:rFonts w:hint="eastAsia"/>
          <w:szCs w:val="36"/>
        </w:rPr>
        <w:fldChar w:fldCharType="end"/>
      </w:r>
    </w:p>
    <w:p>
      <w:pPr>
        <w:pStyle w:val="59"/>
        <w:tabs>
          <w:tab w:val="right" w:pos="8505"/>
        </w:tabs>
        <w:ind w:firstLine="402"/>
      </w:pPr>
      <w:r>
        <w:fldChar w:fldCharType="begin"/>
      </w:r>
      <w:r>
        <w:instrText xml:space="preserve"> HYPERLINK \l "_Toc20288" </w:instrText>
      </w:r>
      <w:r>
        <w:fldChar w:fldCharType="separate"/>
      </w:r>
      <w:r>
        <w:rPr>
          <w:rFonts w:hint="eastAsia"/>
          <w:szCs w:val="36"/>
        </w:rPr>
        <w:t>第三章 施工部署及现场平面布置</w:t>
      </w:r>
      <w:r>
        <w:rPr>
          <w:rFonts w:hint="eastAsia"/>
          <w:szCs w:val="36"/>
        </w:rPr>
        <w:fldChar w:fldCharType="end"/>
      </w:r>
    </w:p>
    <w:p>
      <w:pPr>
        <w:pStyle w:val="59"/>
        <w:tabs>
          <w:tab w:val="right" w:pos="8505"/>
        </w:tabs>
        <w:ind w:firstLine="402"/>
      </w:pPr>
      <w:r>
        <w:fldChar w:fldCharType="begin"/>
      </w:r>
      <w:r>
        <w:instrText xml:space="preserve"> HYPERLINK \l "_Toc24851" </w:instrText>
      </w:r>
      <w:r>
        <w:fldChar w:fldCharType="separate"/>
      </w:r>
      <w:r>
        <w:rPr>
          <w:rFonts w:hint="eastAsia"/>
          <w:szCs w:val="36"/>
        </w:rPr>
        <w:t>第四章 施工方法及主要技术措施</w:t>
      </w:r>
      <w:r>
        <w:rPr>
          <w:rFonts w:hint="eastAsia"/>
          <w:szCs w:val="36"/>
        </w:rPr>
        <w:fldChar w:fldCharType="end"/>
      </w:r>
    </w:p>
    <w:p>
      <w:pPr>
        <w:pStyle w:val="59"/>
        <w:tabs>
          <w:tab w:val="right" w:pos="8505"/>
        </w:tabs>
        <w:ind w:firstLine="402"/>
      </w:pPr>
      <w:r>
        <w:fldChar w:fldCharType="begin"/>
      </w:r>
      <w:r>
        <w:instrText xml:space="preserve"> HYPERLINK \l "_Toc10231" </w:instrText>
      </w:r>
      <w:r>
        <w:fldChar w:fldCharType="separate"/>
      </w:r>
      <w:r>
        <w:rPr>
          <w:rFonts w:hint="eastAsia"/>
          <w:szCs w:val="36"/>
        </w:rPr>
        <w:t>第五章 资源配备计划</w:t>
      </w:r>
      <w:r>
        <w:rPr>
          <w:rFonts w:hint="eastAsia"/>
          <w:szCs w:val="36"/>
        </w:rPr>
        <w:fldChar w:fldCharType="end"/>
      </w:r>
    </w:p>
    <w:p>
      <w:pPr>
        <w:pStyle w:val="59"/>
        <w:tabs>
          <w:tab w:val="right" w:pos="8505"/>
        </w:tabs>
        <w:ind w:firstLine="402"/>
      </w:pPr>
      <w:r>
        <w:fldChar w:fldCharType="begin"/>
      </w:r>
      <w:r>
        <w:instrText xml:space="preserve"> HYPERLINK \l "_Toc26080" </w:instrText>
      </w:r>
      <w:r>
        <w:fldChar w:fldCharType="separate"/>
      </w:r>
      <w:r>
        <w:rPr>
          <w:rFonts w:hint="eastAsia"/>
          <w:szCs w:val="36"/>
        </w:rPr>
        <w:t>第六章 工程进度计划及保障措施</w:t>
      </w:r>
      <w:r>
        <w:rPr>
          <w:rFonts w:hint="eastAsia"/>
          <w:szCs w:val="36"/>
        </w:rPr>
        <w:fldChar w:fldCharType="end"/>
      </w:r>
    </w:p>
    <w:p>
      <w:pPr>
        <w:pStyle w:val="59"/>
        <w:tabs>
          <w:tab w:val="right" w:pos="8505"/>
        </w:tabs>
        <w:ind w:firstLine="402"/>
      </w:pPr>
      <w:r>
        <w:fldChar w:fldCharType="begin"/>
      </w:r>
      <w:r>
        <w:instrText xml:space="preserve"> HYPERLINK \l "_Toc7510" </w:instrText>
      </w:r>
      <w:r>
        <w:fldChar w:fldCharType="separate"/>
      </w:r>
      <w:r>
        <w:rPr>
          <w:rFonts w:hint="eastAsia"/>
          <w:szCs w:val="36"/>
        </w:rPr>
        <w:t>第七章 质量管理体系与措施</w:t>
      </w:r>
      <w:r>
        <w:rPr>
          <w:rFonts w:hint="eastAsia"/>
          <w:szCs w:val="36"/>
        </w:rPr>
        <w:fldChar w:fldCharType="end"/>
      </w:r>
    </w:p>
    <w:p>
      <w:pPr>
        <w:pStyle w:val="59"/>
        <w:tabs>
          <w:tab w:val="right" w:pos="8505"/>
        </w:tabs>
        <w:ind w:firstLine="402"/>
      </w:pPr>
      <w:r>
        <w:fldChar w:fldCharType="begin"/>
      </w:r>
      <w:r>
        <w:instrText xml:space="preserve"> HYPERLINK \l "_Toc26774" </w:instrText>
      </w:r>
      <w:r>
        <w:fldChar w:fldCharType="separate"/>
      </w:r>
      <w:r>
        <w:rPr>
          <w:rFonts w:hint="eastAsia"/>
          <w:szCs w:val="36"/>
        </w:rPr>
        <w:t>第八章 合理化建议</w:t>
      </w:r>
      <w:r>
        <w:rPr>
          <w:rFonts w:hint="eastAsia"/>
          <w:szCs w:val="36"/>
        </w:rPr>
        <w:fldChar w:fldCharType="end"/>
      </w:r>
    </w:p>
    <w:p>
      <w:pPr>
        <w:pStyle w:val="59"/>
        <w:tabs>
          <w:tab w:val="right" w:pos="8505"/>
        </w:tabs>
        <w:ind w:firstLine="402"/>
      </w:pPr>
      <w:r>
        <w:fldChar w:fldCharType="begin"/>
      </w:r>
      <w:r>
        <w:instrText xml:space="preserve"> HYPERLINK \l "_Toc8802" </w:instrText>
      </w:r>
      <w:r>
        <w:fldChar w:fldCharType="separate"/>
      </w:r>
      <w:r>
        <w:rPr>
          <w:rFonts w:hint="eastAsia"/>
          <w:szCs w:val="36"/>
        </w:rPr>
        <w:t>第九章 安全管理体系与措施</w:t>
      </w:r>
      <w:r>
        <w:rPr>
          <w:rFonts w:hint="eastAsia"/>
          <w:szCs w:val="36"/>
        </w:rPr>
        <w:fldChar w:fldCharType="end"/>
      </w:r>
    </w:p>
    <w:p>
      <w:pPr>
        <w:pStyle w:val="59"/>
        <w:tabs>
          <w:tab w:val="right" w:pos="8505"/>
        </w:tabs>
        <w:ind w:firstLine="402"/>
      </w:pPr>
      <w:r>
        <w:fldChar w:fldCharType="begin"/>
      </w:r>
      <w:r>
        <w:instrText xml:space="preserve"> HYPERLINK \l "_Toc4360" </w:instrText>
      </w:r>
      <w:r>
        <w:fldChar w:fldCharType="separate"/>
      </w:r>
      <w:r>
        <w:rPr>
          <w:rFonts w:hint="eastAsia"/>
          <w:szCs w:val="32"/>
        </w:rPr>
        <w:t>第十章 施工场地治安保卫管理计划</w:t>
      </w:r>
      <w:r>
        <w:rPr>
          <w:rFonts w:hint="eastAsia"/>
          <w:szCs w:val="32"/>
        </w:rPr>
        <w:fldChar w:fldCharType="end"/>
      </w:r>
    </w:p>
    <w:p>
      <w:pPr>
        <w:pStyle w:val="59"/>
        <w:tabs>
          <w:tab w:val="right" w:pos="8505"/>
        </w:tabs>
        <w:ind w:firstLine="402"/>
      </w:pPr>
      <w:r>
        <w:fldChar w:fldCharType="begin"/>
      </w:r>
      <w:r>
        <w:instrText xml:space="preserve"> HYPERLINK \l "_Toc25826" </w:instrText>
      </w:r>
      <w:r>
        <w:fldChar w:fldCharType="separate"/>
      </w:r>
      <w:r>
        <w:rPr>
          <w:rFonts w:hint="eastAsia"/>
          <w:szCs w:val="32"/>
        </w:rPr>
        <w:t>第十一章 项目主要管理人员及工程技术人员组成情况</w:t>
      </w:r>
      <w:r>
        <w:rPr>
          <w:rFonts w:hint="eastAsia"/>
          <w:szCs w:val="32"/>
        </w:rPr>
        <w:fldChar w:fldCharType="end"/>
      </w:r>
    </w:p>
    <w:p>
      <w:pPr>
        <w:pStyle w:val="59"/>
        <w:tabs>
          <w:tab w:val="right" w:pos="8505"/>
        </w:tabs>
        <w:ind w:firstLine="402"/>
      </w:pPr>
      <w:r>
        <w:fldChar w:fldCharType="begin"/>
      </w:r>
      <w:r>
        <w:instrText xml:space="preserve"> HYPERLINK \l "_Toc28196" </w:instrText>
      </w:r>
      <w:r>
        <w:fldChar w:fldCharType="separate"/>
      </w:r>
      <w:r>
        <w:rPr>
          <w:rFonts w:hint="eastAsia"/>
          <w:szCs w:val="32"/>
        </w:rPr>
        <w:t>第十二章 雨季施工方案</w:t>
      </w:r>
      <w:r>
        <w:rPr>
          <w:rFonts w:hint="eastAsia"/>
          <w:szCs w:val="32"/>
        </w:rPr>
        <w:fldChar w:fldCharType="end"/>
      </w:r>
    </w:p>
    <w:p>
      <w:pPr>
        <w:pStyle w:val="59"/>
        <w:tabs>
          <w:tab w:val="right" w:pos="8505"/>
        </w:tabs>
        <w:ind w:firstLine="402"/>
      </w:pPr>
      <w:r>
        <w:fldChar w:fldCharType="begin"/>
      </w:r>
      <w:r>
        <w:instrText xml:space="preserve"> HYPERLINK \l "_Toc22371" </w:instrText>
      </w:r>
      <w:r>
        <w:fldChar w:fldCharType="separate"/>
      </w:r>
      <w:r>
        <w:rPr>
          <w:rFonts w:hint="eastAsia"/>
          <w:szCs w:val="32"/>
        </w:rPr>
        <w:t>第十三章 环境保护管理体系及措施</w:t>
      </w:r>
      <w:r>
        <w:rPr>
          <w:rFonts w:hint="eastAsia"/>
          <w:szCs w:val="32"/>
        </w:rPr>
        <w:fldChar w:fldCharType="end"/>
      </w:r>
    </w:p>
    <w:p>
      <w:pPr>
        <w:pStyle w:val="59"/>
        <w:tabs>
          <w:tab w:val="right" w:pos="8505"/>
        </w:tabs>
        <w:ind w:firstLine="402"/>
      </w:pPr>
      <w:r>
        <w:fldChar w:fldCharType="begin"/>
      </w:r>
      <w:r>
        <w:instrText xml:space="preserve"> HYPERLINK \l "_Toc4677" </w:instrText>
      </w:r>
      <w:r>
        <w:fldChar w:fldCharType="separate"/>
      </w:r>
      <w:r>
        <w:rPr>
          <w:rFonts w:hint="eastAsia" w:ascii="宋体" w:hAnsi="宋体" w:cs="宋体"/>
          <w:szCs w:val="32"/>
        </w:rPr>
        <w:t>第十四章 服务承诺及维保方案</w:t>
      </w:r>
      <w:r>
        <w:rPr>
          <w:rFonts w:hint="eastAsia" w:ascii="宋体" w:hAnsi="宋体" w:cs="宋体"/>
          <w:szCs w:val="32"/>
        </w:rPr>
        <w:fldChar w:fldCharType="end"/>
      </w:r>
    </w:p>
    <w:p>
      <w:pPr>
        <w:ind w:firstLine="480"/>
      </w:pPr>
      <w:r>
        <w:rPr>
          <w:rFonts w:hint="eastAsia"/>
        </w:rPr>
        <w:fldChar w:fldCharType="end"/>
      </w:r>
    </w:p>
    <w:p>
      <w:pPr>
        <w:ind w:firstLine="720"/>
        <w:rPr>
          <w:sz w:val="36"/>
          <w:szCs w:val="36"/>
        </w:rPr>
      </w:pPr>
      <w:r>
        <w:rPr>
          <w:rFonts w:hint="eastAsia"/>
          <w:sz w:val="36"/>
          <w:szCs w:val="36"/>
        </w:rPr>
        <w:br w:type="page"/>
      </w:r>
    </w:p>
    <w:p>
      <w:pPr>
        <w:pStyle w:val="3"/>
        <w:spacing w:before="156" w:after="156"/>
      </w:pPr>
      <w:bookmarkStart w:id="9" w:name="_Toc3670"/>
      <w:r>
        <w:rPr>
          <w:rFonts w:hint="eastAsia"/>
        </w:rPr>
        <w:t xml:space="preserve">第一章 </w:t>
      </w:r>
      <w:r>
        <w:t xml:space="preserve"> </w:t>
      </w:r>
      <w:r>
        <w:rPr>
          <w:rFonts w:hint="eastAsia"/>
        </w:rPr>
        <w:t>编制综合说明</w:t>
      </w:r>
      <w:bookmarkEnd w:id="1"/>
      <w:bookmarkEnd w:id="2"/>
      <w:bookmarkEnd w:id="3"/>
      <w:bookmarkEnd w:id="4"/>
      <w:bookmarkEnd w:id="5"/>
      <w:bookmarkEnd w:id="6"/>
      <w:bookmarkEnd w:id="7"/>
      <w:bookmarkEnd w:id="8"/>
      <w:bookmarkEnd w:id="9"/>
    </w:p>
    <w:p>
      <w:pPr>
        <w:pStyle w:val="4"/>
        <w:spacing w:before="156" w:after="156"/>
        <w:ind w:firstLine="560"/>
      </w:pPr>
      <w:bookmarkStart w:id="10" w:name="_Toc212799380"/>
      <w:bookmarkStart w:id="11" w:name="_Toc212709859"/>
      <w:bookmarkStart w:id="12" w:name="_Toc212961582"/>
      <w:bookmarkStart w:id="13" w:name="_Toc212633710"/>
      <w:bookmarkStart w:id="14" w:name="_Toc525107824"/>
      <w:bookmarkStart w:id="15" w:name="_Toc212954809"/>
      <w:bookmarkStart w:id="16" w:name="_Toc212962393"/>
      <w:bookmarkStart w:id="17" w:name="_Toc212890257"/>
      <w:r>
        <w:rPr>
          <w:rFonts w:hint="eastAsia"/>
        </w:rPr>
        <w:t>第一节 编制依据</w:t>
      </w:r>
      <w:bookmarkEnd w:id="10"/>
      <w:bookmarkEnd w:id="11"/>
      <w:bookmarkEnd w:id="12"/>
      <w:bookmarkEnd w:id="13"/>
      <w:bookmarkEnd w:id="14"/>
      <w:bookmarkEnd w:id="15"/>
      <w:bookmarkEnd w:id="16"/>
      <w:bookmarkEnd w:id="17"/>
    </w:p>
    <w:p>
      <w:pPr>
        <w:bidi w:val="0"/>
        <w:rPr>
          <w:rFonts w:hint="eastAsia"/>
        </w:rPr>
      </w:pPr>
      <w:r>
        <w:rPr>
          <w:rFonts w:hint="eastAsia"/>
        </w:rPr>
        <w:t>1、招标文件、答疑文件及随同招标文件提供的勘探资料、测量资料等。</w:t>
      </w:r>
    </w:p>
    <w:p>
      <w:pPr>
        <w:bidi w:val="0"/>
        <w:rPr>
          <w:rFonts w:hint="eastAsia"/>
        </w:rPr>
      </w:pPr>
      <w:r>
        <w:rPr>
          <w:rFonts w:hint="eastAsia"/>
        </w:rPr>
        <w:t>2、随同招标文件提供的设计图纸。</w:t>
      </w:r>
    </w:p>
    <w:p>
      <w:pPr>
        <w:bidi w:val="0"/>
        <w:rPr>
          <w:rFonts w:hint="eastAsia"/>
        </w:rPr>
      </w:pPr>
      <w:r>
        <w:rPr>
          <w:rFonts w:hint="eastAsia"/>
        </w:rPr>
        <w:t>3、建设部及交通部颁布的设计规范、市政施工技术规范、质量验收评定标准，国家及有关部委颁发的标准、规范、规程、法规及政策。</w:t>
      </w:r>
    </w:p>
    <w:p>
      <w:pPr>
        <w:bidi w:val="0"/>
        <w:rPr>
          <w:rFonts w:hint="eastAsia"/>
        </w:rPr>
      </w:pPr>
      <w:r>
        <w:rPr>
          <w:rFonts w:hint="eastAsia"/>
        </w:rPr>
        <w:t>4、现场踏勘调查所获得的有关信息、资料。</w:t>
      </w:r>
    </w:p>
    <w:p>
      <w:pPr>
        <w:bidi w:val="0"/>
        <w:rPr>
          <w:rFonts w:hint="eastAsia"/>
        </w:rPr>
      </w:pPr>
      <w:r>
        <w:rPr>
          <w:rFonts w:hint="eastAsia"/>
        </w:rPr>
        <w:t>5、适用的标准</w:t>
      </w:r>
    </w:p>
    <w:p>
      <w:pPr>
        <w:bidi w:val="0"/>
        <w:rPr>
          <w:rFonts w:hint="eastAsia"/>
        </w:rPr>
      </w:pPr>
      <w:r>
        <w:rPr>
          <w:rFonts w:hint="eastAsia"/>
        </w:rPr>
        <w:t>《建筑拆除工程安全技术规范》JGJ 147-2016</w:t>
      </w:r>
    </w:p>
    <w:p>
      <w:pPr>
        <w:pStyle w:val="4"/>
        <w:spacing w:before="156" w:after="156"/>
        <w:ind w:firstLine="560"/>
      </w:pPr>
      <w:bookmarkStart w:id="18" w:name="_Toc212954810"/>
      <w:bookmarkStart w:id="19" w:name="_Toc212799381"/>
      <w:bookmarkStart w:id="20" w:name="_Toc212890258"/>
      <w:bookmarkStart w:id="21" w:name="_Toc212709860"/>
      <w:bookmarkStart w:id="22" w:name="_Toc212633711"/>
      <w:bookmarkStart w:id="23" w:name="_Toc212961583"/>
      <w:bookmarkStart w:id="24" w:name="_Toc212962394"/>
      <w:bookmarkStart w:id="25" w:name="_Toc525107825"/>
      <w:r>
        <w:rPr>
          <w:rFonts w:hint="eastAsia"/>
        </w:rPr>
        <w:t>第二节 编制原则</w:t>
      </w:r>
      <w:bookmarkEnd w:id="18"/>
      <w:bookmarkEnd w:id="19"/>
      <w:bookmarkEnd w:id="20"/>
      <w:bookmarkEnd w:id="21"/>
      <w:bookmarkEnd w:id="22"/>
      <w:bookmarkEnd w:id="23"/>
      <w:bookmarkEnd w:id="24"/>
      <w:bookmarkEnd w:id="25"/>
    </w:p>
    <w:p>
      <w:pPr>
        <w:ind w:firstLine="480"/>
      </w:pPr>
      <w:bookmarkStart w:id="26" w:name="_Toc212709861"/>
      <w:bookmarkStart w:id="27" w:name="_Toc210121558"/>
      <w:bookmarkStart w:id="28" w:name="_Toc210121323"/>
      <w:bookmarkStart w:id="29" w:name="_Toc212890259"/>
      <w:bookmarkStart w:id="30" w:name="_Toc210121791"/>
      <w:bookmarkStart w:id="31" w:name="_Toc206229861"/>
      <w:r>
        <w:rPr>
          <w:rFonts w:hint="eastAsia"/>
        </w:rPr>
        <w:t>1、严格遵守招标文件要求的原则</w:t>
      </w:r>
      <w:bookmarkEnd w:id="26"/>
      <w:bookmarkEnd w:id="27"/>
      <w:bookmarkEnd w:id="28"/>
      <w:bookmarkEnd w:id="29"/>
      <w:bookmarkEnd w:id="30"/>
      <w:bookmarkEnd w:id="31"/>
    </w:p>
    <w:p>
      <w:pPr>
        <w:ind w:firstLine="480"/>
      </w:pPr>
      <w:r>
        <w:rPr>
          <w:rFonts w:hint="eastAsia"/>
        </w:rPr>
        <w:t>本工程施工组织设计的编制严格遵守屋建筑拆除工程招标文件的各项要求。</w:t>
      </w:r>
    </w:p>
    <w:p>
      <w:pPr>
        <w:ind w:firstLine="480"/>
      </w:pPr>
      <w:bookmarkStart w:id="32" w:name="_Toc212890260"/>
      <w:bookmarkStart w:id="33" w:name="_Toc210121324"/>
      <w:bookmarkStart w:id="34" w:name="_Toc210121559"/>
      <w:bookmarkStart w:id="35" w:name="_Toc212709862"/>
      <w:bookmarkStart w:id="36" w:name="_Toc206229862"/>
      <w:bookmarkStart w:id="37" w:name="_Toc210121792"/>
      <w:r>
        <w:rPr>
          <w:rFonts w:hint="eastAsia"/>
        </w:rPr>
        <w:t>2、力求施工方案的先进性、合理性、适用性和经济性原则</w:t>
      </w:r>
      <w:bookmarkEnd w:id="32"/>
      <w:bookmarkEnd w:id="33"/>
      <w:bookmarkEnd w:id="34"/>
      <w:bookmarkEnd w:id="35"/>
      <w:bookmarkEnd w:id="36"/>
      <w:bookmarkEnd w:id="37"/>
    </w:p>
    <w:p>
      <w:pPr>
        <w:ind w:firstLine="480"/>
      </w:pPr>
      <w:r>
        <w:rPr>
          <w:rFonts w:hint="eastAsia"/>
        </w:rPr>
        <w:t>本施工组织设计将结合本工程特点，运用平行流水作业，做好劳力、材料、机械设备的综合调配，在保证质量、技术安全的前提下，积极采用新工艺、新机具、新材料及新的检验、试验方法。</w:t>
      </w:r>
    </w:p>
    <w:p>
      <w:pPr>
        <w:ind w:firstLine="480"/>
      </w:pPr>
      <w:bookmarkStart w:id="38" w:name="_Toc212709863"/>
      <w:bookmarkStart w:id="39" w:name="_Toc210121793"/>
      <w:bookmarkStart w:id="40" w:name="_Toc210121325"/>
      <w:bookmarkStart w:id="41" w:name="_Toc210121560"/>
      <w:bookmarkStart w:id="42" w:name="_Toc206229863"/>
      <w:bookmarkStart w:id="43" w:name="_Toc212890261"/>
      <w:r>
        <w:rPr>
          <w:rFonts w:hint="eastAsia"/>
        </w:rPr>
        <w:t>3、确保工期的原则</w:t>
      </w:r>
      <w:bookmarkEnd w:id="38"/>
      <w:bookmarkEnd w:id="39"/>
      <w:bookmarkEnd w:id="40"/>
      <w:bookmarkEnd w:id="41"/>
      <w:bookmarkEnd w:id="42"/>
      <w:bookmarkEnd w:id="43"/>
    </w:p>
    <w:p>
      <w:pPr>
        <w:ind w:firstLine="480"/>
      </w:pPr>
      <w:r>
        <w:rPr>
          <w:rFonts w:hint="eastAsia"/>
        </w:rPr>
        <w:t>根据施工图纸中的工程内容合理安排施工工序，优化资源并充分考虑由于拆迁等客观因素造成的施工暂停、气候、节假日等对工期的影响，采用平行流水作业及均衡施工方法，运用网络计划技术控制施工进度，保证施工工期。</w:t>
      </w:r>
    </w:p>
    <w:p>
      <w:pPr>
        <w:ind w:firstLine="480"/>
      </w:pPr>
      <w:bookmarkStart w:id="44" w:name="_Toc212709864"/>
      <w:bookmarkStart w:id="45" w:name="_Toc210121794"/>
      <w:bookmarkStart w:id="46" w:name="_Toc210121326"/>
      <w:bookmarkStart w:id="47" w:name="_Toc212890262"/>
      <w:bookmarkStart w:id="48" w:name="_Toc206229864"/>
      <w:bookmarkStart w:id="49" w:name="_Toc210121561"/>
      <w:r>
        <w:rPr>
          <w:rFonts w:hint="eastAsia"/>
        </w:rPr>
        <w:t>4、确保质量的原则</w:t>
      </w:r>
      <w:bookmarkEnd w:id="44"/>
      <w:bookmarkEnd w:id="45"/>
      <w:bookmarkEnd w:id="46"/>
      <w:bookmarkEnd w:id="47"/>
      <w:bookmarkEnd w:id="48"/>
      <w:bookmarkEnd w:id="49"/>
    </w:p>
    <w:p>
      <w:pPr>
        <w:ind w:firstLine="480"/>
      </w:pPr>
      <w:r>
        <w:rPr>
          <w:rFonts w:hint="eastAsia"/>
        </w:rPr>
        <w:t>确定本工程的质量目标，制定创优计划，建立健全质量保证体系，制定每道工序的施工技术措施，确保每道工序、每个分部工程质量均达到工程质量检验评定标准的要求，创建一流的精品工程。</w:t>
      </w:r>
    </w:p>
    <w:p>
      <w:pPr>
        <w:ind w:firstLine="480"/>
      </w:pPr>
      <w:bookmarkStart w:id="50" w:name="_Toc212709865"/>
      <w:bookmarkStart w:id="51" w:name="_Toc210121562"/>
      <w:bookmarkStart w:id="52" w:name="_Toc210121795"/>
      <w:bookmarkStart w:id="53" w:name="_Toc212890263"/>
      <w:bookmarkStart w:id="54" w:name="_Toc206229865"/>
      <w:bookmarkStart w:id="55" w:name="_Toc210121327"/>
      <w:r>
        <w:rPr>
          <w:rFonts w:hint="eastAsia"/>
        </w:rPr>
        <w:t>5、安全第一、预防为主的原则</w:t>
      </w:r>
      <w:bookmarkEnd w:id="50"/>
      <w:bookmarkEnd w:id="51"/>
      <w:bookmarkEnd w:id="52"/>
      <w:bookmarkEnd w:id="53"/>
      <w:bookmarkEnd w:id="54"/>
      <w:bookmarkEnd w:id="55"/>
    </w:p>
    <w:p>
      <w:pPr>
        <w:ind w:firstLine="480"/>
      </w:pPr>
      <w:r>
        <w:rPr>
          <w:rFonts w:hint="eastAsia"/>
        </w:rPr>
        <w:t>确立本工程安全目标，建立健全安全保证体系，完善各类安全管理制度，强化现场各项管理制度、措施的落实，确保安全目标的实现。</w:t>
      </w:r>
      <w:bookmarkStart w:id="56" w:name="_Toc210121563"/>
      <w:bookmarkStart w:id="57" w:name="_Toc212890264"/>
      <w:bookmarkStart w:id="58" w:name="_Toc212709866"/>
      <w:bookmarkStart w:id="59" w:name="_Toc210121328"/>
      <w:bookmarkStart w:id="60" w:name="_Toc206229866"/>
      <w:bookmarkStart w:id="61" w:name="_Toc210121796"/>
    </w:p>
    <w:p>
      <w:pPr>
        <w:ind w:firstLine="480"/>
      </w:pPr>
      <w:r>
        <w:rPr>
          <w:rFonts w:hint="eastAsia"/>
        </w:rPr>
        <w:t>6、确保环保、文明施工的原则</w:t>
      </w:r>
      <w:bookmarkEnd w:id="56"/>
      <w:bookmarkEnd w:id="57"/>
      <w:bookmarkEnd w:id="58"/>
      <w:bookmarkEnd w:id="59"/>
      <w:bookmarkEnd w:id="60"/>
      <w:bookmarkEnd w:id="61"/>
    </w:p>
    <w:p>
      <w:pPr>
        <w:ind w:firstLine="480"/>
      </w:pPr>
      <w:r>
        <w:rPr>
          <w:rFonts w:hint="eastAsia"/>
        </w:rPr>
        <w:t>因地制宜，以人为本。交通、水电、材料、施工场地规划，本着节约用地、防止水土流失的原则，减少污染。精心布置施工现场，合理安排施工便道，充分利用本地资源，降低工程费用。保护周围环境，做好水土保持工作，创建文明施工工地。</w:t>
      </w:r>
    </w:p>
    <w:p>
      <w:pPr>
        <w:ind w:firstLine="480"/>
      </w:pPr>
      <w:bookmarkStart w:id="62" w:name="_Toc212890265"/>
      <w:bookmarkStart w:id="63" w:name="_Toc206229867"/>
      <w:bookmarkStart w:id="64" w:name="_Toc212709867"/>
      <w:bookmarkStart w:id="65" w:name="_Toc210121797"/>
      <w:bookmarkStart w:id="66" w:name="_Toc210121564"/>
      <w:bookmarkStart w:id="67" w:name="_Toc210121329"/>
      <w:r>
        <w:rPr>
          <w:rFonts w:hint="eastAsia"/>
        </w:rPr>
        <w:t>7、遵纪守法和尊重地方风俗的原则</w:t>
      </w:r>
      <w:bookmarkEnd w:id="62"/>
      <w:bookmarkEnd w:id="63"/>
      <w:bookmarkEnd w:id="64"/>
      <w:bookmarkEnd w:id="65"/>
      <w:bookmarkEnd w:id="66"/>
      <w:bookmarkEnd w:id="67"/>
    </w:p>
    <w:p>
      <w:pPr>
        <w:ind w:firstLine="480"/>
      </w:pPr>
      <w:r>
        <w:rPr>
          <w:rFonts w:hint="eastAsia"/>
        </w:rPr>
        <w:t>施工中严格遵守国家的法律、法规，兼顾地方和群众利益，尊重地方的风俗习惯，做到少扰民、不扰民。</w:t>
      </w:r>
    </w:p>
    <w:p>
      <w:pPr>
        <w:pStyle w:val="4"/>
        <w:spacing w:before="156" w:after="156"/>
        <w:ind w:firstLine="560"/>
      </w:pPr>
      <w:bookmarkStart w:id="68" w:name="_Toc212633712"/>
      <w:bookmarkStart w:id="69" w:name="_Toc212709868"/>
      <w:bookmarkStart w:id="70" w:name="_Toc212962395"/>
      <w:bookmarkStart w:id="71" w:name="_Toc212799382"/>
      <w:bookmarkStart w:id="72" w:name="_Toc212890266"/>
      <w:bookmarkStart w:id="73" w:name="_Toc212961584"/>
      <w:bookmarkStart w:id="74" w:name="_Toc525107826"/>
      <w:bookmarkStart w:id="75" w:name="_Toc212954811"/>
      <w:r>
        <w:rPr>
          <w:rFonts w:hint="eastAsia"/>
        </w:rPr>
        <w:t>第三节 指导思想</w:t>
      </w:r>
      <w:bookmarkEnd w:id="68"/>
      <w:bookmarkEnd w:id="69"/>
      <w:bookmarkEnd w:id="70"/>
      <w:bookmarkEnd w:id="71"/>
      <w:bookmarkEnd w:id="72"/>
      <w:bookmarkEnd w:id="73"/>
      <w:bookmarkEnd w:id="74"/>
      <w:bookmarkEnd w:id="75"/>
    </w:p>
    <w:p>
      <w:pPr>
        <w:ind w:firstLine="480"/>
      </w:pPr>
      <w:r>
        <w:rPr>
          <w:rFonts w:hint="eastAsia"/>
        </w:rPr>
        <w:t>为了确保优质、安全、按期完成本合同段的工程施工，在编制施工组织设计，遵循如下的指导思想。</w:t>
      </w:r>
    </w:p>
    <w:p>
      <w:pPr>
        <w:ind w:firstLine="480"/>
      </w:pPr>
      <w:r>
        <w:rPr>
          <w:rFonts w:hint="eastAsia"/>
        </w:rPr>
        <w:t>1、现场施工组织采用四级管理模式：施工领导层、施工管理层、劳务管理层、劳动作业层。</w:t>
      </w:r>
    </w:p>
    <w:p>
      <w:pPr>
        <w:ind w:firstLine="480"/>
      </w:pPr>
      <w:r>
        <w:rPr>
          <w:rFonts w:hint="eastAsia"/>
        </w:rPr>
        <w:t>2、人员与施工队伍：项目经理部挑选具有丰富工程施工经验、年富力强的人员组成，形成强有力的领导班子。项目经理部调集具有类似工程施工经验的专业队伍。</w:t>
      </w:r>
    </w:p>
    <w:p>
      <w:pPr>
        <w:ind w:firstLine="480"/>
      </w:pPr>
      <w:r>
        <w:rPr>
          <w:rFonts w:hint="eastAsia"/>
        </w:rPr>
        <w:t>3、施工组织：采用先进的组织管理技术、统筹计划、合理安排，组织分段、分工序平行施工流水作业，均衡生产，保证招标文件要求的工期。</w:t>
      </w:r>
    </w:p>
    <w:p>
      <w:pPr>
        <w:ind w:firstLine="480"/>
      </w:pPr>
      <w:r>
        <w:rPr>
          <w:rFonts w:hint="eastAsia"/>
        </w:rPr>
        <w:t>4、机械设备：配置合理、充足的机械设备，优先考虑功能先进的新型设备；优化施工程序，使之与机械功能匹配，形成良性循环，充分发挥机械设备的生产能力。</w:t>
      </w:r>
    </w:p>
    <w:p>
      <w:pPr>
        <w:ind w:firstLine="480"/>
      </w:pPr>
      <w:r>
        <w:rPr>
          <w:rFonts w:hint="eastAsia"/>
        </w:rPr>
        <w:t>5、施工工艺：充分考虑工程特点，采用成熟、先进的施工工艺，实行样板引路、试验先行、全过程信息化监控的施工方法组织施工。</w:t>
      </w:r>
    </w:p>
    <w:p>
      <w:pPr>
        <w:ind w:firstLine="480"/>
      </w:pPr>
      <w:r>
        <w:rPr>
          <w:rFonts w:hint="eastAsia"/>
        </w:rPr>
        <w:t>6、质量控制：推行全面质量管理制度，严格按照GB/T19001-2000 idt ISO9001:2000标准质量体系进行质量控制，对施工现场实施动态管理和严密监控，遵循“上道工序必须为下道工序服务、质量具有优先否决权”的原则。</w:t>
      </w:r>
    </w:p>
    <w:p>
      <w:pPr>
        <w:ind w:firstLine="480"/>
        <w:rPr>
          <w:rFonts w:ascii="宋体" w:hAnsi="宋体" w:cs="宋体"/>
        </w:rPr>
      </w:pPr>
      <w:r>
        <w:rPr>
          <w:rFonts w:hint="eastAsia"/>
        </w:rPr>
        <w:t>7、环境及职业健康安全控制：严格按照GB/T24001-2004环境体系及GB/T28001-2001安全体系进行控制，确保实现环境及安全的管理目标。</w:t>
      </w:r>
    </w:p>
    <w:p>
      <w:pPr>
        <w:pStyle w:val="4"/>
        <w:spacing w:before="156" w:after="156"/>
        <w:ind w:firstLine="560"/>
      </w:pPr>
      <w:bookmarkStart w:id="76" w:name="_Toc212799383"/>
      <w:bookmarkStart w:id="77" w:name="_Toc212633713"/>
      <w:bookmarkStart w:id="78" w:name="_Toc212709869"/>
      <w:bookmarkStart w:id="79" w:name="_Toc212890267"/>
      <w:bookmarkStart w:id="80" w:name="_Toc212954812"/>
      <w:bookmarkStart w:id="81" w:name="_Toc525107827"/>
      <w:bookmarkStart w:id="82" w:name="_Toc212962396"/>
      <w:bookmarkStart w:id="83" w:name="_Toc212961585"/>
      <w:r>
        <w:rPr>
          <w:rFonts w:hint="eastAsia"/>
        </w:rPr>
        <w:t>第四节 质量、工期、安全文明施工目标</w:t>
      </w:r>
      <w:bookmarkEnd w:id="76"/>
      <w:bookmarkEnd w:id="77"/>
      <w:bookmarkEnd w:id="78"/>
      <w:bookmarkEnd w:id="79"/>
      <w:bookmarkEnd w:id="80"/>
      <w:bookmarkEnd w:id="81"/>
      <w:bookmarkEnd w:id="82"/>
      <w:bookmarkEnd w:id="83"/>
    </w:p>
    <w:p>
      <w:pPr>
        <w:ind w:firstLine="480"/>
      </w:pPr>
      <w:r>
        <w:rPr>
          <w:rFonts w:hint="eastAsia"/>
        </w:rPr>
        <w:t>1、质量目标：合格，争创优良。</w:t>
      </w:r>
    </w:p>
    <w:p>
      <w:pPr>
        <w:ind w:firstLine="480"/>
      </w:pPr>
      <w:r>
        <w:rPr>
          <w:rFonts w:hint="eastAsia"/>
        </w:rPr>
        <w:t>2、工期目标：我公司严格遵守招标文件要求，根据现场实际情况确定的分组（每五栋楼为一组）及每组的具体开工时间进行，每组工期为12日历天，本工程涉及1</w:t>
      </w:r>
      <w:r>
        <w:t>9</w:t>
      </w:r>
      <w:r>
        <w:rPr>
          <w:rFonts w:hint="eastAsia"/>
        </w:rPr>
        <w:t>栋楼可以分为4组。</w:t>
      </w:r>
    </w:p>
    <w:p>
      <w:pPr>
        <w:ind w:firstLine="480"/>
      </w:pPr>
      <w:r>
        <w:rPr>
          <w:rFonts w:hint="eastAsia"/>
        </w:rPr>
        <w:t>3、安全施工目标：严格按照施工组织设计中的安全生产方案组织施工，确保不出现任何重、特大安全事故，杜绝责任事故，争创“省级安全文明示范工地”。</w:t>
      </w:r>
    </w:p>
    <w:p>
      <w:pPr>
        <w:ind w:firstLine="480"/>
      </w:pPr>
      <w:r>
        <w:rPr>
          <w:rFonts w:hint="eastAsia"/>
        </w:rPr>
        <w:t>4、环境保护和文明施工目标：做到业主满意、市民认同，达到秦皇岛市文明施工要求，争创“省级安全文明示范工地”。</w:t>
      </w:r>
    </w:p>
    <w:p>
      <w:pPr>
        <w:pStyle w:val="3"/>
        <w:spacing w:before="156" w:after="156"/>
      </w:pPr>
      <w:bookmarkStart w:id="84" w:name="_Toc20288"/>
      <w:bookmarkStart w:id="85" w:name="_Toc525107829"/>
      <w:bookmarkStart w:id="86" w:name="_Toc211239408"/>
      <w:bookmarkStart w:id="87" w:name="_Toc211239510"/>
      <w:bookmarkStart w:id="88" w:name="_Toc210146923"/>
      <w:bookmarkStart w:id="89" w:name="_Toc209779233"/>
      <w:bookmarkStart w:id="90" w:name="_Toc209926814"/>
      <w:bookmarkStart w:id="91" w:name="_Toc212709894"/>
      <w:bookmarkStart w:id="92" w:name="_Toc210278965"/>
      <w:bookmarkStart w:id="93" w:name="_Toc212954820"/>
      <w:bookmarkStart w:id="94" w:name="_Toc212890291"/>
      <w:bookmarkStart w:id="95" w:name="_Toc210121579"/>
      <w:bookmarkStart w:id="96" w:name="_Toc212799391"/>
      <w:bookmarkStart w:id="97" w:name="_Toc211134777"/>
      <w:bookmarkStart w:id="98" w:name="_Toc210965740"/>
      <w:bookmarkStart w:id="99" w:name="_Toc212962404"/>
      <w:bookmarkStart w:id="100" w:name="_Toc210782742"/>
      <w:bookmarkStart w:id="101" w:name="_Toc211223746"/>
      <w:bookmarkStart w:id="102" w:name="_Toc206234047"/>
      <w:bookmarkStart w:id="103" w:name="_Toc210121812"/>
      <w:bookmarkStart w:id="104" w:name="_Toc210121344"/>
      <w:bookmarkStart w:id="105" w:name="_Toc206229883"/>
      <w:bookmarkStart w:id="106" w:name="_Toc212961593"/>
      <w:bookmarkStart w:id="107" w:name="_Toc212633721"/>
      <w:r>
        <w:rPr>
          <w:rFonts w:hint="eastAsia"/>
        </w:rPr>
        <w:t xml:space="preserve">第三章 </w:t>
      </w:r>
      <w:bookmarkStart w:id="108" w:name="_Toc151996404"/>
      <w:bookmarkStart w:id="109" w:name="_Toc340823885"/>
      <w:bookmarkStart w:id="110" w:name="_Toc15451"/>
      <w:bookmarkStart w:id="111" w:name="_Toc1130"/>
      <w:bookmarkStart w:id="112" w:name="_Toc27951"/>
      <w:r>
        <w:t xml:space="preserve"> </w:t>
      </w:r>
      <w:r>
        <w:rPr>
          <w:rFonts w:hint="eastAsia"/>
        </w:rPr>
        <w:t>施工</w:t>
      </w:r>
      <w:bookmarkEnd w:id="108"/>
      <w:bookmarkEnd w:id="109"/>
      <w:bookmarkEnd w:id="110"/>
      <w:bookmarkEnd w:id="111"/>
      <w:bookmarkStart w:id="113" w:name="_Toc151996405"/>
      <w:bookmarkStart w:id="114" w:name="_Toc7701"/>
      <w:bookmarkStart w:id="115" w:name="_Toc340823886"/>
      <w:bookmarkStart w:id="116" w:name="_Toc3660"/>
      <w:r>
        <w:rPr>
          <w:rFonts w:hint="eastAsia"/>
        </w:rPr>
        <w:t>部署及现场平面布置</w:t>
      </w:r>
      <w:bookmarkEnd w:id="84"/>
      <w:bookmarkEnd w:id="85"/>
      <w:bookmarkEnd w:id="112"/>
    </w:p>
    <w:p>
      <w:pPr>
        <w:pStyle w:val="4"/>
        <w:spacing w:before="156" w:after="156"/>
        <w:ind w:firstLine="560"/>
      </w:pPr>
      <w:bookmarkStart w:id="117" w:name="_Toc525107830"/>
      <w:bookmarkStart w:id="118" w:name="_Toc29970"/>
      <w:r>
        <w:rPr>
          <w:rFonts w:hint="eastAsia"/>
        </w:rPr>
        <w:t>第一节 总体施工</w:t>
      </w:r>
      <w:bookmarkEnd w:id="113"/>
      <w:bookmarkEnd w:id="114"/>
      <w:bookmarkEnd w:id="115"/>
      <w:bookmarkEnd w:id="116"/>
      <w:bookmarkStart w:id="119" w:name="_Toc11362"/>
      <w:bookmarkStart w:id="120" w:name="_Toc151996406"/>
      <w:bookmarkStart w:id="121" w:name="_Toc340823887"/>
      <w:r>
        <w:rPr>
          <w:rFonts w:hint="eastAsia"/>
        </w:rPr>
        <w:t>部署</w:t>
      </w:r>
      <w:bookmarkEnd w:id="117"/>
      <w:bookmarkEnd w:id="118"/>
    </w:p>
    <w:p>
      <w:pPr>
        <w:ind w:firstLine="480"/>
      </w:pPr>
      <w:r>
        <w:rPr>
          <w:rFonts w:hint="eastAsia"/>
        </w:rPr>
        <w:t>一、施工组织</w:t>
      </w:r>
      <w:bookmarkEnd w:id="119"/>
      <w:bookmarkEnd w:id="120"/>
      <w:bookmarkEnd w:id="121"/>
    </w:p>
    <w:p>
      <w:pPr>
        <w:ind w:firstLine="480"/>
      </w:pPr>
      <w:r>
        <w:rPr>
          <w:rFonts w:hint="eastAsia"/>
        </w:rPr>
        <w:t>1、我公司作为工程的施工方，将组建精明强干的项目管理班子，实施项目施工管理。同时安排具有丰富经验的多名管理人员组成项目经理部领导层，下设：施工技术部、质量检查部、安全生产部、测量技术部、经营预算部、材料计划部等，组成质量、进度、费用、安全控制体系完善的项目经理部。为良好的完成本工程打下良好的基础。</w:t>
      </w:r>
    </w:p>
    <w:p>
      <w:pPr>
        <w:ind w:firstLine="480"/>
      </w:pPr>
      <w:r>
        <w:rPr>
          <w:rFonts w:hint="eastAsia"/>
        </w:rPr>
        <w:t>2、公司对项目实行的是方针目标管理，根据对业主的承诺制定总体方针目标，如质量目标、工期目标、安全目标、文明施工目标等。项目经理部则按照公司的方针政策目标进行相应的决策。公司按年度方针目标，每月每季度对项目进行综合考评，制定《项目方针目标展开图》，根据考核结果按《工程项目管理责任目标考核及奖励办法》执行。</w:t>
      </w:r>
    </w:p>
    <w:p>
      <w:pPr>
        <w:ind w:firstLine="480"/>
      </w:pPr>
      <w:r>
        <w:rPr>
          <w:rFonts w:hint="eastAsia"/>
        </w:rPr>
        <w:t>该工程采用目标管理法施工，我公司将按照多年来积累的成功的项目管理经验来运作和管理项目，形成以项目经理负责制为核心，以项目合同管理和成本控制为主要内容，以科学系统管理和先进技术及手段的项目管理机制。严格按照公司建立的质量保证体系来运作，形成以全面质量管理为中心环节，以专业管理和计算机辅助管理相结合的科学化管理体制，出色的完成我公司的质量方针和本工程质量目标。</w:t>
      </w:r>
    </w:p>
    <w:p>
      <w:pPr>
        <w:ind w:firstLine="480"/>
      </w:pPr>
      <w:r>
        <w:rPr>
          <w:rFonts w:hint="eastAsia"/>
        </w:rPr>
        <w:t>3、项目经理受公司法人委托作为项目法人代表，履行业主和公司签定的合同，以签定的目标责任状对项目经理进行考核，杜绝了项目承包带来的弊端。</w:t>
      </w:r>
    </w:p>
    <w:p>
      <w:pPr>
        <w:ind w:firstLine="480"/>
      </w:pPr>
      <w:r>
        <w:rPr>
          <w:rFonts w:hint="eastAsia"/>
        </w:rPr>
        <w:t>4、为规范该项目的管理工作，项目经理部将执行颁布的《项目管理手册》、《质量保证手册》。</w:t>
      </w:r>
      <w:bookmarkStart w:id="122" w:name="_Toc27266"/>
      <w:bookmarkStart w:id="123" w:name="_Toc151996409"/>
      <w:bookmarkStart w:id="124" w:name="_Toc340823890"/>
    </w:p>
    <w:p>
      <w:pPr>
        <w:ind w:firstLine="480"/>
      </w:pPr>
      <w:r>
        <w:rPr>
          <w:rFonts w:hint="eastAsia"/>
        </w:rPr>
        <w:t>二、施工段划分</w:t>
      </w:r>
      <w:bookmarkEnd w:id="122"/>
      <w:bookmarkEnd w:id="123"/>
      <w:bookmarkEnd w:id="124"/>
    </w:p>
    <w:p>
      <w:pPr>
        <w:ind w:firstLine="480"/>
      </w:pPr>
      <w:r>
        <w:rPr>
          <w:rFonts w:hint="eastAsia"/>
        </w:rPr>
        <w:t>根据现场实际情况以每五栋楼为一组，共划分为4组，每组内分别组织施工机械班组进行平行施工作业。</w:t>
      </w:r>
      <w:bookmarkStart w:id="125" w:name="_Toc340823894"/>
      <w:bookmarkStart w:id="126" w:name="_Toc151996414"/>
      <w:bookmarkStart w:id="127" w:name="_Toc27172"/>
      <w:bookmarkStart w:id="128" w:name="_Toc23371"/>
      <w:bookmarkStart w:id="129" w:name="_Toc21307"/>
    </w:p>
    <w:bookmarkEnd w:id="125"/>
    <w:bookmarkEnd w:id="126"/>
    <w:p>
      <w:pPr>
        <w:pStyle w:val="4"/>
        <w:spacing w:before="156" w:after="156"/>
        <w:ind w:firstLine="560"/>
      </w:pPr>
      <w:bookmarkStart w:id="130" w:name="_Toc525107831"/>
      <w:bookmarkStart w:id="131" w:name="_Toc10860"/>
      <w:bookmarkStart w:id="132" w:name="_Toc151996415"/>
      <w:bookmarkStart w:id="133" w:name="_Toc340823895"/>
      <w:r>
        <w:rPr>
          <w:rFonts w:hint="eastAsia"/>
        </w:rPr>
        <w:t>第二节 现场平面布置</w:t>
      </w:r>
      <w:bookmarkEnd w:id="127"/>
      <w:bookmarkEnd w:id="128"/>
      <w:bookmarkEnd w:id="129"/>
      <w:bookmarkEnd w:id="130"/>
      <w:bookmarkEnd w:id="131"/>
      <w:bookmarkStart w:id="134" w:name="_Toc5751"/>
    </w:p>
    <w:bookmarkEnd w:id="132"/>
    <w:bookmarkEnd w:id="133"/>
    <w:p>
      <w:pPr>
        <w:ind w:firstLine="480"/>
      </w:pPr>
      <w:r>
        <w:rPr>
          <w:rFonts w:hint="eastAsia"/>
        </w:rPr>
        <w:t>一、现场平面布置</w:t>
      </w:r>
      <w:bookmarkEnd w:id="134"/>
    </w:p>
    <w:p>
      <w:pPr>
        <w:ind w:firstLine="480"/>
      </w:pPr>
      <w:r>
        <w:rPr>
          <w:rFonts w:hint="eastAsia"/>
        </w:rPr>
        <w:t>工程能否顺利进行，在很大程度上取决于合理的施工平面布置，保持各施工段的布局、施工现场道路的畅通将是至关重要的。工地现场必须进行科学合理安排，发挥最大的工效。加强总平面管理首先要建立总平面管理责任制，其次严格按施工平面和道路交通管理，各种作业场地、施工机具、材料都按划定的区域和地点操作或堆放，车辆进场路线也按规划安排，避免混乱。</w:t>
      </w:r>
    </w:p>
    <w:p>
      <w:pPr>
        <w:ind w:firstLine="480"/>
      </w:pPr>
      <w:r>
        <w:rPr>
          <w:rFonts w:hint="eastAsia"/>
        </w:rPr>
        <w:t>工程段划分为</w:t>
      </w:r>
      <w:r>
        <w:t>5</w:t>
      </w:r>
      <w:r>
        <w:rPr>
          <w:rFonts w:hint="eastAsia"/>
        </w:rPr>
        <w:t>个施工区域，分别安排</w:t>
      </w:r>
      <w:r>
        <w:t>1</w:t>
      </w:r>
      <w:r>
        <w:rPr>
          <w:rFonts w:hint="eastAsia"/>
        </w:rPr>
        <w:t>个施工作业班组进行施工作业，配备：雾炮机、洒水车、炮锤、挖掘机、装载机、起重机、运输汽车等。具体数量根据现场的施工作业条件、运输距离等施工条件合理配备，总体遵循施工机械效率最大化，减少窝工现象。</w:t>
      </w:r>
    </w:p>
    <w:p>
      <w:pPr>
        <w:ind w:firstLine="480"/>
      </w:pPr>
      <w:bookmarkStart w:id="135" w:name="_Toc151996416"/>
      <w:bookmarkStart w:id="136" w:name="_Toc340823896"/>
      <w:bookmarkStart w:id="137" w:name="_Toc16268"/>
      <w:r>
        <w:rPr>
          <w:rFonts w:hint="eastAsia"/>
        </w:rPr>
        <w:t>二、施工总平面图（见附表五）</w:t>
      </w:r>
    </w:p>
    <w:bookmarkEnd w:id="135"/>
    <w:bookmarkEnd w:id="136"/>
    <w:p>
      <w:pPr>
        <w:ind w:firstLine="480"/>
      </w:pPr>
      <w:r>
        <w:rPr>
          <w:rFonts w:hint="eastAsia"/>
        </w:rPr>
        <w:t>三、临时用水</w:t>
      </w:r>
      <w:bookmarkEnd w:id="137"/>
    </w:p>
    <w:p>
      <w:pPr>
        <w:ind w:firstLine="480"/>
      </w:pPr>
      <w:r>
        <w:rPr>
          <w:rFonts w:hint="eastAsia"/>
        </w:rPr>
        <w:t>1、本工程项目部临时供水，水源由</w:t>
      </w:r>
      <w:r>
        <w:rPr>
          <w:rFonts w:hint="eastAsia"/>
          <w:lang w:val="zh-TW"/>
        </w:rPr>
        <w:t>甲方协调自来水公司就近与自来水管道接通，安装水表按流量计费，项目供水</w:t>
      </w:r>
      <w:r>
        <w:rPr>
          <w:rFonts w:hint="eastAsia"/>
        </w:rPr>
        <w:t>管线敷设完毕应进行水压试验，消防管水压不得小于1.2MPa，其它不小于0.6MPa。</w:t>
      </w:r>
    </w:p>
    <w:p>
      <w:pPr>
        <w:ind w:firstLine="480"/>
      </w:pPr>
      <w:r>
        <w:rPr>
          <w:rFonts w:hint="eastAsia"/>
        </w:rPr>
        <w:t>2、</w:t>
      </w:r>
      <w:r>
        <w:rPr>
          <w:rFonts w:hint="eastAsia"/>
          <w:lang w:val="zh-TW"/>
        </w:rPr>
        <w:t>施工现场用水主要为控制扬沉，采用洒水车运输洒水，雾炮机配合控制施工区域扬尘在</w:t>
      </w:r>
      <w:r>
        <w:rPr>
          <w:rFonts w:hint="eastAsia"/>
        </w:rPr>
        <w:t>1.5米之内。</w:t>
      </w:r>
    </w:p>
    <w:p>
      <w:pPr>
        <w:ind w:firstLine="480"/>
      </w:pPr>
      <w:bookmarkStart w:id="138" w:name="_Toc27374"/>
      <w:r>
        <w:rPr>
          <w:rFonts w:hint="eastAsia"/>
        </w:rPr>
        <w:t>四、临时用电</w:t>
      </w:r>
      <w:bookmarkEnd w:id="138"/>
    </w:p>
    <w:p>
      <w:pPr>
        <w:ind w:firstLine="480"/>
      </w:pPr>
      <w:r>
        <w:rPr>
          <w:rFonts w:hint="eastAsia"/>
        </w:rPr>
        <w:t>现场临时供电按《施工现场临时用电安全技术规范》设计并组织施工，供配电采用TN—S 接零保护系统，按三级配电两级保护设计施工，PE 线与N 线严格分开使用，接地电阻不大于4 欧姆。施工现场所有防雷装置接地电阻不大于4 欧姆。开关箱内漏电保护器额定漏电动作电流不大于30 毫安，额定漏电动作时间不大于0.1 秒。</w:t>
      </w:r>
    </w:p>
    <w:p>
      <w:pPr>
        <w:ind w:firstLine="480"/>
      </w:pPr>
      <w:r>
        <w:rPr>
          <w:rFonts w:hint="eastAsia"/>
        </w:rPr>
        <w:t>1、本工程用电从项目部附近电力管网接入。</w:t>
      </w:r>
    </w:p>
    <w:p>
      <w:pPr>
        <w:ind w:firstLine="480"/>
      </w:pPr>
      <w:r>
        <w:rPr>
          <w:rFonts w:hint="eastAsia"/>
        </w:rPr>
        <w:t>2、应急发电机组</w:t>
      </w:r>
    </w:p>
    <w:p>
      <w:pPr>
        <w:ind w:firstLine="480"/>
      </w:pPr>
      <w:r>
        <w:rPr>
          <w:rFonts w:hint="eastAsia"/>
        </w:rPr>
        <w:t>考虑到意外停电因素影响，本工程配置一台柴油发电机组（250KW），在停电时，供办公室、保安照明、施工区域照明应急用电。</w:t>
      </w:r>
    </w:p>
    <w:p>
      <w:pPr>
        <w:bidi w:val="0"/>
      </w:pPr>
      <w:r>
        <w:rPr>
          <w:rFonts w:hint="eastAsia"/>
        </w:rPr>
        <w:t>3、配电方式</w:t>
      </w:r>
    </w:p>
    <w:p>
      <w:pPr>
        <w:bidi w:val="0"/>
      </w:pPr>
      <w:r>
        <w:rPr>
          <w:rFonts w:hint="eastAsia"/>
        </w:rPr>
        <w:t>临时用电系统根据各种用电设备的情况，采用三相五线制树干式与放射式相结合的配电方式。地平面电缆暗敷设于电缆沟内，干线电缆选用XV 型橡皮绝缘电缆。施工配电箱采用统一制作的标准铁质电箱，箱、电缆编号与供电回路对应。</w:t>
      </w:r>
    </w:p>
    <w:p>
      <w:pPr>
        <w:bidi w:val="0"/>
      </w:pPr>
      <w:r>
        <w:rPr>
          <w:rFonts w:hint="eastAsia"/>
        </w:rPr>
        <w:t>五、临时路</w:t>
      </w:r>
    </w:p>
    <w:p>
      <w:pPr>
        <w:bidi w:val="0"/>
      </w:pPr>
      <w:r>
        <w:rPr>
          <w:rFonts w:hint="eastAsia"/>
        </w:rPr>
        <w:t>本工程临时路借助小区周边园区道路施工。</w:t>
      </w:r>
    </w:p>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Pr>
        <w:pStyle w:val="3"/>
        <w:spacing w:before="156" w:after="156"/>
        <w:rPr>
          <w:sz w:val="36"/>
          <w:szCs w:val="36"/>
        </w:rPr>
      </w:pPr>
      <w:bookmarkStart w:id="139" w:name="_Toc24851"/>
      <w:bookmarkStart w:id="140" w:name="_Toc525107832"/>
      <w:bookmarkStart w:id="141" w:name="_Toc210782745"/>
      <w:bookmarkStart w:id="142" w:name="_Toc210278968"/>
      <w:bookmarkStart w:id="143" w:name="_Toc212709902"/>
      <w:bookmarkStart w:id="144" w:name="_Toc212799394"/>
      <w:bookmarkStart w:id="145" w:name="_Toc212954823"/>
      <w:bookmarkStart w:id="146" w:name="_Toc206229892"/>
      <w:bookmarkStart w:id="147" w:name="_Toc210146926"/>
      <w:bookmarkStart w:id="148" w:name="_Toc206234050"/>
      <w:bookmarkStart w:id="149" w:name="_Toc209779236"/>
      <w:bookmarkStart w:id="150" w:name="_Toc210965743"/>
      <w:bookmarkStart w:id="151" w:name="_Toc212890299"/>
      <w:bookmarkStart w:id="152" w:name="_Toc212961596"/>
      <w:bookmarkStart w:id="153" w:name="_Toc212962407"/>
      <w:bookmarkStart w:id="154" w:name="_Toc210121353"/>
      <w:bookmarkStart w:id="155" w:name="_Toc211239513"/>
      <w:bookmarkStart w:id="156" w:name="_Toc210121588"/>
      <w:bookmarkStart w:id="157" w:name="_Toc209926817"/>
      <w:bookmarkStart w:id="158" w:name="_Toc211223749"/>
      <w:bookmarkStart w:id="159" w:name="_Toc211134780"/>
      <w:bookmarkStart w:id="160" w:name="_Toc210121821"/>
      <w:bookmarkStart w:id="161" w:name="_Toc211239411"/>
      <w:bookmarkStart w:id="162" w:name="_Toc212633725"/>
      <w:r>
        <w:rPr>
          <w:rFonts w:hint="eastAsia"/>
          <w:sz w:val="36"/>
          <w:szCs w:val="36"/>
        </w:rPr>
        <w:t xml:space="preserve">第四章 </w:t>
      </w:r>
      <w:r>
        <w:rPr>
          <w:sz w:val="36"/>
          <w:szCs w:val="36"/>
        </w:rPr>
        <w:t xml:space="preserve"> </w:t>
      </w:r>
      <w:r>
        <w:rPr>
          <w:rFonts w:hint="eastAsia"/>
          <w:sz w:val="36"/>
          <w:szCs w:val="36"/>
        </w:rPr>
        <w:t>施工方法及主要技术措施</w:t>
      </w:r>
      <w:bookmarkEnd w:id="139"/>
      <w:bookmarkEnd w:id="140"/>
    </w:p>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Pr>
        <w:pStyle w:val="4"/>
        <w:spacing w:before="156" w:after="156"/>
        <w:ind w:firstLine="560"/>
      </w:pPr>
      <w:bookmarkStart w:id="163" w:name="_Toc210121839"/>
      <w:bookmarkStart w:id="164" w:name="_Toc525107833"/>
      <w:bookmarkStart w:id="165" w:name="_Toc206229909"/>
      <w:bookmarkStart w:id="166" w:name="_Toc212709924"/>
      <w:bookmarkStart w:id="167" w:name="_Toc210121606"/>
      <w:bookmarkStart w:id="168" w:name="_Toc210121371"/>
      <w:bookmarkStart w:id="169" w:name="_Toc212890321"/>
      <w:r>
        <w:rPr>
          <w:rFonts w:hint="eastAsia"/>
        </w:rPr>
        <w:t xml:space="preserve">第一节 </w:t>
      </w:r>
      <w:bookmarkEnd w:id="163"/>
      <w:bookmarkEnd w:id="164"/>
      <w:bookmarkEnd w:id="165"/>
      <w:bookmarkEnd w:id="166"/>
      <w:bookmarkEnd w:id="167"/>
      <w:bookmarkEnd w:id="168"/>
      <w:bookmarkEnd w:id="169"/>
      <w:r>
        <w:rPr>
          <w:rFonts w:hint="eastAsia"/>
        </w:rPr>
        <w:t xml:space="preserve">施工前准备工作 </w:t>
      </w:r>
    </w:p>
    <w:p>
      <w:pPr>
        <w:topLinePunct/>
        <w:adjustRightInd w:val="0"/>
        <w:snapToGrid w:val="0"/>
        <w:ind w:firstLine="280" w:firstLineChars="100"/>
        <w:jc w:val="left"/>
        <w:rPr>
          <w:rFonts w:ascii="宋体" w:hAnsi="宋体"/>
          <w:color w:val="000000"/>
        </w:rPr>
      </w:pPr>
      <w:r>
        <w:rPr>
          <w:rFonts w:hint="eastAsia" w:ascii="宋体" w:hAnsi="宋体"/>
          <w:color w:val="000000"/>
        </w:rPr>
        <w:t>一、技术准备工作</w:t>
      </w:r>
    </w:p>
    <w:p>
      <w:pPr>
        <w:topLinePunct/>
        <w:adjustRightInd w:val="0"/>
        <w:snapToGrid w:val="0"/>
        <w:ind w:firstLine="480"/>
        <w:jc w:val="left"/>
        <w:rPr>
          <w:rFonts w:ascii="宋体" w:hAnsi="宋体" w:cs="宋体"/>
          <w:color w:val="000000"/>
          <w:kern w:val="0"/>
        </w:rPr>
      </w:pPr>
      <w:r>
        <w:rPr>
          <w:rFonts w:hint="eastAsia" w:ascii="宋体" w:hAnsi="宋体"/>
          <w:color w:val="000000"/>
        </w:rPr>
        <w:t>（1）首先熟悉被拆建筑物的竣工图纸，弄清建筑物的结构情况、建筑情况、水电及设备管道情况，地下隐蔽设施情况。</w:t>
      </w:r>
      <w:r>
        <w:rPr>
          <w:rFonts w:hint="eastAsia" w:ascii="宋体" w:hAnsi="宋体" w:cs="宋体"/>
          <w:color w:val="000000"/>
          <w:kern w:val="0"/>
        </w:rPr>
        <w:t>工地负责人要根据施工组织设计和安全技术规程向参加拆除的工作人员进行详细的交底。</w:t>
      </w:r>
    </w:p>
    <w:p>
      <w:pPr>
        <w:topLinePunct/>
        <w:adjustRightInd w:val="0"/>
        <w:snapToGrid w:val="0"/>
        <w:ind w:firstLine="480"/>
        <w:jc w:val="left"/>
        <w:rPr>
          <w:rFonts w:ascii="宋体" w:hAnsi="宋体"/>
          <w:color w:val="000000"/>
        </w:rPr>
      </w:pPr>
      <w:r>
        <w:rPr>
          <w:rFonts w:hint="eastAsia" w:ascii="宋体" w:hAnsi="宋体"/>
          <w:color w:val="000000"/>
        </w:rPr>
        <w:t>（2）对施工员进行安全技术交底,加强安全意识。</w:t>
      </w:r>
      <w:r>
        <w:rPr>
          <w:rFonts w:hint="eastAsia" w:ascii="宋体" w:hAnsi="宋体" w:cs="宋体"/>
          <w:color w:val="000000"/>
          <w:kern w:val="0"/>
        </w:rPr>
        <w:t>对工人做好安全教育，组织工人学习安全操作规程。</w:t>
      </w:r>
    </w:p>
    <w:p>
      <w:pPr>
        <w:topLinePunct/>
        <w:adjustRightInd w:val="0"/>
        <w:snapToGrid w:val="0"/>
        <w:ind w:firstLine="480"/>
        <w:jc w:val="left"/>
        <w:rPr>
          <w:rFonts w:ascii="宋体" w:hAnsi="宋体"/>
          <w:color w:val="000000"/>
        </w:rPr>
      </w:pPr>
      <w:r>
        <w:rPr>
          <w:rFonts w:hint="eastAsia" w:ascii="宋体" w:hAnsi="宋体"/>
          <w:color w:val="000000"/>
        </w:rPr>
        <w:t>（3）踏勘施工现场,熟悉周围环境、场地、道路、水电设备管路、建筑物情况等。</w:t>
      </w:r>
    </w:p>
    <w:p>
      <w:pPr>
        <w:topLinePunct/>
        <w:adjustRightInd w:val="0"/>
        <w:snapToGrid w:val="0"/>
        <w:ind w:firstLine="280" w:firstLineChars="100"/>
        <w:jc w:val="left"/>
        <w:rPr>
          <w:rFonts w:ascii="宋体" w:hAnsi="宋体"/>
          <w:color w:val="000000"/>
        </w:rPr>
      </w:pPr>
      <w:r>
        <w:rPr>
          <w:rFonts w:hint="eastAsia" w:ascii="宋体" w:hAnsi="宋体"/>
          <w:color w:val="000000"/>
        </w:rPr>
        <w:t>二、现场准备</w:t>
      </w:r>
    </w:p>
    <w:p>
      <w:pPr>
        <w:topLinePunct/>
        <w:adjustRightInd w:val="0"/>
        <w:snapToGrid w:val="0"/>
        <w:ind w:firstLine="480"/>
        <w:jc w:val="left"/>
        <w:rPr>
          <w:rFonts w:ascii="宋体" w:hAnsi="宋体"/>
          <w:color w:val="000000"/>
        </w:rPr>
      </w:pPr>
      <w:r>
        <w:rPr>
          <w:rFonts w:hint="eastAsia" w:ascii="宋体" w:hAnsi="宋体"/>
          <w:color w:val="000000"/>
        </w:rPr>
        <w:t>（1）清理施工场地，保证运输道路畅通。</w:t>
      </w:r>
    </w:p>
    <w:p>
      <w:pPr>
        <w:topLinePunct/>
        <w:adjustRightInd w:val="0"/>
        <w:snapToGrid w:val="0"/>
        <w:ind w:firstLine="480"/>
        <w:jc w:val="left"/>
        <w:rPr>
          <w:rFonts w:ascii="宋体" w:hAnsi="宋体" w:cs="宋体"/>
          <w:color w:val="000000"/>
          <w:kern w:val="0"/>
        </w:rPr>
      </w:pPr>
      <w:r>
        <w:rPr>
          <w:rFonts w:hint="eastAsia" w:ascii="宋体" w:hAnsi="宋体" w:cs="宋体"/>
          <w:color w:val="000000"/>
          <w:kern w:val="0"/>
        </w:rPr>
        <w:t>（2）施工前，先清除拆除倒塌范围内的物资、设备；将电线、燃气道、水管、供热设备等干线与该建筑物的支线切断或迁移：检查周围危旧房，必要时进行临时加固；向周围群众出安民告示，在拆除危险区周围设禁区围栏、警戒标志，派专人监护，禁止非拆除人员进入施工现场。</w:t>
      </w:r>
    </w:p>
    <w:p>
      <w:pPr>
        <w:topLinePunct/>
        <w:adjustRightInd w:val="0"/>
        <w:snapToGrid w:val="0"/>
        <w:ind w:firstLine="480"/>
        <w:jc w:val="left"/>
        <w:rPr>
          <w:rFonts w:ascii="宋体" w:hAnsi="宋体" w:cs="宋体"/>
          <w:color w:val="000000"/>
          <w:kern w:val="0"/>
        </w:rPr>
      </w:pPr>
      <w:r>
        <w:rPr>
          <w:rFonts w:hint="eastAsia" w:ascii="宋体" w:hAnsi="宋体" w:cs="宋体"/>
          <w:color w:val="000000"/>
          <w:kern w:val="0"/>
        </w:rPr>
        <w:t>（3）对于生产、使用、储存化学危险品的建筑物的拆除，要经过消防、安全部门参与审核，制定保证安全的预案，经过批准实施。</w:t>
      </w:r>
    </w:p>
    <w:p>
      <w:pPr>
        <w:topLinePunct/>
        <w:adjustRightInd w:val="0"/>
        <w:snapToGrid w:val="0"/>
        <w:ind w:firstLine="480"/>
        <w:jc w:val="left"/>
        <w:rPr>
          <w:rFonts w:ascii="宋体" w:hAnsi="宋体"/>
          <w:color w:val="000000"/>
        </w:rPr>
      </w:pPr>
      <w:r>
        <w:rPr>
          <w:rFonts w:hint="eastAsia" w:ascii="宋体" w:hAnsi="宋体"/>
          <w:color w:val="000000"/>
        </w:rPr>
        <w:t>（4）搭设临时防护设施，避免拆除时的砂、石、灰尘飞扬影响生产的正常进行。</w:t>
      </w:r>
    </w:p>
    <w:p>
      <w:pPr>
        <w:topLinePunct/>
        <w:adjustRightInd w:val="0"/>
        <w:snapToGrid w:val="0"/>
        <w:ind w:firstLine="480"/>
        <w:jc w:val="left"/>
        <w:rPr>
          <w:rFonts w:ascii="宋体" w:hAnsi="宋体"/>
          <w:color w:val="000000"/>
        </w:rPr>
      </w:pPr>
      <w:r>
        <w:rPr>
          <w:rFonts w:hint="eastAsia" w:ascii="宋体" w:hAnsi="宋体"/>
          <w:color w:val="000000"/>
        </w:rPr>
        <w:t>（5）在拆除危险区设置警戒区标识。</w:t>
      </w:r>
    </w:p>
    <w:p>
      <w:pPr>
        <w:topLinePunct/>
        <w:adjustRightInd w:val="0"/>
        <w:snapToGrid w:val="0"/>
        <w:ind w:firstLine="480"/>
        <w:jc w:val="left"/>
        <w:rPr>
          <w:rFonts w:ascii="宋体" w:hAnsi="宋体"/>
          <w:color w:val="000000"/>
        </w:rPr>
      </w:pPr>
      <w:r>
        <w:rPr>
          <w:rFonts w:hint="eastAsia" w:ascii="宋体" w:hAnsi="宋体"/>
          <w:color w:val="000000"/>
        </w:rPr>
        <w:t>（6）接引好施工用临时电源、水源，现场照明不能使用被拆建筑物内的配电设施，应另外敷设。保证施工时水电畅通。</w:t>
      </w:r>
    </w:p>
    <w:p>
      <w:pPr>
        <w:pStyle w:val="4"/>
        <w:spacing w:before="156" w:after="156"/>
        <w:ind w:firstLine="560"/>
        <w:rPr>
          <w:color w:val="000000"/>
        </w:rPr>
      </w:pPr>
      <w:r>
        <w:rPr>
          <w:rFonts w:hint="eastAsia"/>
          <w:color w:val="000000"/>
        </w:rPr>
        <w:t xml:space="preserve">第二节 </w:t>
      </w:r>
      <w:r>
        <w:rPr>
          <w:color w:val="000000"/>
        </w:rPr>
        <w:t xml:space="preserve"> </w:t>
      </w:r>
      <w:r>
        <w:rPr>
          <w:rFonts w:hint="eastAsia"/>
          <w:color w:val="000000"/>
        </w:rPr>
        <w:t>施工方法</w:t>
      </w:r>
    </w:p>
    <w:p>
      <w:pPr>
        <w:bidi w:val="0"/>
      </w:pPr>
      <w:r>
        <w:rPr>
          <w:rFonts w:hint="eastAsia"/>
        </w:rPr>
        <w:t>一、控制目标</w:t>
      </w:r>
    </w:p>
    <w:p>
      <w:pPr>
        <w:bidi w:val="0"/>
      </w:pPr>
      <w:r>
        <w:rPr>
          <w:rFonts w:hint="eastAsia"/>
        </w:rPr>
        <w:t>1、控制施工范围，确保周围建筑及设施的安全。</w:t>
      </w:r>
    </w:p>
    <w:p>
      <w:pPr>
        <w:bidi w:val="0"/>
      </w:pPr>
      <w:r>
        <w:rPr>
          <w:rFonts w:hint="eastAsia"/>
        </w:rPr>
        <w:t>2、控制施工时间，尽量不扰民、少扰民。</w:t>
      </w:r>
    </w:p>
    <w:p>
      <w:pPr>
        <w:bidi w:val="0"/>
      </w:pPr>
      <w:r>
        <w:rPr>
          <w:rFonts w:hint="eastAsia"/>
        </w:rPr>
        <w:t>3、控制粉尘飞石, 确保人员安全。</w:t>
      </w:r>
    </w:p>
    <w:p>
      <w:pPr>
        <w:bidi w:val="0"/>
      </w:pPr>
      <w:r>
        <w:rPr>
          <w:rFonts w:hint="eastAsia"/>
        </w:rPr>
        <w:t>4、控制施工噪声, 尽可能减少噪声。</w:t>
      </w:r>
    </w:p>
    <w:p>
      <w:pPr>
        <w:bidi w:val="0"/>
      </w:pPr>
      <w:r>
        <w:rPr>
          <w:rFonts w:hint="eastAsia"/>
        </w:rPr>
        <w:t>二、施工流程:</w:t>
      </w:r>
    </w:p>
    <w:p>
      <w:pPr>
        <w:ind w:firstLine="840" w:firstLineChars="300"/>
        <w:rPr>
          <w:rFonts w:ascii="宋体" w:hAnsi="宋体" w:cs="宋体"/>
          <w:bCs/>
          <w:color w:val="000000"/>
        </w:rPr>
      </w:pPr>
      <w:r>
        <w:rPr>
          <w:rFonts w:hint="eastAsia" w:ascii="宋体" w:hAnsi="宋体" w:cs="宋体"/>
          <w:bCs/>
          <w:color w:val="000000"/>
          <w:bdr w:val="single" w:color="auto" w:sz="4" w:space="0"/>
        </w:rPr>
        <w:t>周边围护</w:t>
      </w:r>
      <w:r>
        <w:rPr>
          <w:rFonts w:hint="eastAsia" w:ascii="宋体" w:hAnsi="宋体" w:cs="宋体"/>
          <w:bCs/>
          <w:color w:val="000000"/>
        </w:rPr>
        <w:t>→</w:t>
      </w:r>
      <w:r>
        <w:rPr>
          <w:rFonts w:hint="eastAsia" w:ascii="宋体" w:hAnsi="宋体" w:cs="宋体"/>
          <w:bCs/>
          <w:color w:val="000000"/>
          <w:bdr w:val="single" w:color="auto" w:sz="4" w:space="0"/>
        </w:rPr>
        <w:t>清拆管线</w:t>
      </w:r>
      <w:r>
        <w:rPr>
          <w:rFonts w:hint="eastAsia" w:ascii="宋体" w:hAnsi="宋体" w:cs="宋体"/>
          <w:bCs/>
          <w:color w:val="000000"/>
        </w:rPr>
        <w:t>→</w:t>
      </w:r>
      <w:r>
        <w:rPr>
          <w:rFonts w:hint="eastAsia" w:ascii="宋体" w:hAnsi="宋体" w:cs="宋体"/>
          <w:bCs/>
          <w:color w:val="000000"/>
          <w:bdr w:val="single" w:color="auto" w:sz="4" w:space="0"/>
        </w:rPr>
        <w:t>拆除暖气门窗</w:t>
      </w:r>
      <w:r>
        <w:rPr>
          <w:rFonts w:hint="eastAsia" w:ascii="宋体" w:hAnsi="宋体" w:cs="宋体"/>
          <w:bCs/>
          <w:color w:val="000000"/>
        </w:rPr>
        <w:t>→</w:t>
      </w:r>
      <w:r>
        <w:rPr>
          <w:rFonts w:hint="eastAsia" w:ascii="宋体" w:hAnsi="宋体" w:cs="宋体"/>
          <w:bCs/>
          <w:color w:val="000000"/>
          <w:bdr w:val="single" w:color="auto" w:sz="4" w:space="0"/>
        </w:rPr>
        <w:t>凿开楼板</w:t>
      </w:r>
      <w:r>
        <w:rPr>
          <w:rFonts w:hint="eastAsia" w:ascii="宋体" w:hAnsi="宋体" w:cs="宋体"/>
          <w:bCs/>
          <w:color w:val="000000"/>
        </w:rPr>
        <w:t>→</w:t>
      </w:r>
      <w:r>
        <w:rPr>
          <w:rFonts w:hint="eastAsia" w:ascii="宋体" w:hAnsi="宋体" w:cs="宋体"/>
          <w:bCs/>
          <w:color w:val="000000"/>
          <w:bdr w:val="single" w:color="auto" w:sz="4" w:space="0"/>
        </w:rPr>
        <w:t>推倒砖墙</w:t>
      </w:r>
      <w:r>
        <w:rPr>
          <w:rFonts w:hint="eastAsia" w:ascii="宋体" w:hAnsi="宋体" w:cs="宋体"/>
          <w:bCs/>
          <w:color w:val="000000"/>
        </w:rPr>
        <w:t>→</w:t>
      </w:r>
      <w:r>
        <w:rPr>
          <w:rFonts w:hint="eastAsia" w:ascii="宋体" w:hAnsi="宋体" w:cs="宋体"/>
          <w:bCs/>
          <w:color w:val="000000"/>
          <w:bdr w:val="single" w:color="auto" w:sz="4" w:space="0"/>
        </w:rPr>
        <w:t>凿混凝土构件</w:t>
      </w:r>
      <w:r>
        <w:rPr>
          <w:rFonts w:hint="eastAsia" w:ascii="宋体" w:hAnsi="宋体" w:cs="宋体"/>
          <w:bCs/>
          <w:color w:val="000000"/>
        </w:rPr>
        <w:t>→</w:t>
      </w:r>
    </w:p>
    <w:p>
      <w:pPr>
        <w:ind w:firstLine="840" w:firstLineChars="300"/>
        <w:rPr>
          <w:rFonts w:ascii="宋体" w:hAnsi="宋体" w:cs="宋体"/>
          <w:bCs/>
          <w:color w:val="000000"/>
        </w:rPr>
      </w:pPr>
      <w:r>
        <w:rPr>
          <w:rFonts w:hint="eastAsia" w:ascii="宋体" w:hAnsi="宋体" w:cs="宋体"/>
          <w:bCs/>
          <w:color w:val="000000"/>
          <w:bdr w:val="single" w:color="auto" w:sz="4" w:space="0"/>
        </w:rPr>
        <w:t>回收有价废物</w:t>
      </w:r>
      <w:r>
        <w:rPr>
          <w:rFonts w:hint="eastAsia" w:ascii="宋体" w:hAnsi="宋体" w:cs="宋体"/>
          <w:bCs/>
          <w:color w:val="000000"/>
        </w:rPr>
        <w:t>→</w:t>
      </w:r>
      <w:r>
        <w:rPr>
          <w:rFonts w:hint="eastAsia" w:ascii="宋体" w:hAnsi="宋体" w:cs="宋体"/>
          <w:bCs/>
          <w:color w:val="000000"/>
          <w:bdr w:val="single" w:color="auto" w:sz="4" w:space="0"/>
        </w:rPr>
        <w:t>弃物外运</w:t>
      </w:r>
    </w:p>
    <w:p>
      <w:pPr>
        <w:bidi w:val="0"/>
      </w:pPr>
      <w:r>
        <w:rPr>
          <w:rFonts w:hint="eastAsia"/>
        </w:rPr>
        <w:t>三、施工组织</w:t>
      </w:r>
    </w:p>
    <w:p>
      <w:pPr>
        <w:bidi w:val="0"/>
      </w:pPr>
      <w:r>
        <w:rPr>
          <w:rFonts w:hint="eastAsia"/>
        </w:rPr>
        <w:t>1、在甲方的支持下,做好群众工作, 争取周边业主的配合,赢得群众的支持，派专人做好周边警戒工作。</w:t>
      </w:r>
    </w:p>
    <w:p>
      <w:pPr>
        <w:bidi w:val="0"/>
      </w:pPr>
      <w:r>
        <w:rPr>
          <w:rFonts w:hint="eastAsia"/>
        </w:rPr>
        <w:t>2、按施工组织设计的程序安排，首先清拆原有管线、暖气片等，采取人工进行拆除，划分区域，分块、逐段、逐根进行拆除。</w:t>
      </w:r>
    </w:p>
    <w:p>
      <w:pPr>
        <w:bidi w:val="0"/>
      </w:pPr>
      <w:r>
        <w:rPr>
          <w:rFonts w:hint="eastAsia"/>
        </w:rPr>
        <w:t>3、拆除混凝土楼板采用人工拆除。严格控制飞石、响声、冲击波。采用湿水除尘，减少声响及冲击波，确保不扰民。</w:t>
      </w:r>
    </w:p>
    <w:p>
      <w:pPr>
        <w:bidi w:val="0"/>
      </w:pPr>
      <w:r>
        <w:rPr>
          <w:rFonts w:hint="eastAsia"/>
        </w:rPr>
        <w:t>4、拆除砖墙时采用勾机拆除，专人进行监测，发现情况及时联系研究，以确保施工安全。</w:t>
      </w:r>
    </w:p>
    <w:p>
      <w:pPr>
        <w:bidi w:val="0"/>
      </w:pPr>
      <w:r>
        <w:rPr>
          <w:rFonts w:hint="eastAsia"/>
        </w:rPr>
        <w:t>5、旧房推倒后，组织工人回收构件中有价值的可利用废品。</w:t>
      </w:r>
    </w:p>
    <w:p>
      <w:pPr>
        <w:bidi w:val="0"/>
      </w:pPr>
      <w:r>
        <w:rPr>
          <w:rFonts w:hint="eastAsia"/>
        </w:rPr>
        <w:t>6、不可利用废物，用汽车外运到指定地点。</w:t>
      </w:r>
    </w:p>
    <w:p>
      <w:pPr>
        <w:bidi w:val="0"/>
      </w:pPr>
      <w:r>
        <w:rPr>
          <w:rFonts w:hint="eastAsia"/>
        </w:rPr>
        <w:t>四、施工要求和施工方法</w:t>
      </w:r>
    </w:p>
    <w:p>
      <w:pPr>
        <w:bidi w:val="0"/>
      </w:pPr>
      <w:r>
        <w:rPr>
          <w:rFonts w:hint="eastAsia"/>
        </w:rPr>
        <w:t>1、施工要求</w:t>
      </w:r>
    </w:p>
    <w:p>
      <w:pPr>
        <w:bidi w:val="0"/>
      </w:pPr>
      <w:r>
        <w:rPr>
          <w:rFonts w:hint="eastAsia"/>
        </w:rPr>
        <w:t>（1）进入施工现场，首先拆除与拆除物相连的管道、设备、电气、照明设施。</w:t>
      </w:r>
    </w:p>
    <w:p>
      <w:pPr>
        <w:bidi w:val="0"/>
      </w:pPr>
      <w:r>
        <w:rPr>
          <w:rFonts w:hint="eastAsia"/>
        </w:rPr>
        <w:t>（2）拆除建筑物内所有的门窗及其它附属结构，拆除建筑物全部腾空，拆除物及时外运，堆放在警戒线以外的安全区域。</w:t>
      </w:r>
    </w:p>
    <w:p>
      <w:pPr>
        <w:bidi w:val="0"/>
      </w:pPr>
      <w:r>
        <w:rPr>
          <w:rFonts w:hint="eastAsia"/>
        </w:rPr>
        <w:t>（3）在建筑物的南北两侧各放置一台除尘机，采用湿法作业，控制施工扬尘，砂石飞溅。 </w:t>
      </w:r>
    </w:p>
    <w:p>
      <w:pPr>
        <w:bidi w:val="0"/>
      </w:pPr>
      <w:r>
        <w:rPr>
          <w:rFonts w:hint="eastAsia"/>
        </w:rPr>
        <w:t>（4）拆除时采用先上后下、先非承重结构后承重结构、先板、梁后墙、柱的原则，本次拆除采用破坏法施工。使用挖掘机、炮锤及其配套的空压机合电锤等，对建筑物解体、推倒。</w:t>
      </w:r>
    </w:p>
    <w:p>
      <w:pPr>
        <w:bidi w:val="0"/>
      </w:pPr>
      <w:r>
        <w:rPr>
          <w:rFonts w:hint="eastAsia"/>
        </w:rPr>
        <w:t>（5）建筑物完全解体后，用挖掘机装车，自卸汽车外运到厂外的垃圾堆放处，运距约</w:t>
      </w:r>
      <w:r>
        <w:t>10</w:t>
      </w:r>
      <w:r>
        <w:rPr>
          <w:rFonts w:hint="eastAsia"/>
        </w:rPr>
        <w:t>km。</w:t>
      </w:r>
    </w:p>
    <w:p>
      <w:pPr>
        <w:bidi w:val="0"/>
      </w:pPr>
      <w:r>
        <w:rPr>
          <w:rFonts w:hint="eastAsia"/>
        </w:rPr>
        <w:t>（6）地上部分建筑物完全拆除后，拆除地下部分，破除砼地坪。</w:t>
      </w:r>
    </w:p>
    <w:p>
      <w:pPr>
        <w:bidi w:val="0"/>
      </w:pPr>
      <w:r>
        <w:rPr>
          <w:rFonts w:hint="eastAsia"/>
        </w:rPr>
        <w:t>（7）遇到地下管线时，先与业主联系管线是否是废弃的，能否拆除，确定后方可用冷法切割，明确管内无易燃、易爆物后，才可动火使用氧气乙炔焰切割。</w:t>
      </w:r>
    </w:p>
    <w:p>
      <w:pPr>
        <w:bidi w:val="0"/>
      </w:pPr>
      <w:r>
        <w:rPr>
          <w:rFonts w:hint="eastAsia"/>
        </w:rPr>
        <w:t>（8）地下设施拆除后，回填土采用普通粘性土，分层夯实，每层厚度不超过250mm，压实系数达到0.9。</w:t>
      </w:r>
    </w:p>
    <w:p>
      <w:pPr>
        <w:bidi w:val="0"/>
      </w:pPr>
      <w:r>
        <w:rPr>
          <w:rFonts w:hint="eastAsia"/>
        </w:rPr>
        <w:t>2、工程施工方法</w:t>
      </w:r>
    </w:p>
    <w:p>
      <w:pPr>
        <w:bidi w:val="0"/>
      </w:pPr>
      <w:r>
        <w:rPr>
          <w:rFonts w:hint="eastAsia"/>
        </w:rPr>
        <w:t>1）、楼内电线、暖气片等设施拆除</w:t>
      </w:r>
    </w:p>
    <w:p>
      <w:pPr>
        <w:bidi w:val="0"/>
      </w:pPr>
      <w:r>
        <w:rPr>
          <w:rFonts w:hint="eastAsia"/>
        </w:rPr>
        <w:t>（1）、切断电力及上下水、暖气等各类线路、管线。</w:t>
      </w:r>
    </w:p>
    <w:p>
      <w:pPr>
        <w:bidi w:val="0"/>
      </w:pPr>
      <w:r>
        <w:rPr>
          <w:rFonts w:hint="eastAsia"/>
        </w:rPr>
        <w:t>（2）、组织专业电力人员逐个房间、楼道拆除电力线路并及时打包成捆。</w:t>
      </w:r>
    </w:p>
    <w:p>
      <w:pPr>
        <w:bidi w:val="0"/>
      </w:pPr>
      <w:r>
        <w:rPr>
          <w:rFonts w:hint="eastAsia"/>
        </w:rPr>
        <w:t>（3）、组织安装工人逐个房间拆除暖气片并集中统一存放。</w:t>
      </w:r>
    </w:p>
    <w:p>
      <w:pPr>
        <w:bidi w:val="0"/>
      </w:pPr>
      <w:r>
        <w:rPr>
          <w:rFonts w:hint="eastAsia"/>
        </w:rPr>
        <w:t>（4）、楼内加装的金属管道以及能够回收利用的管道器材一并统一拆除，分类、归堆存放。</w:t>
      </w:r>
    </w:p>
    <w:p>
      <w:pPr>
        <w:bidi w:val="0"/>
      </w:pPr>
      <w:r>
        <w:rPr>
          <w:rFonts w:hint="eastAsia"/>
        </w:rPr>
        <w:t>（5）、电力线路拆除时尽量保持其完整性，以便更好回收利用。</w:t>
      </w:r>
    </w:p>
    <w:p>
      <w:pPr>
        <w:bidi w:val="0"/>
      </w:pPr>
      <w:r>
        <w:t>2</w:t>
      </w:r>
      <w:r>
        <w:rPr>
          <w:rFonts w:hint="eastAsia"/>
        </w:rPr>
        <w:t>）车棚等人工拆除</w:t>
      </w:r>
    </w:p>
    <w:p>
      <w:pPr>
        <w:bidi w:val="0"/>
      </w:pPr>
      <w:r>
        <w:rPr>
          <w:rFonts w:hint="eastAsia"/>
        </w:rPr>
        <w:t>拆除对象：砖木结构车棚、平房等。</w:t>
      </w:r>
    </w:p>
    <w:p>
      <w:pPr>
        <w:bidi w:val="0"/>
      </w:pPr>
      <w:r>
        <w:rPr>
          <w:rFonts w:hint="eastAsia"/>
        </w:rPr>
        <w:t>拆除顺序：屋面瓦→板→椽子→楞条→屋架或木架→砖墙(或木柱)。</w:t>
      </w:r>
    </w:p>
    <w:p>
      <w:pPr>
        <w:bidi w:val="0"/>
      </w:pPr>
      <w:r>
        <w:rPr>
          <w:rFonts w:hint="eastAsia"/>
        </w:rPr>
        <w:t>拆除方法：人工用简单的工具，如撬棍、铁锹、瓦刀等。上面几个人拆，下面几个人接运拆下来的建筑材料。至于砖墙的拆除方法一般不许用推倒或拉倒的方法，而是由上而下拆除，如果必须采用推倒或拉倒的方法，必须有人统一指挥，待人员全部撤离到安全地方才可进行。拆屋架时可用简单的起重设备，三木塔挂导链或滑轮。</w:t>
      </w:r>
    </w:p>
    <w:p>
      <w:pPr>
        <w:bidi w:val="0"/>
      </w:pPr>
      <w:r>
        <w:t>3</w:t>
      </w:r>
      <w:r>
        <w:rPr>
          <w:rFonts w:hint="eastAsia"/>
        </w:rPr>
        <w:t>）人工与机械相结合的方法。</w:t>
      </w:r>
    </w:p>
    <w:p>
      <w:pPr>
        <w:bidi w:val="0"/>
      </w:pPr>
      <w:r>
        <w:rPr>
          <w:rFonts w:hint="eastAsia"/>
        </w:rPr>
        <w:t>拆除对象：混合结构多层活动室、锅炉房等</w:t>
      </w:r>
    </w:p>
    <w:p>
      <w:pPr>
        <w:bidi w:val="0"/>
      </w:pPr>
      <w:r>
        <w:rPr>
          <w:rFonts w:hint="eastAsia"/>
        </w:rPr>
        <w:t>拆除顺序；屋顶防水和保温层→屋顶混凝土和预制楼板→屋顶梁→顶层砖墙→楼层楼板→楼板下的梁→下层砖墙，如此逐层往下拆。 </w:t>
      </w:r>
    </w:p>
    <w:p>
      <w:pPr>
        <w:bidi w:val="0"/>
      </w:pPr>
      <w:r>
        <w:rPr>
          <w:rFonts w:hint="eastAsia"/>
        </w:rPr>
        <w:t>拆除方法：人工与机械配合，人工剔凿，用机械将楼板、梁板构件吊下去，人工拆砖墙、用机械吊运砖。</w:t>
      </w:r>
    </w:p>
    <w:p>
      <w:pPr>
        <w:bidi w:val="0"/>
      </w:pPr>
      <w:r>
        <w:t>4</w:t>
      </w:r>
      <w:r>
        <w:rPr>
          <w:rFonts w:hint="eastAsia"/>
        </w:rPr>
        <w:t>）住宅楼整体机械拆除</w:t>
      </w:r>
    </w:p>
    <w:p>
      <w:pPr>
        <w:bidi w:val="0"/>
      </w:pPr>
      <w:r>
        <w:rPr>
          <w:rFonts w:hint="eastAsia"/>
        </w:rPr>
        <w:t>（1）、直接使用液压镐或挖掘机按照由上至下的顺序破碎拆除外墙、内墙结构，直至剩余梁和立柱。</w:t>
      </w:r>
    </w:p>
    <w:p>
      <w:pPr>
        <w:bidi w:val="0"/>
      </w:pPr>
      <w:r>
        <w:rPr>
          <w:rFonts w:hint="eastAsia"/>
        </w:rPr>
        <w:t>（2）、剩余梁和立柱，再破碎横、纵梁；破碎立柱。拆除严格按照由上而下的顺序进行，禁止倒塌拆除，减少扬尘产生。</w:t>
      </w:r>
    </w:p>
    <w:p>
      <w:pPr>
        <w:bidi w:val="0"/>
      </w:pPr>
      <w:r>
        <w:rPr>
          <w:rFonts w:hint="eastAsia"/>
        </w:rPr>
        <w:t>（3）、挖掘机一次翻倒，将楼房内未破碎完的大梁、柱子、残墙甩出，再用破碎锤进行二次破碎。</w:t>
      </w:r>
    </w:p>
    <w:p>
      <w:pPr>
        <w:bidi w:val="0"/>
      </w:pPr>
      <w:r>
        <w:rPr>
          <w:rFonts w:hint="eastAsia"/>
        </w:rPr>
        <w:t>（4）、破碎机将挖掘机清理后的下边两层用以上同样办法将其拆除，拆除至室内地平，再进行渣土翻倒。</w:t>
      </w:r>
    </w:p>
    <w:p>
      <w:pPr>
        <w:bidi w:val="0"/>
      </w:pPr>
      <w:r>
        <w:rPr>
          <w:rFonts w:hint="eastAsia"/>
        </w:rPr>
        <w:t>（5）、用挖掘机将渣土团堆，组织</w:t>
      </w:r>
      <w:r>
        <w:fldChar w:fldCharType="begin"/>
      </w:r>
      <w:r>
        <w:instrText xml:space="preserve"> HYPERLINK "http://www.so.com/s?q=%E8%87%AA%E5%8D%B8%E6%B1%BD%E8%BD%A6&amp;ie=utf-8&amp;src=internal_wenda_recommend_text" \t "_blank" </w:instrText>
      </w:r>
      <w:r>
        <w:fldChar w:fldCharType="separate"/>
      </w:r>
      <w:r>
        <w:rPr>
          <w:rFonts w:hint="eastAsia"/>
        </w:rPr>
        <w:t>自卸汽车</w:t>
      </w:r>
      <w:r>
        <w:rPr>
          <w:rFonts w:hint="eastAsia"/>
        </w:rPr>
        <w:fldChar w:fldCharType="end"/>
      </w:r>
      <w:r>
        <w:rPr>
          <w:rFonts w:hint="eastAsia"/>
        </w:rPr>
        <w:t>将渣土有计划有步骤外运出场。</w:t>
      </w:r>
    </w:p>
    <w:p>
      <w:pPr>
        <w:bidi w:val="0"/>
      </w:pPr>
      <w:r>
        <w:rPr>
          <w:rFonts w:hint="eastAsia"/>
        </w:rPr>
        <w:t>（6）、清理施工现场，拆除围挡，进行场地平整，待监理、甲方验收。</w:t>
      </w:r>
    </w:p>
    <w:p>
      <w:pPr>
        <w:bidi w:val="0"/>
      </w:pPr>
      <w:r>
        <w:rPr>
          <w:rFonts w:hint="eastAsia"/>
        </w:rPr>
        <w:t>5）拆除垃圾的堆放与清运</w:t>
      </w:r>
    </w:p>
    <w:p>
      <w:pPr>
        <w:bidi w:val="0"/>
      </w:pPr>
      <w:r>
        <w:rPr>
          <w:rFonts w:hint="eastAsia"/>
        </w:rPr>
        <w:t>建筑拆除后产生的渣土分区域集中堆放，集中堆放的渣土要覆盖绿网并洒水，防止产生扬尘。并及时清运出场。</w:t>
      </w:r>
    </w:p>
    <w:p>
      <w:pPr>
        <w:bidi w:val="0"/>
      </w:pPr>
      <w:r>
        <w:rPr>
          <w:rFonts w:hint="eastAsia"/>
        </w:rPr>
        <w:t>为保证施工进度要求，开工后积极办理渣土消纳手续，按照市指定的渣土消纳场所进行消纳，机械拆除的同时将组织自卸汽车进行渣土清运作业，装车前应组织反铲及液压锤对渣土进行粉碎、归堆，其中反铲在前翻捣渣土，液压镐与之相隔一个开间进行二次粉碎，此工序可反复进行直到达到运渣要求。</w:t>
      </w:r>
    </w:p>
    <w:p>
      <w:pPr>
        <w:bidi w:val="0"/>
      </w:pPr>
      <w:r>
        <w:rPr>
          <w:rFonts w:hint="eastAsia"/>
        </w:rPr>
        <w:t>机械装土时不得超过车槽帮。渣土运输过程中，保证场地及道路的清洁，做到装车不外溢，运输无漏洒。在渣土外运期间，在装渣出口外搭设专用架子，当运渣车经过时清除多余渣土，在出入口地面铺草袋子，指派专职清洁人员清刷干净车轮及车身上的尘渣，每天作业完成前对车辆所经出入口进行彻底清洁，达到施工现场地路面清洁要求。。</w:t>
      </w:r>
    </w:p>
    <w:p>
      <w:pPr>
        <w:bidi w:val="0"/>
      </w:pPr>
      <w:r>
        <w:rPr>
          <w:rFonts w:hint="eastAsia"/>
        </w:rPr>
        <w:t>五、安全保证措施</w:t>
      </w:r>
    </w:p>
    <w:p>
      <w:pPr>
        <w:bidi w:val="0"/>
      </w:pPr>
      <w:r>
        <w:rPr>
          <w:rFonts w:hint="eastAsia"/>
        </w:rPr>
        <w:t>1、基本要求</w:t>
      </w:r>
    </w:p>
    <w:p>
      <w:pPr>
        <w:bidi w:val="0"/>
      </w:pPr>
      <w:r>
        <w:rPr>
          <w:rFonts w:hint="eastAsia"/>
        </w:rPr>
        <w:t>（1）施工现场必须有技术人员统一指挥，严格遵循拆除方法和拆除程序。</w:t>
      </w:r>
    </w:p>
    <w:p>
      <w:pPr>
        <w:bidi w:val="0"/>
      </w:pPr>
      <w:r>
        <w:rPr>
          <w:rFonts w:hint="eastAsia"/>
        </w:rPr>
        <w:t>（2）拆除现场施工人员，必须经过行业主管部门指定的培训机构培训，并取得资格证方可施工。</w:t>
      </w:r>
    </w:p>
    <w:p>
      <w:pPr>
        <w:bidi w:val="0"/>
      </w:pPr>
      <w:r>
        <w:rPr>
          <w:rFonts w:hint="eastAsia"/>
        </w:rPr>
        <w:t>（3）施工人员进入施工现场，必须戴安全帽，扣紧帽带；高空作业必须系安全带、安全带应高挂低用，挂点牢靠。</w:t>
      </w:r>
    </w:p>
    <w:p>
      <w:pPr>
        <w:bidi w:val="0"/>
      </w:pPr>
      <w:r>
        <w:rPr>
          <w:rFonts w:hint="eastAsia"/>
        </w:rPr>
        <w:t>（4）施工现场必须设置醒目的警示标志，采取警戒措施、派专人负责。非工作人员不得随意进入施工现场。</w:t>
      </w:r>
    </w:p>
    <w:p>
      <w:pPr>
        <w:bidi w:val="0"/>
      </w:pPr>
      <w:r>
        <w:rPr>
          <w:rFonts w:hint="eastAsia"/>
        </w:rPr>
        <w:t>（5）建筑物拆除时，应自上而下，顺序进行，禁止多层同时拆除。当拆除某一部分时应防止其它部分倒塌。</w:t>
      </w:r>
    </w:p>
    <w:p>
      <w:pPr>
        <w:bidi w:val="0"/>
      </w:pPr>
      <w:r>
        <w:rPr>
          <w:rFonts w:hint="eastAsia"/>
        </w:rPr>
        <w:t>（6）拆除项目竣工后，必须有验收手续，达到工完、料清、场地净，并确保周围环境整洁和相邻建筑、管线的安全。</w:t>
      </w:r>
    </w:p>
    <w:p>
      <w:pPr>
        <w:bidi w:val="0"/>
      </w:pPr>
      <w:r>
        <w:rPr>
          <w:rFonts w:hint="eastAsia"/>
        </w:rPr>
        <w:t>（7）拆除物受自然气候、环境影响较大，应密切注意，防患于未然。每个工作日结束后，工程技术人员必须去现场检查，确认拆除物是否用加固，作到安全无隐患。</w:t>
      </w:r>
    </w:p>
    <w:p>
      <w:pPr>
        <w:bidi w:val="0"/>
      </w:pPr>
      <w:r>
        <w:rPr>
          <w:rFonts w:hint="eastAsia"/>
        </w:rPr>
        <w:t>2、拆除时安全事项</w:t>
      </w:r>
    </w:p>
    <w:p>
      <w:pPr>
        <w:bidi w:val="0"/>
      </w:pPr>
      <w:r>
        <w:rPr>
          <w:rFonts w:hint="eastAsia"/>
        </w:rPr>
        <w:t>（1）工人从事拆除工作时，应该站在专门搭设的脚手架上或其它稳固的结构部分上操作。</w:t>
      </w:r>
    </w:p>
    <w:p>
      <w:pPr>
        <w:bidi w:val="0"/>
      </w:pPr>
      <w:r>
        <w:rPr>
          <w:rFonts w:hint="eastAsia"/>
        </w:rPr>
        <w:t>（2）拆除区周围应设立围栏，挂警告牌，并派专人监护，严禁无关人员逗留。</w:t>
      </w:r>
    </w:p>
    <w:p>
      <w:pPr>
        <w:bidi w:val="0"/>
      </w:pPr>
      <w:r>
        <w:rPr>
          <w:rFonts w:hint="eastAsia"/>
        </w:rPr>
        <w:t>（3）建筑物拆除时，应自上而下的顺序进行，禁止多层同时拆除。当拆除某一部分时应防止其它部分倒塌。</w:t>
      </w:r>
    </w:p>
    <w:p>
      <w:pPr>
        <w:bidi w:val="0"/>
      </w:pPr>
      <w:r>
        <w:rPr>
          <w:rFonts w:hint="eastAsia"/>
        </w:rPr>
        <w:t>（4）拆除过程中，现场照明不得使用被拆建筑物中的配电线，应另外单独设置配电线路。</w:t>
      </w:r>
    </w:p>
    <w:p>
      <w:pPr>
        <w:bidi w:val="0"/>
      </w:pPr>
      <w:r>
        <w:rPr>
          <w:rFonts w:hint="eastAsia"/>
        </w:rPr>
        <w:t>3、安全管理</w:t>
      </w:r>
    </w:p>
    <w:p>
      <w:pPr>
        <w:bidi w:val="0"/>
      </w:pPr>
      <w:r>
        <w:rPr>
          <w:rFonts w:hint="eastAsia"/>
        </w:rPr>
        <w:t>（1）施工人员进行拆除工作时，应该站在专门搭设的脚手或者其他稳固的结构部分上进行操作。操作人员要戴安全帽和其他防护用品。拆除过程多属高空作业，工具、设备、材料杂乱，粉尘、日晒较多，作业工人应佩戴安全帽、手套、安全鞋等个人防护用品，为防止砖石、灰尘及切割螺钉等的操作，应佩戴护目镜。拆除轻型结构屋面工程时，严禁施工人员直接踩踏在轻型结构板上进行工作，必须使用移动板梯，板梯上端必须挂牢，防止高处坠落。拆除过程中，现场照明不得使用拆除建筑物中的配电线，应另外设置配电线路。</w:t>
      </w:r>
    </w:p>
    <w:p>
      <w:pPr>
        <w:bidi w:val="0"/>
      </w:pPr>
      <w:r>
        <w:rPr>
          <w:rFonts w:hint="eastAsia"/>
        </w:rPr>
        <w:t>（2）拆除过程中，应有专业技术人员现场监督指导。为确保未拆除部分建筑的稳定，应根据结构特点，有的部位应先进行加固后再继续拆除。当拆除某一部分时应防止其他部分的倒塌，把有倒塌危险的构筑物，用支柱、支撑、绳索等临时加固。</w:t>
      </w:r>
    </w:p>
    <w:p>
      <w:pPr>
        <w:bidi w:val="0"/>
      </w:pPr>
      <w:r>
        <w:rPr>
          <w:rFonts w:hint="eastAsia"/>
        </w:rPr>
        <w:t>（3）拆除作业应严格按拆除方案进行：拆除建筑物应该自上而下依次进行；拆除建筑物的栏杆、楼梯和楼板等，应该和整体程度相配合，不能先行拆除；禁止多层同时拆除；建筑物的承重支柱和横梁，要等待它所承担的全部结构和荷重拆除后才可以拆除；拆除屋架时，先将吊索绑好，两端拴好溜绳，再用气割在屋架两支座焊缝上同时切割，然后将起钩拆去。</w:t>
      </w:r>
    </w:p>
    <w:p>
      <w:pPr>
        <w:bidi w:val="0"/>
      </w:pPr>
      <w:r>
        <w:rPr>
          <w:rFonts w:hint="eastAsia"/>
        </w:rPr>
        <w:t>（4）拆下的物料不准在楼板上乱堆乱放。不准将墙体推倒在楼板上，防止将楼板压塌，发生事故。拆下的物料，不准向下抛掷拆除较大构件要用吊绳或起重机吊下运走，散碎材料用溜放槽溜下，清理运走。</w:t>
      </w:r>
    </w:p>
    <w:p>
      <w:pPr>
        <w:bidi w:val="0"/>
      </w:pPr>
      <w:r>
        <w:rPr>
          <w:rFonts w:hint="eastAsia"/>
        </w:rPr>
        <w:t>（5）用推倒法拆除墙时人员应避至安全地带。拆除建筑物一般不采用推倒方法，遇到特殊情况墙体必须推倒时，必须遵守以下规定：砍切墙根的深度不能超过墙厚的1/3，墙的厚度小于两块半砖的时候，不许进行掏掘；为防止墙壁向掏掘方向倾倒，在掏掘前，要用支撑撑牢；建筑物推倒前，应发出信号，待所有人员远离建筑物高度2倍以上的距离后，方可进行；在建筑推倒倒塌范围内，有其他建筑物时，严禁采用推倒方法。</w:t>
      </w:r>
    </w:p>
    <w:p>
      <w:pPr>
        <w:bidi w:val="0"/>
      </w:pPr>
      <w:r>
        <w:rPr>
          <w:rFonts w:hint="eastAsia"/>
        </w:rPr>
        <w:t>（6）当用机械拆除工程时，根据被拆除高度选择拆除机械，不可超高作业，打击点必须选在顶层，不可选在次顶层甚至以下。炮锤作业高度不够，可以用建筑垃圾垫高机身以满足需要，但垫层高度不得超过3m，其厚度不得小于3.5m，两侧坡度不得大于6°，机械解体作业时应设专职指挥员，监视被拆除物的动向，及时用对讲机指挥机械操作员进退。人机不可立体交叉作业，机械作业时，在其回旋半径内不得有人工作业。机械禁止在有地下管线处作业，如果一定要作业，必须在地面垫2～3cm的整块钢板或走道板，保护地下管线安全。机械拆除在分段切割时，必须确保未拆除部分结构的整体完整和稳定。</w:t>
      </w:r>
    </w:p>
    <w:p>
      <w:pPr>
        <w:bidi w:val="0"/>
      </w:pPr>
      <w:r>
        <w:rPr>
          <w:rFonts w:hint="eastAsia"/>
        </w:rPr>
        <w:t>4、监控措施</w:t>
      </w:r>
    </w:p>
    <w:p>
      <w:pPr>
        <w:bidi w:val="0"/>
      </w:pPr>
      <w:r>
        <w:rPr>
          <w:rFonts w:hint="eastAsia"/>
        </w:rPr>
        <w:t xml:space="preserve">拆除施工作业全过程中，必须严格监控如下： </w:t>
      </w:r>
    </w:p>
    <w:p>
      <w:pPr>
        <w:bidi w:val="0"/>
      </w:pPr>
      <w:r>
        <w:rPr>
          <w:rFonts w:hint="eastAsia"/>
        </w:rPr>
        <w:t>（1）坚持从上至下逐层拆除，严禁立体交叉同时拆除。在无特殊情况和需要时，均不宜采用推（拉）的拆除方法；</w:t>
      </w:r>
    </w:p>
    <w:p>
      <w:pPr>
        <w:bidi w:val="0"/>
      </w:pPr>
      <w:r>
        <w:rPr>
          <w:rFonts w:hint="eastAsia"/>
        </w:rPr>
        <w:t>（2）坚持先拆板、次梁、主梁，严禁颠倒拆除顺序；</w:t>
      </w:r>
    </w:p>
    <w:p>
      <w:pPr>
        <w:bidi w:val="0"/>
      </w:pPr>
      <w:r>
        <w:rPr>
          <w:rFonts w:hint="eastAsia"/>
        </w:rPr>
        <w:t>（3）坚持慎重过细地拆除以上部墙体为压重悬臂部件（构件）和各类架空、竖向构件、管件；</w:t>
      </w:r>
    </w:p>
    <w:p>
      <w:pPr>
        <w:bidi w:val="0"/>
      </w:pPr>
      <w:r>
        <w:rPr>
          <w:rFonts w:hint="eastAsia"/>
        </w:rPr>
        <w:t>（4）坚持独立柱、墙、附墙柱的拆除，应从上至下基本同步进行和应在楼板、楼梯转角平台的结构上立设稳妥的作业平台架后才可进行作业，必须严格禁止拆除作业人员直接站立在柱、墙截面和梁上的作业，尤其在拆除外围柱墙、梁时更应特别注意落实好作业的安全防护；</w:t>
      </w:r>
    </w:p>
    <w:p>
      <w:pPr>
        <w:bidi w:val="0"/>
      </w:pPr>
      <w:r>
        <w:rPr>
          <w:rFonts w:hint="eastAsia"/>
        </w:rPr>
        <w:t>（5）坚持拆除梁和楼梯板时，必须从中间往两端基本对称进行，绝不允许先拆两端或一端后而让梁和楼梯板下坠；对凡是跨度和荷重较大的梁、楼梯板的拆除，还应视情况研究是否应落实加设预支护措施。在转角楼梯板的上节未拆除前，绝不允许出现对楼梯梁有破坏性的损伤；上层楼梯未拆除前，绝不允许进入下节楼梯板的拆除；在楼梯板未拆除前，绝不允许进入下层和其以下楼梯的拆除；</w:t>
      </w:r>
    </w:p>
    <w:p>
      <w:pPr>
        <w:bidi w:val="0"/>
        <w:rPr>
          <w:rFonts w:hint="eastAsia"/>
        </w:rPr>
      </w:pPr>
      <w:r>
        <w:rPr>
          <w:rFonts w:hint="eastAsia"/>
        </w:rPr>
        <w:t>（6）坚持在每拆一层板、梁和其下的柱、墙时，都能实现有下部楼板梁或其钢筋骨架网作临时可靠的水平防护，绝不允许出现从上到下先拆除平面板件而又割除了水平钢筋的危险做法；</w:t>
      </w:r>
    </w:p>
    <w:p>
      <w:pPr>
        <w:bidi w:val="0"/>
        <w:rPr>
          <w:rFonts w:hint="eastAsia"/>
        </w:rPr>
      </w:pPr>
      <w:r>
        <w:rPr>
          <w:rFonts w:hint="eastAsia"/>
        </w:rPr>
        <w:t>（7）坚持各层的落渣口（可以多个）位置（可考虑充分利用电梯井口、管道井口、垃圾道口）都应选取在非人员上下和水平行走的通道位置上，并应落实防护措施；对拆下的板面上的余渣物料，要做到及时逐层下置到底层并清理，以避免出现结构裂断的危险；</w:t>
      </w:r>
    </w:p>
    <w:p>
      <w:pPr>
        <w:bidi w:val="0"/>
        <w:rPr>
          <w:rFonts w:hint="eastAsia"/>
        </w:rPr>
      </w:pPr>
      <w:r>
        <w:rPr>
          <w:rFonts w:hint="eastAsia"/>
        </w:rPr>
        <w:t>（8）坚持检查落实拆除施工全过程中对周围环境的安全保护和文明拆除的措施，实现拆除施工单位对作业安全负责和业主单位安全监控管理双控制。外人和无关人员不得进入拆区的警戒范围，在被拆工程内和可能波及的危险区域内不得有人员居住和歇息；</w:t>
      </w:r>
    </w:p>
    <w:p>
      <w:pPr>
        <w:bidi w:val="0"/>
        <w:rPr>
          <w:rFonts w:hint="eastAsia"/>
        </w:rPr>
      </w:pPr>
      <w:r>
        <w:rPr>
          <w:rFonts w:hint="eastAsia"/>
        </w:rPr>
        <w:t>（9）自始至终坚持管好用电用火、用电机具的安全，非持证电工不得从事装拆生产用电和生活用电；</w:t>
      </w:r>
    </w:p>
    <w:p>
      <w:pPr>
        <w:bidi w:val="0"/>
        <w:rPr>
          <w:rFonts w:hint="eastAsia"/>
        </w:rPr>
      </w:pPr>
      <w:r>
        <w:rPr>
          <w:rFonts w:hint="eastAsia"/>
        </w:rPr>
        <w:t>（10）所有拆除人员和驻场管理人员必须落实使用安全帽、安全带、口罩、防尘眼镜、工作鞋、手套等劳动安全防护用品，不准赤脚、光膀进行作业。    </w:t>
      </w:r>
    </w:p>
    <w:p>
      <w:pPr>
        <w:bidi w:val="0"/>
        <w:rPr>
          <w:rFonts w:hint="eastAsia"/>
        </w:rPr>
      </w:pPr>
      <w:r>
        <w:rPr>
          <w:rFonts w:hint="eastAsia"/>
        </w:rPr>
        <w:t>5、做好拆除作业后的安全工作</w:t>
      </w:r>
    </w:p>
    <w:p>
      <w:pPr>
        <w:bidi w:val="0"/>
        <w:rPr>
          <w:rFonts w:hint="eastAsia"/>
        </w:rPr>
      </w:pPr>
      <w:r>
        <w:rPr>
          <w:rFonts w:hint="eastAsia"/>
        </w:rPr>
        <w:t>（1）拆卸下来的各种材料应及时清理，按品种、类别堆放在平整的地面上，高度应符合安全规定，并留有一定的间距，防止倒塌伤人。</w:t>
      </w:r>
    </w:p>
    <w:p>
      <w:pPr>
        <w:bidi w:val="0"/>
        <w:rPr>
          <w:rFonts w:hint="eastAsia"/>
        </w:rPr>
      </w:pPr>
      <w:r>
        <w:rPr>
          <w:rFonts w:hint="eastAsia"/>
        </w:rPr>
        <w:t>（2）拆除堆放的材料场地，要专人看管，加强治安保卫。禁止外来人员特别是小孩入内玩耍。严禁烟火，配有一定的消防器材，以防万一。</w:t>
      </w:r>
    </w:p>
    <w:p>
      <w:pPr>
        <w:bidi w:val="0"/>
        <w:rPr>
          <w:rFonts w:hint="eastAsia"/>
        </w:rPr>
      </w:pPr>
      <w:r>
        <w:rPr>
          <w:rFonts w:hint="eastAsia"/>
        </w:rPr>
        <w:t>（3）对于拆除生产、使用、储存危险物品场所物料、器材、设备，不要与一般物料混杂存放，或放置到安全场所，或采取清洗措施，或安全销毁。</w:t>
      </w:r>
    </w:p>
    <w:p>
      <w:pPr>
        <w:bidi w:val="0"/>
        <w:rPr>
          <w:rFonts w:hint="eastAsia"/>
        </w:rPr>
      </w:pPr>
      <w:r>
        <w:rPr>
          <w:rFonts w:hint="eastAsia"/>
        </w:rPr>
        <w:t>（4）拆除的区域，对电线、煤气管道、上下水管、供热设备管道等干线再进行一次检查，以防留下隐患，并要设明显标记。</w:t>
      </w:r>
    </w:p>
    <w:p>
      <w:pPr>
        <w:bidi w:val="0"/>
        <w:rPr>
          <w:rFonts w:hint="eastAsia"/>
        </w:rPr>
      </w:pPr>
      <w:r>
        <w:rPr>
          <w:rFonts w:hint="eastAsia"/>
        </w:rPr>
        <w:t>（5）在保证安全的前提下，拆迁工程要和建筑工程的施工相互衔接好。拆迁场地在全部清理出场后，再按照施工要求进行新的工程建筑。</w:t>
      </w:r>
    </w:p>
    <w:p>
      <w:pPr>
        <w:pStyle w:val="4"/>
        <w:bidi w:val="0"/>
        <w:rPr>
          <w:rFonts w:hint="eastAsia"/>
        </w:rPr>
      </w:pPr>
    </w:p>
    <w:p>
      <w:pPr>
        <w:topLinePunct/>
        <w:adjustRightInd w:val="0"/>
        <w:snapToGrid w:val="0"/>
        <w:ind w:firstLine="540" w:firstLineChars="193"/>
        <w:jc w:val="left"/>
        <w:rPr>
          <w:rFonts w:ascii="宋体" w:hAnsi="宋体" w:cs="宋体"/>
          <w:color w:val="000000"/>
          <w:kern w:val="0"/>
        </w:rPr>
        <w:sectPr>
          <w:headerReference r:id="rId5" w:type="first"/>
          <w:footerReference r:id="rId8" w:type="first"/>
          <w:headerReference r:id="rId3" w:type="default"/>
          <w:footerReference r:id="rId6" w:type="default"/>
          <w:headerReference r:id="rId4" w:type="even"/>
          <w:footerReference r:id="rId7" w:type="even"/>
          <w:pgSz w:w="11907" w:h="16840"/>
          <w:pgMar w:top="1474" w:right="1072" w:bottom="851" w:left="1400" w:header="936" w:footer="992" w:gutter="0"/>
          <w:pgNumType w:fmt="numberInDash"/>
          <w:cols w:space="425" w:num="1"/>
          <w:docGrid w:type="linesAndChars" w:linePitch="312" w:charSpace="0"/>
        </w:sectPr>
      </w:pPr>
    </w:p>
    <w:p>
      <w:pPr>
        <w:pStyle w:val="3"/>
        <w:spacing w:before="278" w:after="278"/>
      </w:pPr>
      <w:bookmarkStart w:id="170" w:name="_Toc210782762"/>
      <w:bookmarkStart w:id="171" w:name="_Toc211134798"/>
      <w:bookmarkStart w:id="172" w:name="_Toc210278985"/>
      <w:bookmarkStart w:id="173" w:name="_Toc210146943"/>
      <w:bookmarkStart w:id="174" w:name="_Toc209779251"/>
      <w:bookmarkStart w:id="175" w:name="_Toc210121863"/>
      <w:bookmarkStart w:id="176" w:name="_Toc211223767"/>
      <w:bookmarkStart w:id="177" w:name="_Toc210121630"/>
      <w:bookmarkStart w:id="178" w:name="_Toc210965761"/>
      <w:bookmarkStart w:id="179" w:name="_Toc211239531"/>
      <w:bookmarkStart w:id="180" w:name="_Toc10231"/>
      <w:bookmarkStart w:id="181" w:name="_Toc212633756"/>
      <w:bookmarkStart w:id="182" w:name="_Toc209926833"/>
      <w:bookmarkStart w:id="183" w:name="_Toc212890410"/>
      <w:bookmarkStart w:id="184" w:name="_Toc212954844"/>
      <w:bookmarkStart w:id="185" w:name="_Toc206229936"/>
      <w:bookmarkStart w:id="186" w:name="_Toc212961617"/>
      <w:bookmarkStart w:id="187" w:name="_Toc210121395"/>
      <w:bookmarkStart w:id="188" w:name="_Toc525107846"/>
      <w:bookmarkStart w:id="189" w:name="_Toc212962428"/>
      <w:bookmarkStart w:id="190" w:name="_Toc212799444"/>
      <w:bookmarkStart w:id="191" w:name="_Toc206234065"/>
      <w:bookmarkStart w:id="192" w:name="_Toc211239429"/>
      <w:bookmarkStart w:id="193" w:name="_Toc212710085"/>
      <w:r>
        <w:rPr>
          <w:rFonts w:hint="eastAsia"/>
        </w:rPr>
        <w:t xml:space="preserve">第五章 </w:t>
      </w:r>
      <w:r>
        <w:t xml:space="preserve"> </w:t>
      </w:r>
      <w:r>
        <w:rPr>
          <w:rFonts w:hint="eastAsia"/>
        </w:rPr>
        <w:t>资源配备计划</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pPr>
        <w:bidi w:val="0"/>
      </w:pPr>
      <w:r>
        <w:rPr>
          <w:rFonts w:hint="eastAsia"/>
        </w:rPr>
        <w:t>一、劳动力计划表</w:t>
      </w:r>
    </w:p>
    <w:p>
      <w:pPr>
        <w:bidi w:val="0"/>
      </w:pPr>
      <w:r>
        <w:rPr>
          <w:rFonts w:hint="eastAsia"/>
        </w:rPr>
        <w:t>根据本工程项目工作内容及工程工期要求，计划在工程开工后迅速展开各工作面的施工</w:t>
      </w:r>
      <w:bookmarkStart w:id="194" w:name="_Toc210121865"/>
      <w:bookmarkStart w:id="195" w:name="_Toc212890412"/>
      <w:bookmarkStart w:id="196" w:name="_Toc210121397"/>
      <w:bookmarkStart w:id="197" w:name="_Toc210121632"/>
      <w:bookmarkStart w:id="198" w:name="_Toc206229938"/>
      <w:bookmarkStart w:id="199" w:name="_Toc212710087"/>
      <w:r>
        <w:rPr>
          <w:rFonts w:hint="eastAsia"/>
        </w:rPr>
        <w:t>，因临近冬季，天气变冷，涉及室外作业的工程优先施工，根据施工内容适时调整劳动力人员分配，详见附表。</w:t>
      </w:r>
      <w:bookmarkEnd w:id="194"/>
      <w:bookmarkEnd w:id="195"/>
      <w:bookmarkEnd w:id="196"/>
      <w:bookmarkEnd w:id="197"/>
      <w:bookmarkEnd w:id="198"/>
      <w:bookmarkEnd w:id="199"/>
      <w:bookmarkStart w:id="200" w:name="_Toc210121636"/>
      <w:bookmarkStart w:id="201" w:name="_Toc210121869"/>
      <w:bookmarkStart w:id="202" w:name="_Toc212890418"/>
      <w:bookmarkStart w:id="203" w:name="_Toc206229941"/>
      <w:bookmarkStart w:id="204" w:name="_Toc210121401"/>
      <w:bookmarkStart w:id="205" w:name="_Toc212710090"/>
    </w:p>
    <w:p>
      <w:pPr>
        <w:ind w:firstLine="480"/>
      </w:pPr>
      <w:r>
        <w:rPr>
          <w:rFonts w:hint="eastAsia"/>
        </w:rPr>
        <w:t>二、劳动力的管理</w:t>
      </w:r>
    </w:p>
    <w:p>
      <w:pPr>
        <w:ind w:firstLine="480"/>
      </w:pPr>
      <w:r>
        <w:rPr>
          <w:rFonts w:hint="eastAsia"/>
        </w:rPr>
        <w:t>（1）在我公司范围内，选派具有同类施工经验丰富的施工队伍。他们专业过硬，善于打硬仗打苦仗，能够顾全大局，把业主的利益永远放在第一位。</w:t>
      </w:r>
    </w:p>
    <w:p>
      <w:pPr>
        <w:ind w:firstLine="480"/>
      </w:pPr>
      <w:r>
        <w:rPr>
          <w:rFonts w:hint="eastAsia"/>
        </w:rPr>
        <w:t>（2）根据施工方案实施要求及施工进度计划和劳动力配置计划的要求，提前落实组织劳动力进场的准备工作。</w:t>
      </w:r>
    </w:p>
    <w:p>
      <w:pPr>
        <w:ind w:firstLine="480"/>
      </w:pPr>
      <w:r>
        <w:rPr>
          <w:rFonts w:hint="eastAsia"/>
        </w:rPr>
        <w:t>（3）在做好上述计划落实工作后，应另外做好施工劳动力安排预备计划，以备在必要时能够随时召集调用，作为确保合同工期的一项必要措施。</w:t>
      </w:r>
    </w:p>
    <w:p>
      <w:pPr>
        <w:ind w:firstLine="480"/>
      </w:pPr>
      <w:r>
        <w:rPr>
          <w:rFonts w:hint="eastAsia"/>
        </w:rPr>
        <w:t>（4）根据班组所承担的施工项目要求及其劳动力技术、质量、施工管理协作能力等，以公司内部施工管理目标为依据，与其签订本工程具体的施工协议、施工安全协议书及其它有关承诺和保证文件，明确其工作项目和范围、工作目标施工要求、奖罚措施等事项，以满足本工程项目整体的要求。</w:t>
      </w:r>
    </w:p>
    <w:p>
      <w:pPr>
        <w:ind w:firstLine="480"/>
      </w:pPr>
      <w:r>
        <w:rPr>
          <w:rFonts w:hint="eastAsia"/>
        </w:rPr>
        <w:t>（5）充分发挥我公司在施工组织管理方面的优势，将有关施工队、班组由项目经理部及其管理人员按工序、分区域、交叉施工做出详细安排，并将其它专业劳务分包单位一并纳入项目经理部的管理体系，确保工期、质量目标实现。</w:t>
      </w:r>
    </w:p>
    <w:p>
      <w:pPr>
        <w:ind w:firstLine="480"/>
      </w:pPr>
      <w:r>
        <w:rPr>
          <w:rFonts w:hint="eastAsia"/>
        </w:rPr>
        <w:t>（6）对施工人员所需的生活后勤条件做出充分的考虑安排，包括通信、饮食、清洁卫生、季节变化适应等方面，以保证他们无后顾之忧，全力投入施工工作，确保施工进度和管理的需要。</w:t>
      </w:r>
    </w:p>
    <w:p>
      <w:pPr>
        <w:ind w:firstLine="480"/>
      </w:pPr>
      <w:r>
        <w:rPr>
          <w:rFonts w:hint="eastAsia"/>
        </w:rPr>
        <w:t>（7）在本工程施工期间，根据工程进度需要，本工程项目经理部及所属施工人员取消节假日、休息日，在必要时采取双班制施工方法，以确保施工工期。</w:t>
      </w:r>
    </w:p>
    <w:p>
      <w:pPr>
        <w:ind w:firstLine="480"/>
      </w:pPr>
      <w:r>
        <w:rPr>
          <w:rFonts w:hint="eastAsia"/>
        </w:rPr>
        <w:t>（8）对现场的施工队伍进行严格的资格审查，对审查合格的也必须做好技术安全交底、职业道德教育等方面的工作。</w:t>
      </w:r>
    </w:p>
    <w:p>
      <w:pPr>
        <w:ind w:firstLine="480"/>
      </w:pPr>
      <w:r>
        <w:rPr>
          <w:rFonts w:hint="eastAsia"/>
        </w:rPr>
        <w:t>（9）对已进场的队伍实施动态管理，不允许其擅自扩充和随意抽调，以确保施工队伍的素质和人员相对稳定。</w:t>
      </w:r>
    </w:p>
    <w:p>
      <w:pPr>
        <w:ind w:firstLine="480"/>
      </w:pPr>
      <w:r>
        <w:rPr>
          <w:rFonts w:hint="eastAsia"/>
        </w:rPr>
        <w:t>（10）未经项目经理部质量、安全培训的操作工人不允许上岗。</w:t>
      </w:r>
    </w:p>
    <w:p>
      <w:pPr>
        <w:ind w:firstLine="480"/>
      </w:pPr>
      <w:r>
        <w:rPr>
          <w:rFonts w:hint="eastAsia"/>
        </w:rPr>
        <w:t>（11）加强对施工班组的管理，凡进场的施工班组必须配备一定数量的专职质量、安全的管理人员。</w:t>
      </w:r>
    </w:p>
    <w:p>
      <w:pPr>
        <w:ind w:firstLine="480"/>
      </w:pPr>
      <w:bookmarkStart w:id="206" w:name="_Toc210782765"/>
      <w:bookmarkStart w:id="207" w:name="_Toc206234067"/>
      <w:bookmarkStart w:id="208" w:name="_Toc210965764"/>
      <w:bookmarkStart w:id="209" w:name="_Toc210121400"/>
      <w:bookmarkStart w:id="210" w:name="_Toc210278988"/>
      <w:bookmarkStart w:id="211" w:name="_Toc212633759"/>
      <w:bookmarkStart w:id="212" w:name="_Toc212710089"/>
      <w:bookmarkStart w:id="213" w:name="_Toc212890417"/>
      <w:bookmarkStart w:id="214" w:name="_Toc211239432"/>
      <w:bookmarkStart w:id="215" w:name="_Toc210121635"/>
      <w:bookmarkStart w:id="216" w:name="_Toc210146946"/>
      <w:bookmarkStart w:id="217" w:name="_Toc209779253"/>
      <w:bookmarkStart w:id="218" w:name="_Toc209926835"/>
      <w:bookmarkStart w:id="219" w:name="_Toc212954847"/>
      <w:bookmarkStart w:id="220" w:name="_Toc211239534"/>
      <w:bookmarkStart w:id="221" w:name="_Toc212961620"/>
      <w:bookmarkStart w:id="222" w:name="_Toc212799447"/>
      <w:bookmarkStart w:id="223" w:name="_Toc210121868"/>
      <w:bookmarkStart w:id="224" w:name="_Toc211223770"/>
      <w:bookmarkStart w:id="225" w:name="_Toc206229940"/>
      <w:bookmarkStart w:id="226" w:name="_Toc211134801"/>
      <w:bookmarkStart w:id="227" w:name="_Toc212962431"/>
      <w:r>
        <w:rPr>
          <w:rFonts w:hint="eastAsia"/>
        </w:rPr>
        <w:t>三、劳动力安排保证措施</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pPr>
        <w:ind w:firstLine="480"/>
      </w:pPr>
      <w:r>
        <w:rPr>
          <w:rFonts w:hint="eastAsia"/>
        </w:rPr>
        <w:t>1、劳务队伍组织</w:t>
      </w:r>
      <w:bookmarkEnd w:id="200"/>
      <w:bookmarkEnd w:id="201"/>
      <w:bookmarkEnd w:id="202"/>
      <w:bookmarkEnd w:id="203"/>
      <w:bookmarkEnd w:id="204"/>
      <w:bookmarkEnd w:id="205"/>
    </w:p>
    <w:p>
      <w:pPr>
        <w:ind w:firstLine="480"/>
      </w:pPr>
      <w:r>
        <w:rPr>
          <w:rFonts w:hint="eastAsia"/>
        </w:rPr>
        <w:t>1.1 我公司各种专业施工队伍齐全，劳动力充足，可以随时进场。</w:t>
      </w:r>
    </w:p>
    <w:p>
      <w:pPr>
        <w:ind w:firstLine="480"/>
      </w:pPr>
      <w:r>
        <w:rPr>
          <w:rFonts w:hint="eastAsia"/>
        </w:rPr>
        <w:t>1.2 各种专业队伍安排我公司常年施工队伍，有丰富的施工经验。</w:t>
      </w:r>
    </w:p>
    <w:p>
      <w:pPr>
        <w:ind w:firstLine="480"/>
      </w:pPr>
      <w:r>
        <w:rPr>
          <w:rFonts w:hint="eastAsia"/>
        </w:rPr>
        <w:t>1.3 目前各专业施工队伍已落实，考虑施工工期及雨季、节假日、农忙等多种影响因素，我公司已落实了后备的施工队伍，以确保现场劳动力数量与质量。</w:t>
      </w:r>
    </w:p>
    <w:p>
      <w:pPr>
        <w:ind w:firstLine="480"/>
      </w:pPr>
      <w:r>
        <w:rPr>
          <w:rFonts w:hint="eastAsia"/>
        </w:rPr>
        <w:t>1.4 根据施工进度安排，制定劳动力需求计划，动态管理。根据需求计划合理调节劳动力，使劳动力持续满足工程要求。</w:t>
      </w:r>
    </w:p>
    <w:p>
      <w:pPr>
        <w:ind w:firstLine="480"/>
      </w:pPr>
      <w:r>
        <w:rPr>
          <w:rFonts w:hint="eastAsia"/>
        </w:rPr>
        <w:t>1.5 对劳务队伍实行承包责任制，根据承包合同下的施工任务单，项目部与劳务队伍签订劳务合同，下达劳务承包责任状，明确施工任务内容和计划安排，明确劳务队伍的进度、质量、安全、节约、协作和文明施工要求，考核标准及作业队应得的报酬以及奖罚规定。</w:t>
      </w:r>
    </w:p>
    <w:p>
      <w:pPr>
        <w:ind w:firstLine="480"/>
      </w:pPr>
      <w:r>
        <w:rPr>
          <w:rFonts w:hint="eastAsia"/>
        </w:rPr>
        <w:t>1.6 对劳务队伍进行动态管理，项目部按计划分配施工任务，不断进行劳动力平衡，解决劳动力数量、工种、技术、能力、相互配合存在的矛盾。</w:t>
      </w:r>
    </w:p>
    <w:p>
      <w:pPr>
        <w:ind w:firstLine="480"/>
      </w:pPr>
      <w:bookmarkStart w:id="228" w:name="_Toc206229942"/>
      <w:bookmarkStart w:id="229" w:name="_Toc212890419"/>
      <w:bookmarkStart w:id="230" w:name="_Toc210121637"/>
      <w:bookmarkStart w:id="231" w:name="_Toc210121402"/>
      <w:bookmarkStart w:id="232" w:name="_Toc210121870"/>
      <w:bookmarkStart w:id="233" w:name="_Toc212710091"/>
      <w:r>
        <w:rPr>
          <w:rFonts w:hint="eastAsia"/>
        </w:rPr>
        <w:t>2、民工工资发放的保障措施</w:t>
      </w:r>
      <w:bookmarkEnd w:id="228"/>
      <w:bookmarkEnd w:id="229"/>
      <w:bookmarkEnd w:id="230"/>
      <w:bookmarkEnd w:id="231"/>
      <w:bookmarkEnd w:id="232"/>
      <w:bookmarkEnd w:id="233"/>
    </w:p>
    <w:p>
      <w:pPr>
        <w:ind w:firstLine="480"/>
      </w:pPr>
      <w:r>
        <w:rPr>
          <w:rFonts w:hint="eastAsia"/>
        </w:rPr>
        <w:t>我单位坚持“以人为本”的指导思想，为保证工程工期、工程质量和确保每一个民工的合法权益，我单位制定如下民工工资发放保障措施：</w:t>
      </w:r>
    </w:p>
    <w:p>
      <w:pPr>
        <w:ind w:firstLine="480"/>
      </w:pPr>
      <w:r>
        <w:rPr>
          <w:rFonts w:hint="eastAsia"/>
        </w:rPr>
        <w:t>2.1 建立民工注册登记制度：按注册登记表为每个民工做工资，进行发放，确保每一个民工的合法权益。</w:t>
      </w:r>
    </w:p>
    <w:p>
      <w:pPr>
        <w:ind w:firstLine="480"/>
      </w:pPr>
      <w:r>
        <w:rPr>
          <w:rFonts w:hint="eastAsia"/>
        </w:rPr>
        <w:t>2.2 及时发放的保障措施：民工工资经项目部结算人员按注册登记人员进行逐月做工资发放表，工资按工资表每月及时发放。</w:t>
      </w:r>
    </w:p>
    <w:p>
      <w:pPr>
        <w:ind w:firstLine="480"/>
      </w:pPr>
      <w:r>
        <w:rPr>
          <w:rFonts w:hint="eastAsia"/>
        </w:rPr>
        <w:t>2.3 专项资金保障措施：我单位设立相对独立的民工工资账户，专款专用，确保本工程民工工资的发放资金。</w:t>
      </w:r>
    </w:p>
    <w:p>
      <w:pPr>
        <w:ind w:firstLine="480"/>
      </w:pPr>
      <w:r>
        <w:rPr>
          <w:rFonts w:hint="eastAsia"/>
        </w:rPr>
        <w:t>2.4 发放的保障措施：民工工资经项目部结算人员签字后，经施工队伍负责人认可签字后，直接发放到民工个人手中，避免了中间环节，有力地保障了民工的合法权益。</w:t>
      </w:r>
    </w:p>
    <w:p>
      <w:pPr>
        <w:ind w:firstLine="480"/>
      </w:pPr>
      <w:r>
        <w:rPr>
          <w:rFonts w:hint="eastAsia"/>
        </w:rPr>
        <w:t>2.5 加大对施工队伍负责人的监控力度，设立民工举报箱，以监督我单位施工配属队伍的负责人。对流动较快的民工，来不及建立民工个人结算账户的，要由我项目部结算人员监督施工队伍负责人进行民工资发放。</w:t>
      </w:r>
    </w:p>
    <w:p>
      <w:pPr>
        <w:ind w:firstLine="480"/>
      </w:pPr>
      <w:bookmarkStart w:id="234" w:name="_Toc206229943"/>
      <w:bookmarkStart w:id="235" w:name="_Toc210121638"/>
      <w:bookmarkStart w:id="236" w:name="_Toc212710092"/>
      <w:bookmarkStart w:id="237" w:name="_Toc210121403"/>
      <w:bookmarkStart w:id="238" w:name="_Toc212890420"/>
      <w:bookmarkStart w:id="239" w:name="_Toc210121871"/>
      <w:r>
        <w:rPr>
          <w:rFonts w:hint="eastAsia"/>
        </w:rPr>
        <w:t>3、确保工期的农忙及节假日劳动力保证措施</w:t>
      </w:r>
      <w:bookmarkEnd w:id="234"/>
      <w:bookmarkEnd w:id="235"/>
      <w:bookmarkEnd w:id="236"/>
      <w:bookmarkEnd w:id="237"/>
      <w:bookmarkEnd w:id="238"/>
      <w:bookmarkEnd w:id="239"/>
    </w:p>
    <w:p>
      <w:pPr>
        <w:ind w:firstLine="480"/>
      </w:pPr>
      <w:r>
        <w:rPr>
          <w:rFonts w:hint="eastAsia"/>
        </w:rPr>
        <w:t>该工程在施工进度安排时，与劳务人员提供方建立密切的协作关系，根据工程的特点、进度要求确定劳动力供应计划和轮换办法，并由项目部与劳务用工负责人之间签订劳动力保证合同，发放一定数量的节假日补助，确保工程所需劳力，保证施工。做好休假安排，非农业人口安排在非农忙季节休假，农业人口安排在农忙时休假。节假日采用调整轮休或采取补助的办法进行调剂。</w:t>
      </w:r>
    </w:p>
    <w:p>
      <w:pPr>
        <w:ind w:firstLine="480"/>
      </w:pPr>
      <w:r>
        <w:rPr>
          <w:rFonts w:hint="eastAsia"/>
        </w:rPr>
        <w:t>3.1 根据工程进度要求制定明确的劳动力使用计划，对节假日、农忙季节、寒冷季节人员紧张时期的劳动力人员、数量、工种、技术素质等都做出细致准确的要求。</w:t>
      </w:r>
    </w:p>
    <w:p>
      <w:pPr>
        <w:ind w:firstLine="480"/>
      </w:pPr>
      <w:r>
        <w:rPr>
          <w:rFonts w:hint="eastAsia"/>
        </w:rPr>
        <w:t>3.2劳动力的储备提前组织落实，根据历年工程施工规律，在劳动力紧张的时间段之前落实劳动力的保证情况，并根据保证情况进行一定数量的劳动力储备。保证工程正常使用。</w:t>
      </w:r>
    </w:p>
    <w:p>
      <w:pPr>
        <w:ind w:firstLine="480"/>
      </w:pPr>
      <w:r>
        <w:rPr>
          <w:rFonts w:hint="eastAsia"/>
        </w:rPr>
        <w:t>3.3节假日及农忙季节工资及补助方案：节假日的工资标准严格按劳动法规定办法的上限执行。农忙时期对工人设立农忙季节补助，补助的数额相当于农民工一季度的农田收入，从经济上激发工人的积极性，保证工程所用劳动力。</w:t>
      </w:r>
    </w:p>
    <w:p>
      <w:pPr>
        <w:ind w:firstLine="480"/>
      </w:pPr>
      <w:r>
        <w:rPr>
          <w:rFonts w:hint="eastAsia"/>
        </w:rPr>
        <w:t>3.4特定时期设置轮休制度，做好休假及农忙季节的安排，非农业人员安排在非农忙季节休假，农业人员安排在农忙时期休假，节日采用调整轮休，保证正常轮休，充分发挥我公司劳动管理人员充足优势。</w:t>
      </w:r>
    </w:p>
    <w:p>
      <w:pPr>
        <w:ind w:firstLine="480"/>
      </w:pPr>
      <w:r>
        <w:rPr>
          <w:rFonts w:hint="eastAsia"/>
        </w:rPr>
        <w:t>3.5冬季加大取暖保温措施：按标准配备保温用品，如手套、棉被、火炉等。</w:t>
      </w:r>
    </w:p>
    <w:p>
      <w:pPr>
        <w:ind w:firstLine="480"/>
      </w:pPr>
      <w:r>
        <w:rPr>
          <w:rFonts w:hint="eastAsia"/>
        </w:rPr>
        <w:t>3.6春节期间地工组织一定数量的文娱活动，邀请工人家属来工地过节。切实解决工人问题，保证节假日工地正常施工。</w:t>
      </w:r>
    </w:p>
    <w:p>
      <w:pPr>
        <w:ind w:firstLine="480"/>
      </w:pPr>
      <w:r>
        <w:rPr>
          <w:rFonts w:hint="eastAsia"/>
        </w:rPr>
        <w:t>四、主要施工机具使用计划</w:t>
      </w:r>
    </w:p>
    <w:p>
      <w:pPr>
        <w:ind w:firstLine="480"/>
      </w:pPr>
      <w:r>
        <w:rPr>
          <w:rFonts w:hint="eastAsia"/>
        </w:rPr>
        <w:t>1、雾炮车、洒水车、挖掘机、破碎锤、、装载机、轮胎压路机、运输汽车、起重机、其他施工机械设备等提前调试，根据施工进度要求随时进场。</w:t>
      </w:r>
    </w:p>
    <w:p>
      <w:pPr>
        <w:ind w:firstLine="480"/>
      </w:pPr>
      <w:r>
        <w:rPr>
          <w:rFonts w:hint="eastAsia"/>
        </w:rPr>
        <w:t>2、前期施工的部分机械设备于开工前三日组织进场。进场前做好维修、保养及调试等工作。</w:t>
      </w:r>
    </w:p>
    <w:p>
      <w:pPr>
        <w:ind w:firstLine="480"/>
      </w:pPr>
      <w:r>
        <w:rPr>
          <w:rFonts w:hint="eastAsia"/>
        </w:rPr>
        <w:t>3、后续施工机械随施工进度陆续组织进场。</w:t>
      </w:r>
    </w:p>
    <w:p>
      <w:pPr>
        <w:ind w:firstLine="480"/>
      </w:pPr>
      <w:r>
        <w:rPr>
          <w:rFonts w:hint="eastAsia"/>
        </w:rPr>
        <w:t>4、详见附表一</w:t>
      </w:r>
    </w:p>
    <w:p>
      <w:pPr>
        <w:pStyle w:val="3"/>
        <w:spacing w:before="278" w:after="278"/>
      </w:pPr>
      <w:bookmarkStart w:id="240" w:name="_Toc525107847"/>
      <w:bookmarkStart w:id="241" w:name="_Toc26080"/>
      <w:r>
        <w:rPr>
          <w:rFonts w:hint="eastAsia"/>
        </w:rPr>
        <w:t xml:space="preserve">第六章 </w:t>
      </w:r>
      <w:r>
        <w:t xml:space="preserve"> </w:t>
      </w:r>
      <w:r>
        <w:rPr>
          <w:rFonts w:hint="eastAsia"/>
        </w:rPr>
        <w:t>工程进度计划及保障措施</w:t>
      </w:r>
      <w:bookmarkEnd w:id="240"/>
      <w:bookmarkEnd w:id="241"/>
    </w:p>
    <w:p>
      <w:pPr>
        <w:pStyle w:val="4"/>
        <w:spacing w:before="278" w:after="278"/>
        <w:ind w:firstLine="560"/>
      </w:pPr>
      <w:bookmarkStart w:id="242" w:name="_Toc4044"/>
      <w:bookmarkStart w:id="243" w:name="_Toc18643"/>
      <w:bookmarkStart w:id="244" w:name="_Toc525107848"/>
      <w:r>
        <w:rPr>
          <w:rFonts w:hint="eastAsia"/>
        </w:rPr>
        <w:t>第一节 目标工期</w:t>
      </w:r>
      <w:bookmarkEnd w:id="242"/>
      <w:bookmarkEnd w:id="243"/>
      <w:bookmarkEnd w:id="244"/>
      <w:bookmarkStart w:id="245" w:name="bk194"/>
      <w:bookmarkEnd w:id="245"/>
    </w:p>
    <w:p>
      <w:pPr>
        <w:ind w:firstLine="480"/>
      </w:pPr>
      <w:bookmarkStart w:id="246" w:name="bk195"/>
      <w:bookmarkEnd w:id="246"/>
      <w:r>
        <w:rPr>
          <w:rFonts w:hint="eastAsia"/>
        </w:rPr>
        <w:t>招标文件规定工期：根据现场实际情况确定的分组（每五栋楼为一组）及每组的具体开工时间进行，每组工期为12日历天。</w:t>
      </w:r>
    </w:p>
    <w:p>
      <w:pPr>
        <w:ind w:firstLine="480"/>
      </w:pPr>
      <w:r>
        <w:rPr>
          <w:rFonts w:hint="eastAsia"/>
        </w:rPr>
        <w:t>我单位工期目标：根据现场实际情况确定的分组（每五栋楼为一组）及每组的具体开工时间进行，每组工期为12日历天，本工程涉及1</w:t>
      </w:r>
      <w:r>
        <w:t>9</w:t>
      </w:r>
      <w:r>
        <w:rPr>
          <w:rFonts w:hint="eastAsia"/>
        </w:rPr>
        <w:t>栋楼，可分为4组。</w:t>
      </w:r>
    </w:p>
    <w:p>
      <w:pPr>
        <w:pStyle w:val="4"/>
        <w:spacing w:before="278" w:after="278"/>
        <w:ind w:firstLine="560"/>
      </w:pPr>
      <w:bookmarkStart w:id="247" w:name="_Toc6621"/>
      <w:bookmarkStart w:id="248" w:name="_Toc272"/>
      <w:bookmarkStart w:id="249" w:name="_Toc525107849"/>
      <w:r>
        <w:rPr>
          <w:rFonts w:hint="eastAsia"/>
        </w:rPr>
        <w:t>第二节 工期保证措施</w:t>
      </w:r>
      <w:bookmarkEnd w:id="247"/>
      <w:bookmarkEnd w:id="248"/>
      <w:bookmarkEnd w:id="249"/>
      <w:bookmarkStart w:id="250" w:name="bk196"/>
      <w:bookmarkEnd w:id="250"/>
    </w:p>
    <w:p>
      <w:pPr>
        <w:ind w:firstLine="480"/>
      </w:pPr>
      <w:r>
        <w:rPr>
          <w:rFonts w:hint="eastAsia"/>
        </w:rPr>
        <w:t>1、施工准备阶段组织保证</w:t>
      </w:r>
    </w:p>
    <w:p>
      <w:pPr>
        <w:ind w:firstLine="480"/>
      </w:pPr>
      <w:r>
        <w:rPr>
          <w:rFonts w:hint="eastAsia"/>
        </w:rPr>
        <w:t>⑴建立健全项目组织体系</w:t>
      </w:r>
    </w:p>
    <w:p>
      <w:pPr>
        <w:ind w:firstLine="480"/>
      </w:pPr>
      <w:r>
        <w:rPr>
          <w:rFonts w:hint="eastAsia"/>
        </w:rPr>
        <w:t>①尽早建立起适合本工程特点的项目管理机构，使各级人员尽快进入角色，以保证各项施工任务的分解尽早得到落实。</w:t>
      </w:r>
    </w:p>
    <w:p>
      <w:pPr>
        <w:ind w:firstLine="480"/>
      </w:pPr>
      <w:r>
        <w:rPr>
          <w:rFonts w:hint="eastAsia"/>
        </w:rPr>
        <w:t>②按项目法组织施工，充分发挥资源优化配置，动态管理的优势。</w:t>
      </w:r>
    </w:p>
    <w:p>
      <w:pPr>
        <w:ind w:firstLine="480"/>
      </w:pPr>
      <w:r>
        <w:rPr>
          <w:rFonts w:hint="eastAsia"/>
        </w:rPr>
        <w:t>③项目部主要管理和技术人员均由具有丰富工程施工经验的人员组成。项目经理、项目总工程师及项目总经济师等构成的领导决策层，相关人员自投标阶段开始至工程结束的整个施工过程中保持稳定不变。</w:t>
      </w:r>
    </w:p>
    <w:p>
      <w:pPr>
        <w:ind w:firstLine="480"/>
      </w:pPr>
      <w:r>
        <w:rPr>
          <w:rFonts w:hint="eastAsia"/>
        </w:rPr>
        <w:t>④施工作业层实行集约化管理，充分发挥各专业分我单位技术优势。</w:t>
      </w:r>
    </w:p>
    <w:p>
      <w:pPr>
        <w:ind w:firstLine="480"/>
      </w:pPr>
      <w:r>
        <w:rPr>
          <w:rFonts w:hint="eastAsia"/>
        </w:rPr>
        <w:t>⑤根据本工程性质及工程特点，施工作业层以我单位下属的一直从事爆破拆除工程施工任务的项目经理部为主要施工队伍，充分发挥施工优势，以保证各项施工任务的实施紧凑有序。</w:t>
      </w:r>
    </w:p>
    <w:p>
      <w:pPr>
        <w:ind w:firstLine="480"/>
      </w:pPr>
      <w:r>
        <w:rPr>
          <w:rFonts w:hint="eastAsia"/>
        </w:rPr>
        <w:t>⑵提前开展并完成各项施工准备工作</w:t>
      </w:r>
    </w:p>
    <w:p>
      <w:pPr>
        <w:ind w:firstLine="480"/>
      </w:pPr>
      <w:r>
        <w:rPr>
          <w:rFonts w:hint="eastAsia"/>
        </w:rPr>
        <w:t>①加快资源调配，确保人员、机械设备及所需物资及时进场。</w:t>
      </w:r>
    </w:p>
    <w:p>
      <w:pPr>
        <w:ind w:firstLine="480"/>
      </w:pPr>
      <w:r>
        <w:rPr>
          <w:rFonts w:hint="eastAsia"/>
        </w:rPr>
        <w:t>②以最快速度完成临时设施建设，为工程全面展开创造条件。</w:t>
      </w:r>
    </w:p>
    <w:p>
      <w:pPr>
        <w:ind w:firstLine="480"/>
      </w:pPr>
      <w:r>
        <w:rPr>
          <w:rFonts w:hint="eastAsia"/>
        </w:rPr>
        <w:t>③尽快编制各分部、分项工程的实施性方案，及时报业主、监理审核批准，使工程尽快达到开工条件。</w:t>
      </w:r>
    </w:p>
    <w:p>
      <w:pPr>
        <w:ind w:firstLine="480"/>
      </w:pPr>
      <w:r>
        <w:rPr>
          <w:rFonts w:hint="eastAsia"/>
        </w:rPr>
        <w:t>④结合本工程实际，制定工程管理及质量保证的各项具体措施和办法，实现标准化管理。为工程顺利实施奠定基础。</w:t>
      </w:r>
    </w:p>
    <w:p>
      <w:pPr>
        <w:ind w:firstLine="480"/>
      </w:pPr>
      <w:r>
        <w:rPr>
          <w:rFonts w:hint="eastAsia"/>
        </w:rPr>
        <w:t>2、施工过程组织保证</w:t>
      </w:r>
    </w:p>
    <w:p>
      <w:pPr>
        <w:ind w:firstLine="480"/>
      </w:pPr>
      <w:r>
        <w:rPr>
          <w:rFonts w:hint="eastAsia"/>
        </w:rPr>
        <w:t>⑴实现信息化管理，及时调整工期计划及资源配置：运用项目管理软件编制总体施工进度计划，并确定关键线路，以此为依据，制定“月、周”施工进度计划及各分部、分项工程的施工进度计划，在计划实施过程中，及时采集各种施工信息并通过软件进行数据处理及分析，根据分析结果及时调整工期计划及资源配置，以确保工期。</w:t>
      </w:r>
    </w:p>
    <w:p>
      <w:pPr>
        <w:ind w:firstLine="480"/>
      </w:pPr>
      <w:r>
        <w:rPr>
          <w:rFonts w:hint="eastAsia"/>
        </w:rPr>
        <w:t>⑵强化业务系统职责，严格执行岗位责任制：强化各业务系统职责，严格执行岗位责任制，将各项施工任务落实到人，保证全部岗位职责覆盖项目施工的全方位，无缺口，无重叠，从而通过人的工作质量确保目标工期的实现。</w:t>
      </w:r>
    </w:p>
    <w:p>
      <w:pPr>
        <w:ind w:firstLine="480"/>
      </w:pPr>
      <w:r>
        <w:rPr>
          <w:rFonts w:hint="eastAsia"/>
        </w:rPr>
        <w:t>⑶严格执行工地会议制度</w:t>
      </w:r>
    </w:p>
    <w:p>
      <w:pPr>
        <w:ind w:firstLine="480"/>
      </w:pPr>
      <w:r>
        <w:rPr>
          <w:rFonts w:hint="eastAsia"/>
        </w:rPr>
        <w:t>1）每天召开各作业队工作会，总结当日计划完成情况并安排次日工作计划，工作会由生产副经理主持，各作业队队长参加。根据现场情况组织临时协调会，加强现场指挥调度工作，使工程保持正常有序施工。</w:t>
      </w:r>
    </w:p>
    <w:p>
      <w:pPr>
        <w:ind w:firstLine="480"/>
      </w:pPr>
      <w:r>
        <w:rPr>
          <w:rFonts w:hint="eastAsia"/>
        </w:rPr>
        <w:t>2）主动加强与业主、监理等有关部门的联系，每周定期召开有业主、监理、设计、施工单位参加的工程例会，会中总结一周的工程进展情况及下周工作计划，对急需解决和亟待处理的问题进行讨论，并制定相应措施，确保下步工作顺利实施。</w:t>
      </w:r>
    </w:p>
    <w:p>
      <w:pPr>
        <w:ind w:firstLine="480"/>
      </w:pPr>
      <w:r>
        <w:rPr>
          <w:rFonts w:hint="eastAsia"/>
        </w:rPr>
        <w:t>3）及时组织分项、分部工程验收：对已完分项、分部工程项目特别是隐蔽工程及时组织验收，保证下道工序及时展开。</w:t>
      </w:r>
    </w:p>
    <w:p>
      <w:pPr>
        <w:ind w:firstLine="480"/>
      </w:pPr>
      <w:r>
        <w:rPr>
          <w:rFonts w:hint="eastAsia"/>
        </w:rPr>
        <w:t>4）制定并强化成品保护措施：制定并强化成品保护措施，保证施工过程中不出现成品、半成品由于人为因素损坏而造成返工、返修致使工期延误。</w:t>
      </w:r>
    </w:p>
    <w:p>
      <w:pPr>
        <w:ind w:firstLine="480"/>
      </w:pPr>
      <w:r>
        <w:rPr>
          <w:rFonts w:hint="eastAsia"/>
        </w:rPr>
        <w:t>3、施工计划保证</w:t>
      </w:r>
    </w:p>
    <w:p>
      <w:pPr>
        <w:ind w:firstLine="480"/>
      </w:pPr>
      <w:r>
        <w:rPr>
          <w:rFonts w:hint="eastAsia"/>
        </w:rPr>
        <w:t>⑴编制工程进度计划（详见附表）</w:t>
      </w:r>
    </w:p>
    <w:p>
      <w:pPr>
        <w:ind w:firstLine="480"/>
      </w:pPr>
      <w:r>
        <w:rPr>
          <w:rFonts w:hint="eastAsia"/>
        </w:rPr>
        <w:t>①按照施工部署总体原则编制总体施工进度控制计划，并根据工程项目、工程量、施工条件及拟采取的施工工艺、拟投入的施工人员及机械设备等情况划分施工区段，以形成有效的平行施工和有序的流水作业。</w:t>
      </w:r>
    </w:p>
    <w:p>
      <w:pPr>
        <w:ind w:firstLine="480"/>
      </w:pPr>
      <w:r>
        <w:rPr>
          <w:rFonts w:hint="eastAsia"/>
        </w:rPr>
        <w:t>②工期控制计划中必须对各分部、分项工程施工计划进行分解，并依据分解计划，分析各工程项目、各工序的逻辑关系，确定关键线路工期，将各项资源进行合理配置及科学运用，从而通过确保关键线路工期的实现，最终保证总工期的实现。</w:t>
      </w:r>
    </w:p>
    <w:p>
      <w:pPr>
        <w:ind w:firstLine="480"/>
      </w:pPr>
      <w:r>
        <w:rPr>
          <w:rFonts w:hint="eastAsia"/>
        </w:rPr>
        <w:t>⑵编制物资采购计划</w:t>
      </w:r>
    </w:p>
    <w:p>
      <w:pPr>
        <w:ind w:firstLine="480"/>
      </w:pPr>
      <w:r>
        <w:rPr>
          <w:rFonts w:hint="eastAsia"/>
        </w:rPr>
        <w:t>①一次性备料计划：在接到施工图纸后，立即组织技术及有关人员进行图纸审核，并及时与设计单位联系对图纸问题进行澄清，及时编制一次性备料计划报物资部门，使物资部门详细掌握工程所需各种材料及计划进场时间，保证各种材料能够提前联系、定购、储备，避免在施工过程中出现停工待料现象而使工期延误。</w:t>
      </w:r>
    </w:p>
    <w:p>
      <w:pPr>
        <w:ind w:firstLine="480"/>
      </w:pPr>
      <w:r>
        <w:rPr>
          <w:rFonts w:hint="eastAsia"/>
        </w:rPr>
        <w:t>②计划及追补计划：根据每月施工进度计划安排，定期向物资部门提供下月所需各种材料计划，同时，根据当月工程计划调整情况，对所需材料做出追补计划，从而使物资采购能够有的放矢，以保证月计划按期实现。</w:t>
      </w:r>
    </w:p>
    <w:p>
      <w:pPr>
        <w:ind w:firstLine="480"/>
      </w:pPr>
      <w:r>
        <w:rPr>
          <w:rFonts w:hint="eastAsia"/>
        </w:rPr>
        <w:t>③编制资金使用计划</w:t>
      </w:r>
    </w:p>
    <w:p>
      <w:pPr>
        <w:ind w:firstLine="480"/>
      </w:pPr>
      <w:r>
        <w:rPr>
          <w:rFonts w:hint="eastAsia"/>
        </w:rPr>
        <w:t>根据总体施工进度计划，对季度及月资金需用量进行估算，并编制使用计划，保证工程预付款及工程结算款等能够合理运用，从而确保总体进度计划按期实现。</w:t>
      </w:r>
    </w:p>
    <w:p>
      <w:pPr>
        <w:ind w:firstLine="480"/>
      </w:pPr>
      <w:r>
        <w:rPr>
          <w:rFonts w:hint="eastAsia"/>
        </w:rPr>
        <w:t>4、施工技术保证</w:t>
      </w:r>
    </w:p>
    <w:p>
      <w:pPr>
        <w:ind w:firstLine="480"/>
      </w:pPr>
      <w:r>
        <w:rPr>
          <w:rFonts w:hint="eastAsia"/>
        </w:rPr>
        <w:t>技术上，技术人员根据进度计划要求，及早作好施工方案、技术交底、备料计划，积极采用新工艺、新技术，提高劳动生产率。工程上，做到能使用机械的不用人工施工，合理安排工序的衔接和插入，减少工序间的间歇时间，做到有序合理的流水施工，控制施工节拍，调节劳动时间，防止工序停顿，以缩短工期，达到工期目标的实现。</w:t>
      </w:r>
    </w:p>
    <w:p>
      <w:pPr>
        <w:ind w:firstLine="480"/>
      </w:pPr>
      <w:r>
        <w:rPr>
          <w:rFonts w:hint="eastAsia"/>
        </w:rPr>
        <w:t>⑴认真识图，深入调查现场情况，根据实际情况编制切实可行的技术交底。对工程重点、难点，制定合理的施工方案，提前做好施工准备工作，技术保证措施得力。</w:t>
      </w:r>
    </w:p>
    <w:p>
      <w:pPr>
        <w:bidi w:val="0"/>
      </w:pPr>
      <w:r>
        <w:rPr>
          <w:rFonts w:hint="eastAsia"/>
        </w:rPr>
        <w:t>⑵确定合理的施工工序，组织好各工序的交叉施工，充分利用工作面平行施工，加快施工速度，缩短有效工期。</w:t>
      </w:r>
    </w:p>
    <w:p>
      <w:pPr>
        <w:ind w:firstLine="480"/>
      </w:pPr>
      <w:r>
        <w:rPr>
          <w:rFonts w:hint="eastAsia"/>
        </w:rPr>
        <w:t>⑶结合工程进度计划，编制详细的材料使用计划，保证材料供应满足施工需要。</w:t>
      </w:r>
    </w:p>
    <w:p>
      <w:pPr>
        <w:ind w:firstLine="480"/>
      </w:pPr>
      <w:r>
        <w:rPr>
          <w:rFonts w:hint="eastAsia"/>
        </w:rPr>
        <w:t>⑷施工过程中坚决落实“三检”制，确保质量验收一次合格，避免返工现象发生。</w:t>
      </w:r>
    </w:p>
    <w:p>
      <w:pPr>
        <w:ind w:firstLine="480"/>
      </w:pPr>
      <w:r>
        <w:rPr>
          <w:rFonts w:hint="eastAsia"/>
        </w:rPr>
        <w:t>5、施工环境保证</w:t>
      </w:r>
    </w:p>
    <w:p>
      <w:pPr>
        <w:ind w:firstLine="480"/>
      </w:pPr>
      <w:r>
        <w:rPr>
          <w:rFonts w:hint="eastAsia"/>
        </w:rPr>
        <w:t>项目部设专人负责地方关系的协调，为工程的顺利施工创造一个良好的外界环境。加强与业主、监理、设计和管理单位的联系，保证信息交流畅通。加强例会制度，解决矛盾，协调关系，保证按照施工进度计划进行。</w:t>
      </w:r>
    </w:p>
    <w:p>
      <w:pPr>
        <w:pStyle w:val="3"/>
        <w:spacing w:before="278" w:after="278"/>
      </w:pPr>
      <w:bookmarkStart w:id="251" w:name="_Toc7510"/>
      <w:bookmarkStart w:id="252" w:name="_Toc525107850"/>
      <w:r>
        <w:rPr>
          <w:rFonts w:hint="eastAsia"/>
        </w:rPr>
        <w:t>第七章 质量管理体系与措施</w:t>
      </w:r>
      <w:bookmarkEnd w:id="251"/>
      <w:bookmarkEnd w:id="252"/>
    </w:p>
    <w:p>
      <w:pPr>
        <w:pStyle w:val="4"/>
        <w:spacing w:before="278" w:after="278"/>
        <w:ind w:firstLine="560"/>
      </w:pPr>
      <w:bookmarkStart w:id="253" w:name="_Toc3407"/>
      <w:bookmarkStart w:id="254" w:name="_Toc525107851"/>
      <w:bookmarkStart w:id="255" w:name="_Toc2086"/>
      <w:r>
        <w:rPr>
          <w:rFonts w:hint="eastAsia"/>
        </w:rPr>
        <w:t>第一节 质量目标</w:t>
      </w:r>
      <w:bookmarkEnd w:id="253"/>
      <w:bookmarkEnd w:id="254"/>
      <w:bookmarkEnd w:id="255"/>
      <w:bookmarkStart w:id="256" w:name="bk199"/>
      <w:bookmarkEnd w:id="256"/>
    </w:p>
    <w:p>
      <w:pPr>
        <w:ind w:firstLine="480"/>
      </w:pPr>
      <w:bookmarkStart w:id="257" w:name="bk200"/>
      <w:bookmarkEnd w:id="257"/>
      <w:r>
        <w:rPr>
          <w:rFonts w:hint="eastAsia"/>
        </w:rPr>
        <w:t>本工程的质量目标是：合格，实现过程精品控制。</w:t>
      </w:r>
    </w:p>
    <w:p>
      <w:pPr>
        <w:pStyle w:val="4"/>
        <w:spacing w:before="278" w:after="278"/>
        <w:ind w:firstLine="560"/>
      </w:pPr>
      <w:bookmarkStart w:id="258" w:name="_Toc31564"/>
      <w:bookmarkStart w:id="259" w:name="_Toc25957"/>
      <w:bookmarkStart w:id="260" w:name="_Toc525107852"/>
      <w:r>
        <w:rPr>
          <w:rFonts w:hint="eastAsia"/>
        </w:rPr>
        <w:t>第二节 质量保证体系</w:t>
      </w:r>
      <w:bookmarkEnd w:id="258"/>
      <w:bookmarkEnd w:id="259"/>
      <w:bookmarkEnd w:id="260"/>
      <w:bookmarkStart w:id="261" w:name="bk201"/>
      <w:bookmarkEnd w:id="261"/>
    </w:p>
    <w:p>
      <w:pPr>
        <w:ind w:firstLine="480"/>
      </w:pPr>
      <w:bookmarkStart w:id="262" w:name="bk202"/>
      <w:bookmarkEnd w:id="262"/>
      <w:r>
        <w:rPr>
          <w:rFonts w:hint="eastAsia"/>
        </w:rPr>
        <w:t>根据业主对工程质量和工期的要求，我单位决定由具有同类型工程施工经验、实力雄厚的项目经理部承担该项目的施工，项目经理为国家一级资质的项目经理，总工程师由高级工程师担任。该项目经理部设技术质量部，下设试验室、资料室及测量室，单位质量部和技术部给予指导和监督，单位施工管理部负责协调单位各分包单位的工作。</w:t>
      </w:r>
    </w:p>
    <w:p>
      <w:pPr>
        <w:ind w:firstLine="480"/>
      </w:pPr>
      <w:r>
        <w:rPr>
          <w:rFonts w:hint="eastAsia"/>
        </w:rPr>
        <w:t>我单位已顺利通过质量标准的认证。在本项目中,我单位将一如既往的贯彻我单位的质量方针，依据业主要求，结合本单位系统工作程序，严密组织，精心施工，以科学的管理和先进的技术，创造出“精品工程”。</w:t>
      </w:r>
    </w:p>
    <w:p>
      <w:pPr>
        <w:ind w:firstLine="480"/>
      </w:pPr>
      <w:r>
        <w:rPr>
          <w:rFonts w:hint="eastAsia"/>
        </w:rPr>
        <w:t>为此，我单位将建立以项目经理为核心的质保体系；选派有丰富施工经验的人员（全部主要管理人员达到大专以上学历，现场旁站人员具有中专以上学历）进行逐级管理；成立专门的质量小组，负责开展创优的各项工作；配备专门的数码相机、摄象机，施工期间随时记录，全过程进行录像，以留下必要的隐检影像资料。施工质量管理中通过加强现场质检人员数量，进行全方位质量控制，由质检人员对主要工序进行24 小时旁站，将问题消灭在过程中。</w:t>
      </w:r>
    </w:p>
    <w:p>
      <w:pPr>
        <w:ind w:firstLine="480"/>
      </w:pPr>
      <w:r>
        <w:rPr>
          <w:rFonts w:hint="eastAsia"/>
        </w:rPr>
        <w:t>本工程计划配备一名质量主管，2 名质检员，2 名管线质检员，1 名试验室主任，3 名试验员，3 名现场试验测人员。项目部设2 名专职资料员，分别负责建筑拆除施工的技术资料收集、整理工作。质量管理体系详见下图</w:t>
      </w:r>
    </w:p>
    <w:p>
      <w:pPr>
        <w:ind w:firstLine="480"/>
        <w:jc w:val="left"/>
        <w:rPr>
          <w:rFonts w:hAnsi="宋体" w:cs="Arial"/>
          <w:kern w:val="0"/>
        </w:rPr>
      </w:pPr>
    </w:p>
    <w:p>
      <w:pPr>
        <w:ind w:firstLine="0" w:firstLineChars="0"/>
        <w:jc w:val="center"/>
      </w:pPr>
      <w:r>
        <w:rPr>
          <w:rFonts w:hint="eastAsia"/>
        </w:rPr>
        <w:drawing>
          <wp:inline distT="0" distB="0" distL="114300" distR="114300">
            <wp:extent cx="5739765" cy="3161030"/>
            <wp:effectExtent l="0" t="0" r="13335" b="1270"/>
            <wp:docPr id="175" name="图片 5" descr="质量保证体系框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5" descr="质量保证体系框图"/>
                    <pic:cNvPicPr>
                      <a:picLocks noChangeAspect="1"/>
                    </pic:cNvPicPr>
                  </pic:nvPicPr>
                  <pic:blipFill>
                    <a:blip r:embed="rId10"/>
                    <a:stretch>
                      <a:fillRect/>
                    </a:stretch>
                  </pic:blipFill>
                  <pic:spPr>
                    <a:xfrm>
                      <a:off x="0" y="0"/>
                      <a:ext cx="5739765" cy="3161030"/>
                    </a:xfrm>
                    <a:prstGeom prst="rect">
                      <a:avLst/>
                    </a:prstGeom>
                    <a:noFill/>
                    <a:ln>
                      <a:noFill/>
                    </a:ln>
                  </pic:spPr>
                </pic:pic>
              </a:graphicData>
            </a:graphic>
          </wp:inline>
        </w:drawing>
      </w:r>
    </w:p>
    <w:p>
      <w:pPr>
        <w:pStyle w:val="4"/>
        <w:spacing w:before="278" w:after="278"/>
        <w:ind w:firstLine="560"/>
      </w:pPr>
      <w:bookmarkStart w:id="263" w:name="_Toc525107853"/>
      <w:r>
        <w:rPr>
          <w:rFonts w:hint="eastAsia"/>
        </w:rPr>
        <w:t>第三节</w:t>
      </w:r>
      <w:bookmarkStart w:id="264" w:name="_Toc20373"/>
      <w:bookmarkStart w:id="265" w:name="_Toc2287"/>
      <w:r>
        <w:rPr>
          <w:rFonts w:hint="eastAsia"/>
        </w:rPr>
        <w:t xml:space="preserve"> 质量保证措施</w:t>
      </w:r>
      <w:bookmarkEnd w:id="263"/>
      <w:bookmarkEnd w:id="264"/>
      <w:bookmarkEnd w:id="265"/>
      <w:bookmarkStart w:id="266" w:name="bk203"/>
      <w:bookmarkEnd w:id="266"/>
    </w:p>
    <w:p>
      <w:pPr>
        <w:ind w:firstLine="480"/>
      </w:pPr>
      <w:r>
        <w:rPr>
          <w:rFonts w:hint="eastAsia"/>
        </w:rPr>
        <w:t>1、施工管理保证措施</w:t>
      </w:r>
    </w:p>
    <w:p>
      <w:pPr>
        <w:ind w:firstLine="480"/>
      </w:pPr>
      <w:r>
        <w:rPr>
          <w:rFonts w:hint="eastAsia"/>
        </w:rPr>
        <w:t>⑴项目经理部认真执行《建设工程质量管理条例》，实行工程质量负责人责任制和工程质量终身负责制，项目经理是质量第一责任人。项目经理部根据工程质量目标制定本工程的质量管理制度及创优规划，认真做好施工组织及各项制度、措施的落实。严格执行“工程质量一票否决制”。</w:t>
      </w:r>
    </w:p>
    <w:p>
      <w:pPr>
        <w:ind w:firstLine="480"/>
      </w:pPr>
      <w:r>
        <w:rPr>
          <w:rFonts w:hint="eastAsia"/>
        </w:rPr>
        <w:t>⑵认真贯彻执行“百年大计、质量第一”的方针，加强对施工人员的质量教育、施工管理、强化质量意识。严格按照设计图纸、专用条款明确的规范和标准、国家及秦皇岛市有关标准规定的要求组织施工。</w:t>
      </w:r>
    </w:p>
    <w:p>
      <w:pPr>
        <w:ind w:firstLine="480"/>
      </w:pPr>
      <w:r>
        <w:rPr>
          <w:rFonts w:hint="eastAsia"/>
        </w:rPr>
        <w:t>⑶严格执行国家</w:t>
      </w:r>
      <w:bookmarkStart w:id="520" w:name="_GoBack"/>
      <w:bookmarkEnd w:id="520"/>
      <w:r>
        <w:rPr>
          <w:rFonts w:hint="eastAsia"/>
        </w:rPr>
        <w:t>、秦皇岛市、业主、监理工程师颁发的各项质量管理办法，接受市政工程质量监督站对建设工程质量实施监督管理。积极参加监理工程师组织的现场例会，认真落实会议纪要。</w:t>
      </w:r>
    </w:p>
    <w:p>
      <w:pPr>
        <w:ind w:firstLine="480"/>
      </w:pPr>
      <w:r>
        <w:rPr>
          <w:rFonts w:hint="eastAsia"/>
        </w:rPr>
        <w:t>⑷定期召开内部生产协调会，总结和检查前一阶段工期、质量、安全情况，有针对性的采取改进措施，布置下一阶段工作重点，确保工程质量得到持续改进和提高。</w:t>
      </w:r>
    </w:p>
    <w:p>
      <w:pPr>
        <w:ind w:firstLine="480"/>
      </w:pPr>
      <w:r>
        <w:rPr>
          <w:rFonts w:hint="eastAsia"/>
        </w:rPr>
        <w:t>⑸人员组织与安排</w:t>
      </w:r>
    </w:p>
    <w:p>
      <w:pPr>
        <w:ind w:firstLine="480"/>
      </w:pPr>
      <w:r>
        <w:rPr>
          <w:rFonts w:hint="eastAsia"/>
        </w:rPr>
        <w:t>健全质量管理组织，完善质量保证体系。配齐配足施工管理、技术人员及技术工人，切实做到责任明确、工种齐全、奖罚及时，使每个人的切身利益与工程质量挂钩。</w:t>
      </w:r>
    </w:p>
    <w:p>
      <w:pPr>
        <w:ind w:firstLine="480"/>
      </w:pPr>
      <w:r>
        <w:rPr>
          <w:rFonts w:hint="eastAsia"/>
        </w:rPr>
        <w:t>投入本工程的主要管理人员及施工技术人员，均参加过多项拆除爆破工程施工，具有丰富的建筑拆除施工经验。</w:t>
      </w:r>
    </w:p>
    <w:p>
      <w:pPr>
        <w:ind w:firstLine="480"/>
      </w:pPr>
      <w:r>
        <w:rPr>
          <w:rFonts w:hint="eastAsia"/>
        </w:rPr>
        <w:t>为保证本工程的建设质量，成立以我单位总工程师为组长，定期或不定期深入现场，帮助现场优化施工方案、解决施工技术难题。</w:t>
      </w:r>
    </w:p>
    <w:p>
      <w:pPr>
        <w:ind w:firstLine="480"/>
      </w:pPr>
      <w:r>
        <w:rPr>
          <w:rFonts w:hint="eastAsia"/>
        </w:rPr>
        <w:t>配备熟练的技术工人，如壮工、电工、电焊工、安装工、机械工、架子工、起重工、钢筋工等技术工人，严格执行持证上岗制度，对规定持证上岗的人员全部进行岗前培训，考试合格、取得岗位证书后上岗。</w:t>
      </w:r>
    </w:p>
    <w:p>
      <w:pPr>
        <w:ind w:firstLine="480"/>
      </w:pPr>
      <w:r>
        <w:rPr>
          <w:rFonts w:hint="eastAsia"/>
        </w:rPr>
        <w:t>具体标准如下：</w:t>
      </w:r>
    </w:p>
    <w:p>
      <w:pPr>
        <w:ind w:firstLine="480"/>
      </w:pP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rPr>
          <w:rFonts w:hint="eastAsia"/>
        </w:rPr>
        <w:t>本项目的管理人员，均由取得相应的专业技术职称或受过专业技术培训，</w:t>
      </w:r>
    </w:p>
    <w:p>
      <w:pPr>
        <w:ind w:firstLine="480"/>
      </w:pPr>
      <w:r>
        <w:rPr>
          <w:rFonts w:hint="eastAsia"/>
        </w:rPr>
        <w:t>并具有一定的建筑拆除工程施工及管理经验的技术、经济人员组成。</w:t>
      </w:r>
    </w:p>
    <w:p>
      <w:pPr>
        <w:ind w:firstLine="480"/>
      </w:pPr>
      <w:r>
        <w:rPr>
          <w:rFonts w:hint="eastAsia"/>
        </w:rPr>
        <w:t>②所有特殊工种人员、各种领班以上人员均具有符合有关规定的资质。专业工种人员均按照国家有关规定进行培训考核，获取上岗证及相应技术等级，持证上岗。新工人、变换工种工人上岗前将对其进行岗前培训，考核合格后上岗。</w:t>
      </w:r>
    </w:p>
    <w:p>
      <w:pPr>
        <w:ind w:firstLine="480"/>
      </w:pPr>
      <w:r>
        <w:rPr>
          <w:rFonts w:hint="eastAsia"/>
        </w:rPr>
        <w:t>③施工中采用新技术、新工艺、新设备、新材料前，编制施工工艺及具体要求，组织专业技术人员对操作者进行培训。</w:t>
      </w:r>
    </w:p>
    <w:p>
      <w:pPr>
        <w:ind w:firstLine="480"/>
      </w:pPr>
      <w:r>
        <w:rPr>
          <w:rFonts w:hint="eastAsia"/>
        </w:rPr>
        <w:t>2、施工技术保证措施</w:t>
      </w:r>
    </w:p>
    <w:p>
      <w:pPr>
        <w:ind w:firstLine="480"/>
      </w:pPr>
      <w:r>
        <w:rPr>
          <w:rFonts w:hint="eastAsia"/>
        </w:rPr>
        <w:t>（1）严格执行设计文件、图纸及施工设计复核签字制度。总工程师组织经理部技术人员详细熟悉、审核施工设计图纸及资料，发现问题，及时报告监理工程师，审核完成并由总工程师签字后交付使用。</w:t>
      </w:r>
    </w:p>
    <w:p>
      <w:pPr>
        <w:ind w:firstLine="480"/>
      </w:pPr>
      <w:r>
        <w:rPr>
          <w:rFonts w:hint="eastAsia"/>
        </w:rPr>
        <w:t>（2）严格执行技术交底制度。</w:t>
      </w:r>
    </w:p>
    <w:p>
      <w:pPr>
        <w:ind w:firstLine="480"/>
      </w:pPr>
      <w:r>
        <w:rPr>
          <w:rFonts w:hint="eastAsia"/>
        </w:rPr>
        <w:t>①将各分项工程的技术标准、质量标准、施工方法、施工工艺、保证质量及安全措施等向领工员、工班长书面交底。</w:t>
      </w:r>
    </w:p>
    <w:p>
      <w:pPr>
        <w:ind w:firstLine="480"/>
      </w:pPr>
      <w:r>
        <w:rPr>
          <w:rFonts w:hint="eastAsia"/>
        </w:rPr>
        <w:t>②施工技术交底，执行书面交底，包括结构图、表和文字说明。交底资料详细准确、直观，符合设计、施工规范和工艺细则要求,交底资料经第二人复核确认无误签字后，交付领工员、工班长签收。交底资料妥善保存备查。</w:t>
      </w:r>
    </w:p>
    <w:p>
      <w:pPr>
        <w:ind w:firstLine="480"/>
      </w:pPr>
      <w:r>
        <w:rPr>
          <w:rFonts w:hint="eastAsia"/>
        </w:rPr>
        <w:t>③工程开工前，项目经理部技术部门根据设计文件、图纸编制“施工手册”，向施工管理人员进行工程内容交底。“施工手册”内容包括工程名称、工程范围、工程数量、技术标准、质量标准、工期要求、结构尺寸等内容。</w:t>
      </w:r>
    </w:p>
    <w:p>
      <w:pPr>
        <w:ind w:firstLine="480"/>
      </w:pPr>
      <w:r>
        <w:rPr>
          <w:rFonts w:hint="eastAsia"/>
        </w:rPr>
        <w:t>（3）编制实施性施工组织设计，按施工网络计划节点工期分段控制，实现均衡生产，保证工程质量。</w:t>
      </w:r>
    </w:p>
    <w:p>
      <w:pPr>
        <w:ind w:firstLine="480"/>
      </w:pPr>
      <w:r>
        <w:rPr>
          <w:rFonts w:hint="eastAsia"/>
        </w:rPr>
        <w:t>（4）为了更好地建设好本工程，施工过程中不断地进行施工方案优化工作，以求得施工方案的先进、科学和保证工程质量。</w:t>
      </w:r>
    </w:p>
    <w:p>
      <w:pPr>
        <w:ind w:firstLine="480"/>
      </w:pPr>
      <w:r>
        <w:rPr>
          <w:rFonts w:hint="eastAsia"/>
        </w:rPr>
        <w:t>（5）为适应信息化管理的要求，我单位将进行施工技术的信息化管理，即施工计划进度网络、工程质量、施工安全、资源管理、工况变化、设计变更、施工监测等全部进入计算机系统，采用先进的管理软件，对施工全过程进行控制，实现“一次调整，全盘优化”的目标。</w:t>
      </w:r>
    </w:p>
    <w:p>
      <w:pPr>
        <w:ind w:firstLine="480"/>
      </w:pPr>
      <w:r>
        <w:rPr>
          <w:rFonts w:hint="eastAsia"/>
        </w:rPr>
        <w:t>（6）工程设计变更：施工中不擅自对本工程设计进行变更。施工中提合理化建议涉及对设计图纸或“施组”的变更及对材料、设备的换用，报请监理工程师批准后实施。</w:t>
      </w:r>
    </w:p>
    <w:p>
      <w:pPr>
        <w:ind w:firstLine="480"/>
      </w:pPr>
      <w:r>
        <w:rPr>
          <w:rFonts w:hint="eastAsia"/>
        </w:rPr>
        <w:t>（7）关键工序实施前编制详细的工艺细则及作业指导书，并有明确的技术要求和质量标准，并对有关人员进行培训和技术交底。</w:t>
      </w:r>
    </w:p>
    <w:p>
      <w:pPr>
        <w:ind w:firstLine="480"/>
      </w:pPr>
      <w:r>
        <w:rPr>
          <w:rFonts w:hint="eastAsia"/>
        </w:rPr>
        <w:t>（8）严格执行隐蔽工程检查制度。工序完成后经自检、互检、质检工程师专检合格后，填写隐蔽工程检查证，报监理工程师，经监理工程师检查签认后，再进行下道工序施工。</w:t>
      </w:r>
    </w:p>
    <w:p>
      <w:pPr>
        <w:ind w:firstLine="480"/>
      </w:pPr>
      <w:r>
        <w:rPr>
          <w:rFonts w:hint="eastAsia"/>
        </w:rPr>
        <w:t>（9）加强施工监测工作，利用监测数据分析施工现状，并采取相应的处理办法。</w:t>
      </w:r>
    </w:p>
    <w:p>
      <w:pPr>
        <w:ind w:firstLine="480"/>
      </w:pPr>
      <w:r>
        <w:rPr>
          <w:rFonts w:hint="eastAsia"/>
        </w:rPr>
        <w:t>（1</w:t>
      </w:r>
      <w:r>
        <w:t>0</w:t>
      </w:r>
      <w:r>
        <w:rPr>
          <w:rFonts w:hint="eastAsia"/>
        </w:rPr>
        <w:t>）由项目总工程师定期组织技术人员、质检人员、工班长、领工员等对施工现场进行检查，分析工程质量要点，制定预防措施。</w:t>
      </w:r>
    </w:p>
    <w:p>
      <w:pPr>
        <w:pStyle w:val="4"/>
        <w:spacing w:before="278" w:after="278"/>
        <w:ind w:firstLine="560"/>
      </w:pPr>
      <w:bookmarkStart w:id="267" w:name="_Toc525107854"/>
      <w:r>
        <w:rPr>
          <w:rFonts w:hint="eastAsia"/>
        </w:rPr>
        <w:t xml:space="preserve">第四节  </w:t>
      </w:r>
      <w:bookmarkStart w:id="268" w:name="_Toc28070"/>
      <w:bookmarkStart w:id="269" w:name="_Toc3179"/>
      <w:r>
        <w:t>"精品工程"保证措施</w:t>
      </w:r>
      <w:bookmarkEnd w:id="267"/>
      <w:bookmarkEnd w:id="268"/>
      <w:bookmarkEnd w:id="269"/>
      <w:bookmarkStart w:id="270" w:name="bk205"/>
      <w:bookmarkEnd w:id="270"/>
    </w:p>
    <w:p>
      <w:pPr>
        <w:ind w:firstLine="480"/>
      </w:pPr>
      <w:r>
        <w:rPr>
          <w:rFonts w:hint="eastAsia"/>
        </w:rPr>
        <w:t>1、完善体系、抓思想观念，树精品意识</w:t>
      </w:r>
    </w:p>
    <w:p>
      <w:pPr>
        <w:ind w:firstLine="480"/>
      </w:pPr>
      <w:r>
        <w:rPr>
          <w:rFonts w:hint="eastAsia"/>
        </w:rPr>
        <w:t>打造“精品工程”，离不开完善的施工自保体系，在本项目中，我单位将按照业主制定的“精品工程施工自保体系标准”进行施工要素的配置，项目经理、项目总工、主要技术管理人员的资历不低于标准的要求，保证生产组织系统、质控系统、计量支付系统、机械设备系统完备，为“精品工程”的实施保驾护航。</w:t>
      </w:r>
    </w:p>
    <w:p>
      <w:pPr>
        <w:ind w:firstLine="480"/>
      </w:pPr>
      <w:r>
        <w:rPr>
          <w:rFonts w:hint="eastAsia"/>
        </w:rPr>
        <w:t>在本项目班子组建伊始，便组织班子成员认真学习《招标文件》，深刻领会文件精神的内涵和精品工程的实质，深刻领悟建设精品工程、打造企业品牌对企业生存发展的重要性，把建设精品工程提高到事关企业的生死存亡的高度上来看待，在项目部全体员工中营造一种“人人抓精品、处处为精品”的良好氛围，使精品意识深入人心。</w:t>
      </w:r>
    </w:p>
    <w:p>
      <w:pPr>
        <w:ind w:firstLine="480"/>
      </w:pPr>
      <w:r>
        <w:rPr>
          <w:rFonts w:hint="eastAsia"/>
        </w:rPr>
        <w:t>2、建设精品，从根源抓起</w:t>
      </w:r>
    </w:p>
    <w:p>
      <w:pPr>
        <w:ind w:firstLine="480"/>
      </w:pPr>
      <w:r>
        <w:rPr>
          <w:rFonts w:hint="eastAsia"/>
        </w:rPr>
        <w:t>建设精品工程，除牢固树立精品意识还必须从根源抓起，一抓原材料、二抓生产者。</w:t>
      </w:r>
    </w:p>
    <w:p>
      <w:pPr>
        <w:ind w:firstLine="480"/>
      </w:pPr>
      <w:r>
        <w:rPr>
          <w:rFonts w:hint="eastAsia"/>
        </w:rPr>
        <w:t>高标准、高质量的原材料是建设精品工程的基础。在本项目的实施过程中，我单位将狠抓原材质量，由项目总工会同质检员、材料员、试验员共把原材质量关。</w:t>
      </w:r>
    </w:p>
    <w:p>
      <w:pPr>
        <w:ind w:firstLine="480"/>
      </w:pPr>
      <w:r>
        <w:rPr>
          <w:rFonts w:hint="eastAsia"/>
        </w:rPr>
        <w:t>在材料定购前，进行广泛的市场调查，对其生产资质、质量监督站的备案情况、业主的认可情况全面摸底，参照业主提供的候选厂家名单，结合运距等因素择优选取。</w:t>
      </w:r>
    </w:p>
    <w:p>
      <w:pPr>
        <w:ind w:firstLine="480"/>
      </w:pPr>
      <w:r>
        <w:rPr>
          <w:rFonts w:hint="eastAsia"/>
        </w:rPr>
        <w:t>对重要的原材料坚持先报批，后使用的原则，在进行实地考察的基础上，加强过程控制，严格准入机制。项目经理部派专职质量监督员，以总包人的身份，参与并监督材料加工生产质量，负责出厂前的验收、标识，无项目部统一标识的产品谢绝进场。</w:t>
      </w:r>
    </w:p>
    <w:p>
      <w:pPr>
        <w:ind w:firstLine="480"/>
      </w:pPr>
      <w:r>
        <w:rPr>
          <w:rFonts w:hint="eastAsia"/>
        </w:rPr>
        <w:t>加强原材料生产的过程控制，严格准入机制，执行验收制度和复试制度。</w:t>
      </w:r>
    </w:p>
    <w:p>
      <w:pPr>
        <w:ind w:firstLine="480"/>
      </w:pPr>
      <w:r>
        <w:rPr>
          <w:rFonts w:hint="eastAsia"/>
        </w:rPr>
        <w:t>材料进场时，由技术员、质量员、试验员、材料员联合验收，检查其出厂合格证及相关的试验报告；由现场试验员按照《现场试验检测规程》按批次取样复试，经复试合格方可使用，否则一律退场。</w:t>
      </w:r>
    </w:p>
    <w:p>
      <w:pPr>
        <w:ind w:firstLine="480"/>
      </w:pPr>
      <w:r>
        <w:rPr>
          <w:rFonts w:hint="eastAsia"/>
        </w:rPr>
        <w:t>施工工人是建筑产品的直接生产者，施工技术水平直接关系到产品的质量。</w:t>
      </w:r>
    </w:p>
    <w:p>
      <w:pPr>
        <w:ind w:firstLine="480"/>
      </w:pPr>
      <w:r>
        <w:rPr>
          <w:rFonts w:hint="eastAsia"/>
        </w:rPr>
        <w:t>我单位将一如既往地择优选取、使用常年随我部施工，有良好同类工程业绩的专业施工队伍，要求他们是管理严格，成建制，技术精湛，施工规范的文明之师，为打造精品工程提供有力的人员保证。</w:t>
      </w:r>
    </w:p>
    <w:p>
      <w:pPr>
        <w:ind w:firstLine="480"/>
      </w:pPr>
      <w:r>
        <w:rPr>
          <w:rFonts w:hint="eastAsia"/>
        </w:rPr>
        <w:t>确保作业队中技术工人比例不少于60%，组织完善，班组分工明确，配备有专职质量检查员，完成作业队内部自检自查工作，与项目经理部专职质检员共同完成工程质量检查和验收。</w:t>
      </w:r>
    </w:p>
    <w:p>
      <w:pPr>
        <w:ind w:firstLine="480"/>
      </w:pPr>
      <w:r>
        <w:rPr>
          <w:rFonts w:hint="eastAsia"/>
        </w:rPr>
        <w:t>3、建设精品，在管理上下功夫</w:t>
      </w:r>
    </w:p>
    <w:p>
      <w:pPr>
        <w:ind w:firstLine="480"/>
      </w:pPr>
      <w:r>
        <w:rPr>
          <w:rFonts w:hint="eastAsia"/>
        </w:rPr>
        <w:t>⑴提高技术质量标准，执行比优质工程更高的技术和质量标准，从根本上提高质量。</w:t>
      </w:r>
    </w:p>
    <w:p>
      <w:pPr>
        <w:ind w:firstLine="480"/>
      </w:pPr>
      <w:r>
        <w:rPr>
          <w:rFonts w:hint="eastAsia"/>
        </w:rPr>
        <w:t>⑵加强施工组织管理，坚持施工过程三级验收制度</w:t>
      </w:r>
    </w:p>
    <w:p>
      <w:pPr>
        <w:ind w:firstLine="480"/>
      </w:pPr>
      <w:r>
        <w:rPr>
          <w:rFonts w:hint="eastAsia"/>
        </w:rPr>
        <w:t>加强工序自检自查，及时消灭质量隐患。班组设专职质量检查员，项目部设专职质检工程师，与现场监理共同形成三级验收体系，坚持施工过程三级验收制度。</w:t>
      </w:r>
    </w:p>
    <w:p>
      <w:pPr>
        <w:ind w:firstLine="480"/>
      </w:pPr>
      <w:r>
        <w:rPr>
          <w:rFonts w:hint="eastAsia"/>
        </w:rPr>
        <w:t>班组质量检查员负责工序自检自查，填写《工序自检记录》，自检合格后，会同项目部专职质检工程师共同验收，并填写《工序交接检查记录》和《工序质量检查评定表》，最后请现场监理进行验收，填写《工序报验单》和《隐蔽工程验收记录》。</w:t>
      </w:r>
    </w:p>
    <w:p>
      <w:pPr>
        <w:ind w:firstLine="480"/>
      </w:pPr>
      <w:r>
        <w:rPr>
          <w:rFonts w:hint="eastAsia"/>
        </w:rPr>
        <w:t>⑶加强施工过程控制，加大巡视旁站力度</w:t>
      </w:r>
    </w:p>
    <w:p>
      <w:pPr>
        <w:ind w:firstLine="480"/>
      </w:pPr>
      <w:r>
        <w:rPr>
          <w:rFonts w:hint="eastAsia"/>
        </w:rPr>
        <w:t>加强施工过程控制，把质量隐患消灭在萌芽状态。施工中，工长、技术员、质检员、试验员深入施工一线，加大对一般工序的巡视、检查、抽查力度，对重要工序进行全过程旁站监督，及时发现问题、解决问题。</w:t>
      </w:r>
    </w:p>
    <w:p>
      <w:pPr>
        <w:ind w:firstLine="480"/>
      </w:pPr>
      <w:r>
        <w:rPr>
          <w:rFonts w:hint="eastAsia"/>
        </w:rPr>
        <w:t>4、建设精品，抓施工过程标准化</w:t>
      </w:r>
    </w:p>
    <w:p>
      <w:pPr>
        <w:ind w:firstLine="480"/>
      </w:pPr>
      <w:r>
        <w:rPr>
          <w:rFonts w:hint="eastAsia"/>
        </w:rPr>
        <w:t>“精品工程”不但要求高质量的产品，而且要求规范化的文明的施工过程。</w:t>
      </w:r>
    </w:p>
    <w:p>
      <w:pPr>
        <w:ind w:firstLine="480"/>
      </w:pPr>
      <w:r>
        <w:rPr>
          <w:rFonts w:hint="eastAsia"/>
        </w:rPr>
        <w:t>环境保护与文明施工，施工安全及交通导行是施工过程中的三个重要环节，直接关系到工程的对外形象。在本项目的实施过程中，我单位将按照业主制定的施工过程标准化细则，在环境保护与文明施工，施工安全及交通导行三个方面实施标准的施工管理，以全新的形象展现在广大市民面前。</w:t>
      </w:r>
    </w:p>
    <w:p>
      <w:pPr>
        <w:ind w:firstLine="480"/>
      </w:pPr>
      <w:r>
        <w:rPr>
          <w:rFonts w:hint="eastAsia"/>
        </w:rPr>
        <w:t>⑴加强文明施工管理</w:t>
      </w:r>
    </w:p>
    <w:p>
      <w:pPr>
        <w:ind w:firstLine="480"/>
      </w:pPr>
      <w:r>
        <w:rPr>
          <w:rFonts w:hint="eastAsia"/>
        </w:rPr>
        <w:t>严格组织管理：建立文明施工环保领导小组，由生产副经理任组长；根据施工现场特点和实际情况，制定环境保护与文明施工专项措施；项目经理部设专职文明施工员，负责施工现场的日常工作。</w:t>
      </w:r>
    </w:p>
    <w:p>
      <w:pPr>
        <w:ind w:firstLine="480"/>
      </w:pPr>
      <w:r>
        <w:rPr>
          <w:rFonts w:hint="eastAsia"/>
        </w:rPr>
        <w:t>施工区域按照我单位有关规定，采用我单位标准围挡进行封闭，严禁无关人员进入施工现场，搞好文明施工与环境保护。项目部安排专人负责对围挡的清洁与维护，及时修缮被损坏的围挡板，保持施工区整洁美观。</w:t>
      </w:r>
    </w:p>
    <w:p>
      <w:pPr>
        <w:ind w:firstLine="480"/>
      </w:pPr>
      <w:r>
        <w:rPr>
          <w:rFonts w:hint="eastAsia"/>
        </w:rPr>
        <w:t>现场按统一标准设立标识牌：施工平面布置图、安全生产制度板、环境保护制度板、文明施工制度板，分施工区明确负责人，接受各方监督。</w:t>
      </w:r>
    </w:p>
    <w:p>
      <w:pPr>
        <w:ind w:firstLine="480"/>
      </w:pPr>
      <w:r>
        <w:rPr>
          <w:rFonts w:hint="eastAsia"/>
        </w:rPr>
        <w:t>严格执行政府规定，严格控制噪声污染、大气污染和施工振动，做到施工不扰民。散体材料、施工渣土的运输和消纳满足环卫和环保部门的要求。生产区、生活区井然有序，燃煤达标。</w:t>
      </w:r>
    </w:p>
    <w:p>
      <w:pPr>
        <w:ind w:firstLine="480"/>
      </w:pPr>
      <w:r>
        <w:rPr>
          <w:rFonts w:hint="eastAsia"/>
        </w:rPr>
        <w:t>⑵加强安全管理</w:t>
      </w:r>
    </w:p>
    <w:p>
      <w:pPr>
        <w:ind w:firstLine="480"/>
      </w:pPr>
      <w:r>
        <w:rPr>
          <w:rFonts w:hint="eastAsia"/>
        </w:rPr>
        <w:t>建立施工安全领导小组，制定安全生产、消防保卫措施和方案，制定安全防护、临时用电、机械安全、消防保卫制度。</w:t>
      </w:r>
    </w:p>
    <w:p>
      <w:pPr>
        <w:ind w:firstLine="480"/>
      </w:pPr>
      <w:r>
        <w:rPr>
          <w:rFonts w:hint="eastAsia"/>
        </w:rPr>
        <w:t>操作人员个人防护用品符合规定，安全帽、反光背心根据施工需要每人必备；沟槽放坡、脚手架、承重支架、大型模板等符合规定；施工人员无违章作业。开槽后，为临近的单位、居民搭设临时便桥，方便居民出行。</w:t>
      </w:r>
    </w:p>
    <w:p>
      <w:pPr>
        <w:ind w:firstLine="480"/>
      </w:pPr>
      <w:r>
        <w:rPr>
          <w:rFonts w:hint="eastAsia"/>
        </w:rPr>
        <w:t>电工持证上岗；供电分级配电，照明灯具、配电箱、开关的安装符合规定；</w:t>
      </w:r>
    </w:p>
    <w:p>
      <w:pPr>
        <w:ind w:firstLine="480"/>
      </w:pPr>
      <w:r>
        <w:rPr>
          <w:rFonts w:hint="eastAsia"/>
        </w:rPr>
        <w:t>配电系统、发电机具、电气工具有接地或接零保护。</w:t>
      </w:r>
    </w:p>
    <w:p>
      <w:pPr>
        <w:ind w:firstLine="480"/>
      </w:pPr>
      <w:r>
        <w:rPr>
          <w:rFonts w:hint="eastAsia"/>
        </w:rPr>
        <w:t>操驾人员持证上岗；机械设备的维修、使用符合规定，各类机械设置安装合理，仪表齐全有效，有安全保养记录。</w:t>
      </w:r>
    </w:p>
    <w:p>
      <w:pPr>
        <w:ind w:firstLine="480"/>
      </w:pPr>
      <w:r>
        <w:rPr>
          <w:rFonts w:hint="eastAsia"/>
        </w:rPr>
        <w:t>有24 小时消防保卫值班及值班记录，防火标志和消防设施符合要求，临时建筑符合消防规定，剧毒、易燃易爆品有严格的管理制度，有保卫、消防等突发事件的方案、预案。</w:t>
      </w:r>
    </w:p>
    <w:p>
      <w:pPr>
        <w:ind w:firstLine="480"/>
      </w:pPr>
      <w:r>
        <w:rPr>
          <w:rFonts w:hint="eastAsia"/>
        </w:rPr>
        <w:t>5、建设精品，引入竞争机制与奖惩机制</w:t>
      </w:r>
    </w:p>
    <w:p>
      <w:pPr>
        <w:ind w:firstLine="480"/>
      </w:pPr>
      <w:r>
        <w:rPr>
          <w:rFonts w:hint="eastAsia"/>
        </w:rPr>
        <w:t>为切实提高工程质量，实现业主精品工程的目标，在本项目的实施过程中，我单位将引入竞争机制和奖惩机制。</w:t>
      </w:r>
    </w:p>
    <w:p>
      <w:pPr>
        <w:ind w:firstLine="480"/>
      </w:pPr>
      <w:r>
        <w:rPr>
          <w:rFonts w:hint="eastAsia"/>
        </w:rPr>
        <w:t>首先在项目部管理层实施，把经济效益同工程质量挂钩，将工程任务划分为若干段，项目部管理层相应划分为若干组，每组成员由工长、技术员、质量员组成，各组之间展开竞争，对工期短、质量优的小组给予奖励，反之严惩不怠。同时在各作业队、班组之间展开竞争，奖优罚劣。</w:t>
      </w:r>
    </w:p>
    <w:p>
      <w:pPr>
        <w:pStyle w:val="4"/>
        <w:spacing w:before="278" w:after="278"/>
        <w:ind w:firstLine="560"/>
      </w:pPr>
      <w:bookmarkStart w:id="271" w:name="_Toc525107855"/>
      <w:r>
        <w:rPr>
          <w:rFonts w:hint="eastAsia"/>
        </w:rPr>
        <w:t>第五</w:t>
      </w:r>
      <w:bookmarkStart w:id="272" w:name="_Toc6478"/>
      <w:bookmarkStart w:id="273" w:name="_Toc8236"/>
      <w:r>
        <w:rPr>
          <w:rFonts w:hint="eastAsia"/>
        </w:rPr>
        <w:t xml:space="preserve">节 </w:t>
      </w:r>
      <w:bookmarkEnd w:id="271"/>
      <w:bookmarkEnd w:id="272"/>
      <w:bookmarkEnd w:id="273"/>
      <w:bookmarkStart w:id="274" w:name="_Toc525107856"/>
      <w:bookmarkStart w:id="275" w:name="_Toc16607"/>
      <w:bookmarkStart w:id="276" w:name="_Toc4304"/>
      <w:r>
        <w:t xml:space="preserve"> </w:t>
      </w:r>
      <w:r>
        <w:rPr>
          <w:rFonts w:hint="eastAsia"/>
        </w:rPr>
        <w:t>质量管理措施</w:t>
      </w:r>
      <w:bookmarkEnd w:id="274"/>
      <w:bookmarkEnd w:id="275"/>
      <w:bookmarkEnd w:id="276"/>
      <w:bookmarkStart w:id="277" w:name="bk209"/>
      <w:bookmarkEnd w:id="277"/>
    </w:p>
    <w:p>
      <w:pPr>
        <w:ind w:firstLine="480"/>
      </w:pPr>
      <w:bookmarkStart w:id="278" w:name="bk210"/>
      <w:bookmarkEnd w:id="278"/>
      <w:r>
        <w:rPr>
          <w:rFonts w:hint="eastAsia"/>
        </w:rPr>
        <w:t>隐蔽工程、关键工序和特殊工序的检查验收坚持自检、互检、专检的“三检制”。以班组检查与专业检查相结合。施工班组在上、下班交接前须对当天完成的工程的质量进行自检，对不符合质量要求的及时予以纠正。</w:t>
      </w:r>
    </w:p>
    <w:p>
      <w:pPr>
        <w:ind w:firstLine="480"/>
      </w:pPr>
      <w:r>
        <w:rPr>
          <w:rFonts w:hint="eastAsia"/>
        </w:rPr>
        <w:t>各工序工作完成后，由分管工序的技术负责人、质量检查人员组织工班长，按技术规范进行检验，凡不符合质量标准的，坚决返工处理，直到再次验收合格。</w:t>
      </w:r>
    </w:p>
    <w:p>
      <w:pPr>
        <w:ind w:firstLine="480"/>
      </w:pPr>
      <w:r>
        <w:rPr>
          <w:rFonts w:hint="eastAsia"/>
        </w:rPr>
        <w:t>工序中间交接时，必须有明确的质量交接意见，每个班组的交接工序都须当严格执行“三工序制度”，即检查上道工序，做好本工序，服务下道工序。</w:t>
      </w:r>
    </w:p>
    <w:p>
      <w:pPr>
        <w:ind w:firstLine="480"/>
        <w:rPr>
          <w:rFonts w:ascii="宋体" w:hAnsi="宋体"/>
        </w:rPr>
      </w:pPr>
      <w:r>
        <w:rPr>
          <w:rFonts w:hint="eastAsia"/>
        </w:rPr>
        <w:t>每道隐蔽工程、关键工序和特殊工序完成并经自检合格后，邀请监理工程师验收，做好隐蔽工程、关键工序验收质量记录和检查签证资料整理工作。</w:t>
      </w:r>
    </w:p>
    <w:p>
      <w:pPr>
        <w:ind w:firstLine="480"/>
      </w:pPr>
      <w:r>
        <w:rPr>
          <w:rFonts w:hint="eastAsia"/>
        </w:rPr>
        <w:t>所有隐蔽工程、关键工序和特殊工序必须经监理工程师签字认可后，方可进行下一道工序，未经签字认可的，禁止进行下道工序施工。</w:t>
      </w:r>
    </w:p>
    <w:p>
      <w:pPr>
        <w:ind w:firstLine="480"/>
      </w:pPr>
      <w:r>
        <w:rPr>
          <w:rFonts w:hint="eastAsia"/>
        </w:rPr>
        <w:t>经监理工程师检查验收不合格的隐蔽工程、关键工序和特殊工序项目，经返工自检和复验合格后，重新填写验收记录，并向驻地监理工程师发出复检申请，经检查认可后，及时办理签认手续。</w:t>
      </w:r>
    </w:p>
    <w:p>
      <w:pPr>
        <w:ind w:firstLine="480"/>
      </w:pPr>
      <w:r>
        <w:rPr>
          <w:rFonts w:hint="eastAsia"/>
        </w:rPr>
        <w:t>按竣工文件编制要求整理各项隐蔽工程、关键工序验收记录，并按ISO9001质量标准《文件、资料控制程序》分类归档保存。工序施工中的施工日志、隐蔽工程、关键工序和特殊工序验收记录、分项、分部工程质量评定记录等资料齐全。按《工程质量检验评定</w:t>
      </w:r>
      <w:r>
        <w:rPr>
          <w:rFonts w:hint="eastAsia" w:ascii="宋体" w:hAnsi="宋体"/>
        </w:rPr>
        <w:t>标准》要求，用碳素墨水填写，其内容及签字齐全，具有可追溯性。</w:t>
      </w:r>
    </w:p>
    <w:p>
      <w:pPr>
        <w:pStyle w:val="4"/>
        <w:spacing w:before="278" w:after="278"/>
        <w:ind w:firstLine="560"/>
      </w:pPr>
      <w:bookmarkStart w:id="279" w:name="_Toc25281"/>
      <w:bookmarkStart w:id="280" w:name="_Toc23325"/>
      <w:bookmarkStart w:id="281" w:name="_Toc525107857"/>
      <w:r>
        <w:rPr>
          <w:rFonts w:hint="eastAsia"/>
        </w:rPr>
        <w:t>第六节 质量预防预案</w:t>
      </w:r>
      <w:bookmarkEnd w:id="279"/>
      <w:bookmarkEnd w:id="280"/>
      <w:bookmarkEnd w:id="281"/>
      <w:bookmarkStart w:id="282" w:name="bk211"/>
      <w:bookmarkEnd w:id="282"/>
    </w:p>
    <w:p>
      <w:pPr>
        <w:ind w:firstLine="480"/>
      </w:pPr>
      <w:bookmarkStart w:id="283" w:name="bk212"/>
      <w:bookmarkEnd w:id="283"/>
      <w:r>
        <w:rPr>
          <w:rFonts w:hint="eastAsia"/>
        </w:rPr>
        <w:t>消除人为因素造成的工序质量缺陷：加强对施工人员“质量第一，顾客至上”的质量意识教育，确定岗位责任制，定期组织技能培训，提高员工操作技能。</w:t>
      </w:r>
    </w:p>
    <w:p>
      <w:pPr>
        <w:ind w:firstLine="480"/>
      </w:pPr>
      <w:r>
        <w:rPr>
          <w:rFonts w:hint="eastAsia"/>
        </w:rPr>
        <w:t>消除环境因素造成的工序质量缺陷：加强现场管理，搞好文明施工、合理组织，确保工序施工有一个良好的施工环境。</w:t>
      </w:r>
    </w:p>
    <w:p>
      <w:pPr>
        <w:ind w:firstLine="480"/>
      </w:pPr>
      <w:r>
        <w:rPr>
          <w:rFonts w:hint="eastAsia"/>
        </w:rPr>
        <w:t>消除施工方法不当造成的工序质量缺陷：坚持持证上岗，严格施工纪律，按规范组织施工，严格操作规程，确保施工方法得当。</w:t>
      </w:r>
    </w:p>
    <w:p>
      <w:pPr>
        <w:ind w:firstLine="480"/>
      </w:pPr>
      <w:r>
        <w:rPr>
          <w:rFonts w:hint="eastAsia"/>
        </w:rPr>
        <w:t>消除机械、检验、测量、试验设备造成的工序质量缺陷：</w:t>
      </w:r>
    </w:p>
    <w:p>
      <w:pPr>
        <w:ind w:firstLine="480"/>
      </w:pPr>
      <w:r>
        <w:rPr>
          <w:rFonts w:hint="eastAsia"/>
        </w:rPr>
        <w:t>对机械设备定期进行维修和保养，结合本项目的实际情况，配置性能良好、配套的机械设备。定期对计量、测试设备进行周期鉴定，保证检验、测量、试验的准确性，推广和应用先进的计量设备和快速准确的测试技术，减少检验、测量、试验设备造成的工序质量缺陷。</w:t>
      </w:r>
    </w:p>
    <w:p>
      <w:pPr>
        <w:ind w:firstLine="480"/>
      </w:pPr>
      <w:r>
        <w:rPr>
          <w:rFonts w:hint="eastAsia"/>
        </w:rPr>
        <w:t>消除材料因素造成的工序质量缺陷：物资采购各环节的控制工作，实行定点、定量采购，确保材料质量。</w:t>
      </w:r>
    </w:p>
    <w:p>
      <w:pPr>
        <w:ind w:firstLine="480"/>
      </w:pPr>
      <w:r>
        <w:rPr>
          <w:rFonts w:hint="eastAsia"/>
        </w:rPr>
        <w:t>作好技术交底和质量记录，确保工序质量：</w:t>
      </w:r>
    </w:p>
    <w:p>
      <w:pPr>
        <w:ind w:firstLine="480"/>
      </w:pPr>
      <w:r>
        <w:rPr>
          <w:rFonts w:hint="eastAsia"/>
        </w:rPr>
        <w:t>项目总工程师须全面对设计图纸进行审核，掌握实用的各类规范，明确质量标准和技术要求，做好技术交底，参加人员应履行签字手续，形成状态过程的可追溯性。质检工程师应熟悉相关的技术规范、设计要求、验收标准，做好工序质量检查记录，负责隐蔽工程检查验收签认，填写工程质量评定表，建立事故（隐患）报告处理等行之有效的质量管理制度，使工程质量处于受控状态。</w:t>
      </w:r>
    </w:p>
    <w:p>
      <w:pPr>
        <w:ind w:firstLine="480"/>
      </w:pPr>
      <w:r>
        <w:rPr>
          <w:rFonts w:hint="eastAsia"/>
        </w:rPr>
        <w:t>各隐蔽工程项目工序技术负责人，须熟悉设计图纸，理解设计文件精神，搞好技术交底，并做好质量记录。</w:t>
      </w:r>
    </w:p>
    <w:p>
      <w:pPr>
        <w:pStyle w:val="4"/>
        <w:spacing w:before="278" w:after="278"/>
        <w:ind w:firstLine="560"/>
      </w:pPr>
      <w:bookmarkStart w:id="284" w:name="_Toc525107858"/>
      <w:bookmarkStart w:id="285" w:name="_Toc1974"/>
      <w:bookmarkStart w:id="286" w:name="_Toc10950"/>
      <w:r>
        <w:rPr>
          <w:rFonts w:hint="eastAsia"/>
        </w:rPr>
        <w:t>第七节 收尾阶段质量保证措施</w:t>
      </w:r>
      <w:bookmarkEnd w:id="284"/>
      <w:bookmarkEnd w:id="285"/>
      <w:bookmarkEnd w:id="286"/>
      <w:bookmarkStart w:id="287" w:name="bk213"/>
      <w:bookmarkEnd w:id="287"/>
    </w:p>
    <w:p>
      <w:pPr>
        <w:ind w:firstLine="480"/>
      </w:pPr>
      <w:r>
        <w:rPr>
          <w:rFonts w:hint="eastAsia"/>
        </w:rPr>
        <w:t>1、制定收尾阶段施工计划，对剩余工程数量、材料、机具、人员需求量做出具体安排，保证收尾阶段工程质量。</w:t>
      </w:r>
    </w:p>
    <w:p>
      <w:pPr>
        <w:ind w:firstLine="480"/>
      </w:pPr>
      <w:r>
        <w:rPr>
          <w:rFonts w:hint="eastAsia"/>
        </w:rPr>
        <w:t>2、工程将要竣工前，由经理部主管生产的副经理组织有关管理人员及作业人员对收尾工程进行自验，清点未完及需要修补的项目，采取措施一项一项加以落实。</w:t>
      </w:r>
    </w:p>
    <w:p>
      <w:pPr>
        <w:ind w:firstLine="480"/>
      </w:pPr>
      <w:r>
        <w:rPr>
          <w:rFonts w:hint="eastAsia"/>
        </w:rPr>
        <w:t>3、组织技术人员对竣工资料进行全面整理、编制装订归档，其整理标准按照甲方及监理工程师要求执行。</w:t>
      </w:r>
    </w:p>
    <w:p>
      <w:pPr>
        <w:ind w:firstLine="480"/>
      </w:pPr>
      <w:r>
        <w:rPr>
          <w:rFonts w:hint="eastAsia"/>
        </w:rPr>
        <w:t>4、在工程交工验收之后，项目经理部制定质量回访计划，对已完工程存在的缺陷负责保修。</w:t>
      </w:r>
    </w:p>
    <w:p>
      <w:pPr>
        <w:ind w:firstLine="480"/>
      </w:pPr>
      <w:r>
        <w:rPr>
          <w:rFonts w:hint="eastAsia"/>
        </w:rPr>
        <w:t>5、在工程交工验收之前，根据《建设工程质量管理条例》，国家关于工程质量保修的有关规定与甲方签订工程质量保修书。确定工程质量保修范围和内容，在质量保修期内，承担保修责任。在保修期发生质量问题，我单位将全力予以整修，确保业主满意。</w:t>
      </w:r>
    </w:p>
    <w:p>
      <w:pPr>
        <w:pStyle w:val="3"/>
        <w:spacing w:before="278" w:after="278"/>
      </w:pPr>
      <w:bookmarkStart w:id="288" w:name="_Toc26774"/>
      <w:bookmarkStart w:id="289" w:name="_Toc525107859"/>
      <w:bookmarkStart w:id="290" w:name="_Toc210146970"/>
      <w:bookmarkStart w:id="291" w:name="_Toc212799437"/>
      <w:bookmarkStart w:id="292" w:name="_Toc211239457"/>
      <w:bookmarkStart w:id="293" w:name="_Toc211223795"/>
      <w:bookmarkStart w:id="294" w:name="_Toc210965788"/>
      <w:bookmarkStart w:id="295" w:name="_Toc212890476"/>
      <w:bookmarkStart w:id="296" w:name="_Toc211134826"/>
      <w:bookmarkStart w:id="297" w:name="_Toc212962457"/>
      <w:bookmarkStart w:id="298" w:name="_Toc212633749"/>
      <w:bookmarkStart w:id="299" w:name="_Toc212710056"/>
      <w:bookmarkStart w:id="300" w:name="_Toc212954873"/>
      <w:bookmarkStart w:id="301" w:name="_Toc210279012"/>
      <w:bookmarkStart w:id="302" w:name="_Toc212961646"/>
      <w:bookmarkStart w:id="303" w:name="_Toc210782789"/>
      <w:bookmarkStart w:id="304" w:name="_Toc211239559"/>
      <w:r>
        <w:rPr>
          <w:rFonts w:hint="eastAsia"/>
        </w:rPr>
        <w:t xml:space="preserve">第八章 </w:t>
      </w:r>
      <w:bookmarkEnd w:id="288"/>
      <w:r>
        <w:rPr>
          <w:rFonts w:hint="eastAsia"/>
        </w:rPr>
        <w:t>合理化建议</w:t>
      </w:r>
    </w:p>
    <w:p>
      <w:pPr>
        <w:ind w:firstLine="480"/>
      </w:pPr>
      <w:r>
        <w:rPr>
          <w:rFonts w:hint="eastAsia"/>
        </w:rPr>
        <w:t>一、施工方保证工程措施</w:t>
      </w:r>
    </w:p>
    <w:p>
      <w:pPr>
        <w:ind w:firstLine="480"/>
      </w:pPr>
      <w:r>
        <w:rPr>
          <w:rFonts w:hint="eastAsia"/>
        </w:rPr>
        <w:t>1、为确保工程质量和工程进度，我公司保证承接的任何工程实行不分包，不外包，不转包。让甲方放心工程的质量和进度。</w:t>
      </w:r>
    </w:p>
    <w:p>
      <w:pPr>
        <w:ind w:firstLine="480"/>
      </w:pPr>
      <w:r>
        <w:rPr>
          <w:rFonts w:hint="eastAsia"/>
        </w:rPr>
        <w:t>2、实行工程款专款专用，保证工程的顺利进行。</w:t>
      </w:r>
    </w:p>
    <w:p>
      <w:pPr>
        <w:ind w:firstLine="480"/>
      </w:pPr>
      <w:r>
        <w:rPr>
          <w:rFonts w:hint="eastAsia"/>
        </w:rPr>
        <w:t>3、在工程施工过程中杜绝一切安全事故的发生。</w:t>
      </w:r>
    </w:p>
    <w:p>
      <w:pPr>
        <w:ind w:firstLine="480"/>
      </w:pPr>
      <w:r>
        <w:t>4</w:t>
      </w:r>
      <w:r>
        <w:rPr>
          <w:rFonts w:hint="eastAsia"/>
        </w:rPr>
        <w:t>、建立强有力的现场指挥部，将该工程列为公司的重点拆除工程进行管理。</w:t>
      </w:r>
    </w:p>
    <w:p>
      <w:pPr>
        <w:ind w:firstLine="480"/>
      </w:pPr>
      <w:r>
        <w:rPr>
          <w:rFonts w:hint="eastAsia"/>
        </w:rPr>
        <w:t>5、推行目标责任化管理，做到职责分明，各负其责，协调配合，工程进度严格按照施工组织设计进行，确保工期按期完工。</w:t>
      </w:r>
    </w:p>
    <w:p>
      <w:pPr>
        <w:ind w:firstLine="480"/>
      </w:pPr>
      <w:r>
        <w:t>6</w:t>
      </w:r>
      <w:r>
        <w:rPr>
          <w:rFonts w:hint="eastAsia"/>
        </w:rPr>
        <w:t>、施工按照合同约定的工期保质保量的完成，工期提前不计提前奖，如果由于自身原因导致施工工期延后，愿意按照合同约定的条款接受处罚。</w:t>
      </w:r>
    </w:p>
    <w:p>
      <w:pPr>
        <w:ind w:firstLine="480"/>
      </w:pPr>
      <w:r>
        <w:rPr>
          <w:rFonts w:hint="eastAsia"/>
        </w:rPr>
        <w:t>7、若我方中标，则会按照招标人的要求及时与建设单位签订施工合同，交纳履约保证金，按照建设单位的要求展开施工。</w:t>
      </w:r>
    </w:p>
    <w:p>
      <w:pPr>
        <w:ind w:firstLine="480"/>
      </w:pPr>
      <w:r>
        <w:rPr>
          <w:rFonts w:hint="eastAsia"/>
        </w:rPr>
        <w:t>二、对业主的承诺</w:t>
      </w:r>
    </w:p>
    <w:p>
      <w:pPr>
        <w:ind w:firstLine="480"/>
      </w:pPr>
      <w:r>
        <w:rPr>
          <w:rFonts w:hint="eastAsia"/>
        </w:rPr>
        <w:t>1、关于工程质量方面的承诺</w:t>
      </w:r>
    </w:p>
    <w:p>
      <w:pPr>
        <w:ind w:firstLine="480"/>
      </w:pPr>
      <w:r>
        <w:rPr>
          <w:rFonts w:hint="eastAsia"/>
        </w:rPr>
        <w:t xml:space="preserve">按照业主领导的要求，结合我公司的综合实力，制定具体的工程质量保证措施并严格执行，我们承诺确保安全完成拆除工程。  </w:t>
      </w:r>
    </w:p>
    <w:p>
      <w:pPr>
        <w:ind w:firstLine="480"/>
      </w:pPr>
      <w:r>
        <w:rPr>
          <w:rFonts w:hint="eastAsia"/>
        </w:rPr>
        <w:t>2、关于工程工期方面的承诺</w:t>
      </w:r>
    </w:p>
    <w:p>
      <w:pPr>
        <w:ind w:firstLine="480"/>
      </w:pPr>
      <w:r>
        <w:rPr>
          <w:rFonts w:hint="eastAsia"/>
        </w:rPr>
        <w:t xml:space="preserve">我公司将严格按本投标文件中承诺的工期组织施工。中标后亦将严格执行双方合同约定的开、竣工日期。工期提前不要工期提前奖。若由于我们自己的原因造成工程延期，我们愿意按合同条款的约定承担违约责任。  </w:t>
      </w:r>
    </w:p>
    <w:p>
      <w:pPr>
        <w:ind w:firstLine="480"/>
      </w:pPr>
      <w:r>
        <w:rPr>
          <w:rFonts w:hint="eastAsia"/>
        </w:rPr>
        <w:t>3、关于现场安全、文明施工方面的承诺</w:t>
      </w:r>
    </w:p>
    <w:p>
      <w:pPr>
        <w:ind w:firstLine="480"/>
      </w:pPr>
      <w:r>
        <w:rPr>
          <w:rFonts w:hint="eastAsia"/>
        </w:rPr>
        <w:t>我们保证现场安全文明施工符合国家、省、市的有关规定的要求。并根据现场实际情况提供现场文明施工平面图，制定详尽、具体的现场安全文明施工管理办法，并经建设单位批准后实施，坚持安全文明施工，确保济南市安全文明施工工地，创建绿色环保现场。</w:t>
      </w:r>
    </w:p>
    <w:p>
      <w:pPr>
        <w:ind w:firstLine="480"/>
      </w:pPr>
      <w:r>
        <w:rPr>
          <w:rFonts w:hint="eastAsia"/>
        </w:rPr>
        <w:t>4、关于服务方面的承诺</w:t>
      </w:r>
    </w:p>
    <w:p>
      <w:pPr>
        <w:ind w:firstLine="480"/>
      </w:pPr>
      <w:r>
        <w:rPr>
          <w:rFonts w:hint="eastAsia"/>
        </w:rPr>
        <w:t>工程竣工后，成立工种齐全的维修小组，与建设单位紧密配合，确保达到甲方的要求。并且我公司建筑工程质量回访服务中心可随时为建设单位提供优质服务。</w:t>
      </w:r>
    </w:p>
    <w:p>
      <w:pPr>
        <w:ind w:firstLine="480"/>
      </w:pPr>
      <w:r>
        <w:rPr>
          <w:rFonts w:hint="eastAsia"/>
        </w:rPr>
        <w:t xml:space="preserve">三、合理化建议  </w:t>
      </w:r>
    </w:p>
    <w:p>
      <w:pPr>
        <w:ind w:firstLine="480"/>
      </w:pPr>
      <w:r>
        <w:rPr>
          <w:rFonts w:hint="eastAsia"/>
        </w:rPr>
        <w:t xml:space="preserve">1、建议贵方提供拆迁建筑物图纸等相关资料，以便进行合理的施工组织，做到安全拆迁，杜绝事故。  </w:t>
      </w:r>
    </w:p>
    <w:p>
      <w:pPr>
        <w:ind w:firstLine="480"/>
      </w:pPr>
      <w:r>
        <w:rPr>
          <w:rFonts w:hint="eastAsia"/>
        </w:rPr>
        <w:t>2、建议甲方提前做好停水、停电的管理工作，以免造成不必要的损失。 </w:t>
      </w:r>
    </w:p>
    <w:p>
      <w:pPr>
        <w:ind w:firstLine="480"/>
      </w:pPr>
      <w:r>
        <w:rPr>
          <w:rFonts w:hint="eastAsia"/>
        </w:rPr>
        <w:t>3、加大拆除宣传，尽量减少过往车辆及行人。 </w:t>
      </w:r>
    </w:p>
    <w:p>
      <w:pPr>
        <w:ind w:firstLine="480"/>
      </w:pPr>
      <w:r>
        <w:rPr>
          <w:rFonts w:hint="eastAsia"/>
        </w:rPr>
        <w:t>4、拆除期间，建议甲方应做出相应工作，如禁止学生靠近施工现场，更不允许学生的围观。</w:t>
      </w:r>
    </w:p>
    <w:p>
      <w:pPr>
        <w:pStyle w:val="3"/>
        <w:spacing w:before="278" w:after="278"/>
      </w:pPr>
      <w:bookmarkStart w:id="305" w:name="_Toc8802"/>
      <w:r>
        <w:rPr>
          <w:rFonts w:hint="eastAsia"/>
        </w:rPr>
        <w:t>第九章 安全管理体系与措施</w:t>
      </w:r>
      <w:bookmarkEnd w:id="289"/>
      <w:bookmarkEnd w:id="305"/>
    </w:p>
    <w:p>
      <w:pPr>
        <w:pStyle w:val="4"/>
        <w:spacing w:before="278" w:after="278"/>
        <w:ind w:firstLine="560"/>
      </w:pPr>
      <w:bookmarkStart w:id="306" w:name="_Toc525107860"/>
      <w:r>
        <w:rPr>
          <w:rFonts w:hint="eastAsia"/>
        </w:rPr>
        <w:t>第一节 现场安全生产、文明施工与环境保护</w:t>
      </w:r>
      <w:bookmarkEnd w:id="306"/>
    </w:p>
    <w:p>
      <w:pPr>
        <w:ind w:firstLine="480"/>
      </w:pPr>
      <w:r>
        <w:rPr>
          <w:rFonts w:hint="eastAsia"/>
        </w:rPr>
        <w:t>1、文明施工与环境保护目标</w:t>
      </w:r>
    </w:p>
    <w:p>
      <w:pPr>
        <w:ind w:firstLine="480"/>
      </w:pPr>
      <w:r>
        <w:rPr>
          <w:rFonts w:hint="eastAsia"/>
        </w:rPr>
        <w:t>建为“文明工地”：达到工程建设便民、利民、不扰民的要求。</w:t>
      </w:r>
    </w:p>
    <w:p>
      <w:pPr>
        <w:ind w:firstLine="480"/>
      </w:pPr>
      <w:r>
        <w:rPr>
          <w:rFonts w:hint="eastAsia"/>
        </w:rPr>
        <w:t>“两通”：施工现场临时行道畅通，工地沿线居民和施工人员出入畅通。</w:t>
      </w:r>
    </w:p>
    <w:p>
      <w:pPr>
        <w:ind w:firstLine="480"/>
      </w:pPr>
      <w:r>
        <w:rPr>
          <w:rFonts w:hint="eastAsia"/>
        </w:rPr>
        <w:t>“二无”：施工现场周围道路平整无积水，无重大伤亡事故。</w:t>
      </w:r>
    </w:p>
    <w:p>
      <w:pPr>
        <w:ind w:firstLine="480"/>
      </w:pPr>
      <w:r>
        <w:rPr>
          <w:rFonts w:hint="eastAsia"/>
        </w:rPr>
        <w:t>“四必须”：工地现场必须挂牌施工，管理人员佩卡上岗；工地现场施工材料必须堆放整齐；工地生活设施必须清洁文明。</w:t>
      </w:r>
    </w:p>
    <w:p>
      <w:pPr>
        <w:ind w:firstLine="480"/>
      </w:pPr>
      <w:r>
        <w:rPr>
          <w:rFonts w:hint="eastAsia"/>
        </w:rPr>
        <w:t>2、安全管理体系的建立</w:t>
      </w:r>
    </w:p>
    <w:p>
      <w:pPr>
        <w:ind w:firstLine="480"/>
      </w:pPr>
      <w:r>
        <w:rPr>
          <w:rFonts w:hint="eastAsia"/>
        </w:rPr>
        <w:t>成立以项目经理为组长的安全、文明施工领导小组，负责对项目安全、文明施工管理等问题进行决策和管理；项目下设安全部，全面负责工程的安全生产、文明施工与环境保护管理工作。项目设置安全总监，实行施工安全的垂直管理。在此基础上建立以项目经理为首，项目副经理、总工、各分包项目经理、安全总监、专职安全员、专业工程师、班组长、施工作业层组成的纵向到底、横向到边的安全生产管理体系。</w:t>
      </w:r>
    </w:p>
    <w:p>
      <w:pPr>
        <w:ind w:firstLine="480"/>
      </w:pPr>
      <w:bookmarkStart w:id="307" w:name="_Toc386113078"/>
      <w:bookmarkStart w:id="308" w:name="_Toc386114709"/>
      <w:bookmarkStart w:id="309" w:name="_Toc386112206"/>
      <w:bookmarkStart w:id="310" w:name="_Toc385959608"/>
      <w:bookmarkStart w:id="311" w:name="_Toc385943860"/>
      <w:bookmarkStart w:id="312" w:name="_Toc386113867"/>
      <w:bookmarkStart w:id="313" w:name="_Toc385944897"/>
      <w:bookmarkStart w:id="314" w:name="_Toc386111437"/>
      <w:bookmarkStart w:id="315" w:name="_Toc418841692"/>
      <w:bookmarkStart w:id="316" w:name="_Toc32165"/>
      <w:bookmarkStart w:id="317" w:name="_Toc385959408"/>
      <w:bookmarkStart w:id="318" w:name="_Toc385959810"/>
      <w:r>
        <w:rPr>
          <w:rFonts w:hint="eastAsia"/>
        </w:rPr>
        <w:t>1） 安全文明施工管理组织机构</w:t>
      </w:r>
      <w:bookmarkEnd w:id="307"/>
      <w:bookmarkEnd w:id="308"/>
      <w:bookmarkEnd w:id="309"/>
      <w:bookmarkEnd w:id="310"/>
      <w:bookmarkEnd w:id="311"/>
      <w:bookmarkEnd w:id="312"/>
      <w:bookmarkEnd w:id="313"/>
      <w:bookmarkEnd w:id="314"/>
      <w:bookmarkEnd w:id="315"/>
      <w:bookmarkEnd w:id="316"/>
      <w:bookmarkEnd w:id="317"/>
      <w:bookmarkEnd w:id="318"/>
    </w:p>
    <w:p>
      <w:pPr>
        <w:ind w:firstLine="480"/>
      </w:pPr>
      <w:r>
        <w:rPr>
          <w:rFonts w:hint="eastAsia"/>
        </w:rPr>
        <w:t>本工程文明施工管理机构见下图所示。</w:t>
      </w:r>
    </w:p>
    <w:p>
      <w:pPr>
        <w:ind w:firstLine="0" w:firstLineChars="0"/>
        <w:jc w:val="center"/>
      </w:pPr>
      <w:r>
        <w:drawing>
          <wp:inline distT="0" distB="0" distL="114300" distR="114300">
            <wp:extent cx="5488940" cy="2933700"/>
            <wp:effectExtent l="0" t="0" r="16510" b="0"/>
            <wp:docPr id="1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
                    <pic:cNvPicPr>
                      <a:picLocks noChangeAspect="1"/>
                    </pic:cNvPicPr>
                  </pic:nvPicPr>
                  <pic:blipFill>
                    <a:blip r:embed="rId11"/>
                    <a:stretch>
                      <a:fillRect/>
                    </a:stretch>
                  </pic:blipFill>
                  <pic:spPr>
                    <a:xfrm>
                      <a:off x="0" y="0"/>
                      <a:ext cx="5488940" cy="2933700"/>
                    </a:xfrm>
                    <a:prstGeom prst="rect">
                      <a:avLst/>
                    </a:prstGeom>
                    <a:noFill/>
                    <a:ln>
                      <a:noFill/>
                    </a:ln>
                  </pic:spPr>
                </pic:pic>
              </a:graphicData>
            </a:graphic>
          </wp:inline>
        </w:drawing>
      </w:r>
    </w:p>
    <w:p>
      <w:pPr>
        <w:pStyle w:val="161"/>
        <w:jc w:val="center"/>
        <w:rPr>
          <w:sz w:val="24"/>
          <w:szCs w:val="24"/>
        </w:rPr>
      </w:pPr>
      <w:r>
        <w:rPr>
          <w:rFonts w:hint="eastAsia"/>
          <w:sz w:val="24"/>
          <w:szCs w:val="24"/>
        </w:rPr>
        <w:t>安全文明施工管理机构</w:t>
      </w:r>
    </w:p>
    <w:p>
      <w:pPr>
        <w:spacing w:line="360" w:lineRule="auto"/>
        <w:ind w:firstLine="480"/>
      </w:pPr>
    </w:p>
    <w:p>
      <w:pPr>
        <w:ind w:firstLine="480"/>
      </w:pPr>
      <w:r>
        <w:rPr>
          <w:rFonts w:hint="eastAsia"/>
        </w:rPr>
        <w:t>3、文明施工与环境保护组织机构</w:t>
      </w:r>
    </w:p>
    <w:p>
      <w:pPr>
        <w:ind w:firstLine="480"/>
        <w:jc w:val="center"/>
      </w:pPr>
      <w:r>
        <w:rPr>
          <w:rFonts w:hint="eastAsia"/>
        </w:rPr>
        <w:t>文明施工与环境保护组织机构框图</w:t>
      </w:r>
    </w:p>
    <w:p>
      <w:pPr>
        <w:ind w:firstLine="560"/>
        <w:rPr>
          <w:rFonts w:ascii="仿宋_GB2312" w:hAnsi="GungsuhChe" w:eastAsia="仿宋_GB2312"/>
          <w:bCs/>
          <w:sz w:val="28"/>
          <w:szCs w:val="28"/>
        </w:rPr>
      </w:pPr>
    </w:p>
    <w:p>
      <w:pPr>
        <w:ind w:firstLine="560"/>
        <w:rPr>
          <w:rFonts w:ascii="仿宋_GB2312" w:hAnsi="GungsuhChe" w:eastAsia="仿宋_GB2312"/>
          <w:bCs/>
          <w:sz w:val="28"/>
          <w:szCs w:val="28"/>
        </w:rPr>
      </w:pPr>
    </w:p>
    <w:p>
      <w:pPr>
        <w:ind w:firstLine="560"/>
        <w:rPr>
          <w:rFonts w:ascii="仿宋_GB2312" w:hAnsi="GungsuhChe" w:eastAsia="仿宋_GB2312"/>
          <w:bCs/>
          <w:sz w:val="28"/>
          <w:szCs w:val="28"/>
        </w:rPr>
      </w:pPr>
      <w:r>
        <w:rPr>
          <w:rFonts w:hint="eastAsia" w:ascii="仿宋_GB2312" w:hAnsi="GungsuhChe" w:eastAsia="仿宋_GB2312"/>
          <w:bCs/>
          <w:sz w:val="28"/>
          <w:szCs w:val="28"/>
        </w:rPr>
        <mc:AlternateContent>
          <mc:Choice Requires="wpg">
            <w:drawing>
              <wp:anchor distT="0" distB="0" distL="114300" distR="114300" simplePos="0" relativeHeight="251665408" behindDoc="0" locked="0" layoutInCell="1" allowOverlap="1">
                <wp:simplePos x="0" y="0"/>
                <wp:positionH relativeFrom="column">
                  <wp:posOffset>-487680</wp:posOffset>
                </wp:positionH>
                <wp:positionV relativeFrom="paragraph">
                  <wp:posOffset>104140</wp:posOffset>
                </wp:positionV>
                <wp:extent cx="6068060" cy="3698240"/>
                <wp:effectExtent l="4445" t="4445" r="23495" b="12065"/>
                <wp:wrapNone/>
                <wp:docPr id="133" name="组合 1507"/>
                <wp:cNvGraphicFramePr/>
                <a:graphic xmlns:a="http://schemas.openxmlformats.org/drawingml/2006/main">
                  <a:graphicData uri="http://schemas.microsoft.com/office/word/2010/wordprocessingGroup">
                    <wpg:wgp>
                      <wpg:cNvGrpSpPr/>
                      <wpg:grpSpPr>
                        <a:xfrm>
                          <a:off x="0" y="0"/>
                          <a:ext cx="6068060" cy="3698240"/>
                          <a:chOff x="1238" y="2038"/>
                          <a:chExt cx="9556" cy="5824"/>
                        </a:xfrm>
                      </wpg:grpSpPr>
                      <wps:wsp>
                        <wps:cNvPr id="99" name="直线 1508"/>
                        <wps:cNvCnPr/>
                        <wps:spPr>
                          <a:xfrm>
                            <a:off x="3398" y="3036"/>
                            <a:ext cx="4860" cy="0"/>
                          </a:xfrm>
                          <a:prstGeom prst="line">
                            <a:avLst/>
                          </a:prstGeom>
                          <a:ln w="9525" cap="flat" cmpd="sng">
                            <a:solidFill>
                              <a:srgbClr val="000000"/>
                            </a:solidFill>
                            <a:prstDash val="solid"/>
                            <a:headEnd type="none" w="med" len="med"/>
                            <a:tailEnd type="none" w="med" len="med"/>
                          </a:ln>
                        </wps:spPr>
                        <wps:bodyPr/>
                      </wps:wsp>
                      <wpg:grpSp>
                        <wpg:cNvPr id="132" name="组合 1509"/>
                        <wpg:cNvGrpSpPr/>
                        <wpg:grpSpPr>
                          <a:xfrm>
                            <a:off x="1238" y="2038"/>
                            <a:ext cx="9556" cy="5824"/>
                            <a:chOff x="1238" y="2038"/>
                            <a:chExt cx="9556" cy="5824"/>
                          </a:xfrm>
                        </wpg:grpSpPr>
                        <wps:wsp>
                          <wps:cNvPr id="100" name="文本框 1510"/>
                          <wps:cNvSpPr txBox="1"/>
                          <wps:spPr>
                            <a:xfrm>
                              <a:off x="4752" y="2038"/>
                              <a:ext cx="2410" cy="516"/>
                            </a:xfrm>
                            <a:prstGeom prst="rect">
                              <a:avLst/>
                            </a:prstGeom>
                            <a:solidFill>
                              <a:srgbClr val="99CCFF"/>
                            </a:solidFill>
                            <a:ln w="9525" cap="flat" cmpd="sng">
                              <a:solidFill>
                                <a:srgbClr val="000000"/>
                              </a:solidFill>
                              <a:prstDash val="solid"/>
                              <a:miter/>
                              <a:headEnd type="none" w="med" len="med"/>
                              <a:tailEnd type="none" w="med" len="med"/>
                            </a:ln>
                          </wps:spPr>
                          <wps:txbx>
                            <w:txbxContent>
                              <w:p>
                                <w:pPr>
                                  <w:pStyle w:val="5"/>
                                  <w:rPr>
                                    <w:rFonts w:hint="default"/>
                                  </w:rPr>
                                </w:pPr>
                                <w:r>
                                  <w:t>项目经理(组长)</w:t>
                                </w:r>
                              </w:p>
                            </w:txbxContent>
                          </wps:txbx>
                          <wps:bodyPr wrap="square" lIns="216000" tIns="36000" rIns="216000" bIns="36000" upright="1"/>
                        </wps:wsp>
                        <wps:wsp>
                          <wps:cNvPr id="101" name="文本框 1511"/>
                          <wps:cNvSpPr txBox="1"/>
                          <wps:spPr>
                            <a:xfrm>
                              <a:off x="1998" y="3516"/>
                              <a:ext cx="2812" cy="516"/>
                            </a:xfrm>
                            <a:prstGeom prst="rect">
                              <a:avLst/>
                            </a:prstGeom>
                            <a:solidFill>
                              <a:srgbClr val="99CCFF"/>
                            </a:solidFill>
                            <a:ln w="9525" cap="flat" cmpd="sng">
                              <a:solidFill>
                                <a:srgbClr val="000000"/>
                              </a:solidFill>
                              <a:prstDash val="solid"/>
                              <a:miter/>
                              <a:headEnd type="none" w="med" len="med"/>
                              <a:tailEnd type="none" w="med" len="med"/>
                            </a:ln>
                          </wps:spPr>
                          <wps:txbx>
                            <w:txbxContent>
                              <w:p>
                                <w:pPr>
                                  <w:pStyle w:val="5"/>
                                  <w:rPr>
                                    <w:rFonts w:hint="default"/>
                                  </w:rPr>
                                </w:pPr>
                                <w:r>
                                  <w:t>项目副经理(副组长)</w:t>
                                </w:r>
                              </w:p>
                            </w:txbxContent>
                          </wps:txbx>
                          <wps:bodyPr wrap="square" lIns="108000" tIns="36000" rIns="108000" bIns="36000" upright="1"/>
                        </wps:wsp>
                        <wps:wsp>
                          <wps:cNvPr id="102" name="文本框 1512"/>
                          <wps:cNvSpPr txBox="1"/>
                          <wps:spPr>
                            <a:xfrm>
                              <a:off x="6860" y="3514"/>
                              <a:ext cx="2812" cy="516"/>
                            </a:xfrm>
                            <a:prstGeom prst="rect">
                              <a:avLst/>
                            </a:prstGeom>
                            <a:solidFill>
                              <a:srgbClr val="99CCFF"/>
                            </a:solidFill>
                            <a:ln w="9525" cap="flat" cmpd="sng">
                              <a:solidFill>
                                <a:srgbClr val="000000"/>
                              </a:solidFill>
                              <a:prstDash val="solid"/>
                              <a:miter/>
                              <a:headEnd type="none" w="med" len="med"/>
                              <a:tailEnd type="none" w="med" len="med"/>
                            </a:ln>
                          </wps:spPr>
                          <wps:txbx>
                            <w:txbxContent>
                              <w:p>
                                <w:pPr>
                                  <w:pStyle w:val="5"/>
                                  <w:rPr>
                                    <w:rFonts w:hint="default"/>
                                  </w:rPr>
                                </w:pPr>
                                <w:r>
                                  <w:t>技术负责人(副组长)</w:t>
                                </w:r>
                              </w:p>
                            </w:txbxContent>
                          </wps:txbx>
                          <wps:bodyPr wrap="square" lIns="108000" tIns="36000" rIns="108000" bIns="36000" upright="1"/>
                        </wps:wsp>
                        <wps:wsp>
                          <wps:cNvPr id="103" name="直线 1513"/>
                          <wps:cNvCnPr/>
                          <wps:spPr>
                            <a:xfrm>
                              <a:off x="5918" y="2568"/>
                              <a:ext cx="0" cy="468"/>
                            </a:xfrm>
                            <a:prstGeom prst="line">
                              <a:avLst/>
                            </a:prstGeom>
                            <a:ln w="9525" cap="flat" cmpd="sng">
                              <a:solidFill>
                                <a:srgbClr val="000000"/>
                              </a:solidFill>
                              <a:prstDash val="solid"/>
                              <a:headEnd type="none" w="med" len="med"/>
                              <a:tailEnd type="triangle" w="med" len="med"/>
                            </a:ln>
                          </wps:spPr>
                          <wps:bodyPr/>
                        </wps:wsp>
                        <wps:wsp>
                          <wps:cNvPr id="104" name="直线 1514"/>
                          <wps:cNvCnPr/>
                          <wps:spPr>
                            <a:xfrm>
                              <a:off x="3398" y="3044"/>
                              <a:ext cx="0" cy="468"/>
                            </a:xfrm>
                            <a:prstGeom prst="line">
                              <a:avLst/>
                            </a:prstGeom>
                            <a:ln w="9525" cap="flat" cmpd="sng">
                              <a:solidFill>
                                <a:srgbClr val="000000"/>
                              </a:solidFill>
                              <a:prstDash val="solid"/>
                              <a:headEnd type="none" w="med" len="med"/>
                              <a:tailEnd type="triangle" w="med" len="med"/>
                            </a:ln>
                          </wps:spPr>
                          <wps:bodyPr/>
                        </wps:wsp>
                        <wps:wsp>
                          <wps:cNvPr id="105" name="直线 1515"/>
                          <wps:cNvCnPr/>
                          <wps:spPr>
                            <a:xfrm>
                              <a:off x="8258" y="3044"/>
                              <a:ext cx="0" cy="468"/>
                            </a:xfrm>
                            <a:prstGeom prst="line">
                              <a:avLst/>
                            </a:prstGeom>
                            <a:ln w="9525" cap="flat" cmpd="sng">
                              <a:solidFill>
                                <a:srgbClr val="000000"/>
                              </a:solidFill>
                              <a:prstDash val="solid"/>
                              <a:headEnd type="none" w="med" len="med"/>
                              <a:tailEnd type="triangle" w="med" len="med"/>
                            </a:ln>
                          </wps:spPr>
                          <wps:bodyPr/>
                        </wps:wsp>
                        <wps:wsp>
                          <wps:cNvPr id="106" name="直线 1516"/>
                          <wps:cNvCnPr/>
                          <wps:spPr>
                            <a:xfrm>
                              <a:off x="3398" y="4040"/>
                              <a:ext cx="0" cy="468"/>
                            </a:xfrm>
                            <a:prstGeom prst="line">
                              <a:avLst/>
                            </a:prstGeom>
                            <a:ln w="9525" cap="flat" cmpd="sng">
                              <a:solidFill>
                                <a:srgbClr val="000000"/>
                              </a:solidFill>
                              <a:prstDash val="solid"/>
                              <a:headEnd type="none" w="med" len="med"/>
                              <a:tailEnd type="triangle" w="med" len="med"/>
                            </a:ln>
                          </wps:spPr>
                          <wps:bodyPr/>
                        </wps:wsp>
                        <wps:wsp>
                          <wps:cNvPr id="107" name="直线 1517"/>
                          <wps:cNvCnPr/>
                          <wps:spPr>
                            <a:xfrm>
                              <a:off x="8258" y="4040"/>
                              <a:ext cx="0" cy="468"/>
                            </a:xfrm>
                            <a:prstGeom prst="line">
                              <a:avLst/>
                            </a:prstGeom>
                            <a:ln w="9525" cap="flat" cmpd="sng">
                              <a:solidFill>
                                <a:srgbClr val="000000"/>
                              </a:solidFill>
                              <a:prstDash val="solid"/>
                              <a:headEnd type="none" w="med" len="med"/>
                              <a:tailEnd type="triangle" w="med" len="med"/>
                            </a:ln>
                          </wps:spPr>
                          <wps:bodyPr/>
                        </wps:wsp>
                        <wps:wsp>
                          <wps:cNvPr id="108" name="文本框 1518"/>
                          <wps:cNvSpPr txBox="1"/>
                          <wps:spPr>
                            <a:xfrm>
                              <a:off x="1238" y="5959"/>
                              <a:ext cx="1808" cy="516"/>
                            </a:xfrm>
                            <a:prstGeom prst="rect">
                              <a:avLst/>
                            </a:prstGeom>
                            <a:solidFill>
                              <a:srgbClr val="99CCFF"/>
                            </a:solidFill>
                            <a:ln w="9525" cap="flat" cmpd="sng">
                              <a:solidFill>
                                <a:srgbClr val="000000"/>
                              </a:solidFill>
                              <a:prstDash val="solid"/>
                              <a:miter/>
                              <a:headEnd type="none" w="med" len="med"/>
                              <a:tailEnd type="none" w="med" len="med"/>
                            </a:ln>
                          </wps:spPr>
                          <wps:txbx>
                            <w:txbxContent>
                              <w:p>
                                <w:pPr>
                                  <w:pStyle w:val="5"/>
                                  <w:rPr>
                                    <w:rFonts w:hint="default"/>
                                  </w:rPr>
                                </w:pPr>
                                <w:r>
                                  <w:t>卫生清扫小队</w:t>
                                </w:r>
                              </w:p>
                            </w:txbxContent>
                          </wps:txbx>
                          <wps:bodyPr wrap="square" lIns="108000" tIns="36000" rIns="108000" bIns="36000" upright="1"/>
                        </wps:wsp>
                        <wps:wsp>
                          <wps:cNvPr id="109" name="文本框 1519"/>
                          <wps:cNvSpPr txBox="1"/>
                          <wps:spPr>
                            <a:xfrm>
                              <a:off x="8966" y="5958"/>
                              <a:ext cx="1808" cy="516"/>
                            </a:xfrm>
                            <a:prstGeom prst="rect">
                              <a:avLst/>
                            </a:prstGeom>
                            <a:solidFill>
                              <a:srgbClr val="99CCFF"/>
                            </a:solidFill>
                            <a:ln w="9525" cap="flat" cmpd="sng">
                              <a:solidFill>
                                <a:srgbClr val="000000"/>
                              </a:solidFill>
                              <a:prstDash val="solid"/>
                              <a:miter/>
                              <a:headEnd type="none" w="med" len="med"/>
                              <a:tailEnd type="none" w="med" len="med"/>
                            </a:ln>
                          </wps:spPr>
                          <wps:txbx>
                            <w:txbxContent>
                              <w:p>
                                <w:pPr>
                                  <w:pStyle w:val="5"/>
                                  <w:rPr>
                                    <w:rFonts w:hint="default"/>
                                  </w:rPr>
                                </w:pPr>
                                <w:r>
                                  <w:t>环保检查员</w:t>
                                </w:r>
                              </w:p>
                            </w:txbxContent>
                          </wps:txbx>
                          <wps:bodyPr wrap="square" lIns="108000" tIns="36000" rIns="108000" bIns="36000" upright="1"/>
                        </wps:wsp>
                        <wps:wsp>
                          <wps:cNvPr id="110" name="文本框 1520"/>
                          <wps:cNvSpPr txBox="1"/>
                          <wps:spPr>
                            <a:xfrm>
                              <a:off x="6456" y="5958"/>
                              <a:ext cx="1807" cy="516"/>
                            </a:xfrm>
                            <a:prstGeom prst="rect">
                              <a:avLst/>
                            </a:prstGeom>
                            <a:solidFill>
                              <a:srgbClr val="99CCFF"/>
                            </a:solidFill>
                            <a:ln w="9525" cap="flat" cmpd="sng">
                              <a:solidFill>
                                <a:srgbClr val="000000"/>
                              </a:solidFill>
                              <a:prstDash val="solid"/>
                              <a:miter/>
                              <a:headEnd type="none" w="med" len="med"/>
                              <a:tailEnd type="none" w="med" len="med"/>
                            </a:ln>
                          </wps:spPr>
                          <wps:txbx>
                            <w:txbxContent>
                              <w:p>
                                <w:pPr>
                                  <w:pStyle w:val="5"/>
                                  <w:rPr>
                                    <w:rFonts w:hint="default"/>
                                  </w:rPr>
                                </w:pPr>
                                <w:r>
                                  <w:t>环保检查员</w:t>
                                </w:r>
                              </w:p>
                            </w:txbxContent>
                          </wps:txbx>
                          <wps:bodyPr wrap="square" lIns="108000" tIns="36000" rIns="108000" bIns="36000" upright="1"/>
                        </wps:wsp>
                        <wps:wsp>
                          <wps:cNvPr id="111" name="文本框 1521"/>
                          <wps:cNvSpPr txBox="1"/>
                          <wps:spPr>
                            <a:xfrm>
                              <a:off x="3745" y="5958"/>
                              <a:ext cx="1807" cy="516"/>
                            </a:xfrm>
                            <a:prstGeom prst="rect">
                              <a:avLst/>
                            </a:prstGeom>
                            <a:solidFill>
                              <a:srgbClr val="99CCFF"/>
                            </a:solidFill>
                            <a:ln w="9525" cap="flat" cmpd="sng">
                              <a:solidFill>
                                <a:srgbClr val="000000"/>
                              </a:solidFill>
                              <a:prstDash val="solid"/>
                              <a:miter/>
                              <a:headEnd type="none" w="med" len="med"/>
                              <a:tailEnd type="none" w="med" len="med"/>
                            </a:ln>
                          </wps:spPr>
                          <wps:txbx>
                            <w:txbxContent>
                              <w:p>
                                <w:pPr>
                                  <w:pStyle w:val="5"/>
                                  <w:rPr>
                                    <w:rFonts w:hint="default"/>
                                  </w:rPr>
                                </w:pPr>
                                <w:r>
                                  <w:t>交通疏导小队</w:t>
                                </w:r>
                              </w:p>
                            </w:txbxContent>
                          </wps:txbx>
                          <wps:bodyPr wrap="square" lIns="108000" tIns="36000" rIns="108000" bIns="36000" upright="1"/>
                        </wps:wsp>
                        <wps:wsp>
                          <wps:cNvPr id="112" name="文本框 1522"/>
                          <wps:cNvSpPr txBox="1"/>
                          <wps:spPr>
                            <a:xfrm>
                              <a:off x="4618" y="7346"/>
                              <a:ext cx="2611" cy="516"/>
                            </a:xfrm>
                            <a:prstGeom prst="rect">
                              <a:avLst/>
                            </a:prstGeom>
                            <a:solidFill>
                              <a:srgbClr val="99CCFF"/>
                            </a:solidFill>
                            <a:ln w="9525" cap="flat" cmpd="sng">
                              <a:solidFill>
                                <a:srgbClr val="000000"/>
                              </a:solidFill>
                              <a:prstDash val="solid"/>
                              <a:miter/>
                              <a:headEnd type="none" w="med" len="med"/>
                              <a:tailEnd type="none" w="med" len="med"/>
                            </a:ln>
                          </wps:spPr>
                          <wps:txbx>
                            <w:txbxContent>
                              <w:p>
                                <w:pPr>
                                  <w:pStyle w:val="5"/>
                                  <w:rPr>
                                    <w:rFonts w:hint="default"/>
                                  </w:rPr>
                                </w:pPr>
                                <w:r>
                                  <w:t>现 场 施 工</w:t>
                                </w:r>
                              </w:p>
                            </w:txbxContent>
                          </wps:txbx>
                          <wps:bodyPr wrap="square" lIns="360000" tIns="36000" rIns="360000" bIns="36000" upright="1"/>
                        </wps:wsp>
                        <wps:wsp>
                          <wps:cNvPr id="113" name="直线 1523"/>
                          <wps:cNvCnPr/>
                          <wps:spPr>
                            <a:xfrm flipH="1">
                              <a:off x="2130" y="6486"/>
                              <a:ext cx="6" cy="394"/>
                            </a:xfrm>
                            <a:prstGeom prst="line">
                              <a:avLst/>
                            </a:prstGeom>
                            <a:ln w="12700" cap="flat" cmpd="sng">
                              <a:solidFill>
                                <a:srgbClr val="000000"/>
                              </a:solidFill>
                              <a:prstDash val="solid"/>
                              <a:headEnd type="none" w="med" len="med"/>
                              <a:tailEnd type="none" w="sm" len="med"/>
                            </a:ln>
                          </wps:spPr>
                          <wps:bodyPr/>
                        </wps:wsp>
                        <wps:wsp>
                          <wps:cNvPr id="114" name="直线 1524"/>
                          <wps:cNvCnPr/>
                          <wps:spPr>
                            <a:xfrm flipH="1">
                              <a:off x="4654" y="6474"/>
                              <a:ext cx="6" cy="394"/>
                            </a:xfrm>
                            <a:prstGeom prst="line">
                              <a:avLst/>
                            </a:prstGeom>
                            <a:ln w="12700" cap="flat" cmpd="sng">
                              <a:solidFill>
                                <a:srgbClr val="000000"/>
                              </a:solidFill>
                              <a:prstDash val="solid"/>
                              <a:headEnd type="none" w="med" len="med"/>
                              <a:tailEnd type="none" w="sm" len="med"/>
                            </a:ln>
                          </wps:spPr>
                          <wps:bodyPr/>
                        </wps:wsp>
                        <wps:wsp>
                          <wps:cNvPr id="115" name="直线 1525"/>
                          <wps:cNvCnPr/>
                          <wps:spPr>
                            <a:xfrm flipH="1">
                              <a:off x="7358" y="6474"/>
                              <a:ext cx="6" cy="394"/>
                            </a:xfrm>
                            <a:prstGeom prst="line">
                              <a:avLst/>
                            </a:prstGeom>
                            <a:ln w="12700" cap="flat" cmpd="sng">
                              <a:solidFill>
                                <a:srgbClr val="000000"/>
                              </a:solidFill>
                              <a:prstDash val="solid"/>
                              <a:headEnd type="none" w="med" len="med"/>
                              <a:tailEnd type="none" w="sm" len="med"/>
                            </a:ln>
                          </wps:spPr>
                          <wps:bodyPr/>
                        </wps:wsp>
                        <wps:wsp>
                          <wps:cNvPr id="116" name="直线 1526"/>
                          <wps:cNvCnPr/>
                          <wps:spPr>
                            <a:xfrm flipH="1">
                              <a:off x="9870" y="6474"/>
                              <a:ext cx="6" cy="394"/>
                            </a:xfrm>
                            <a:prstGeom prst="line">
                              <a:avLst/>
                            </a:prstGeom>
                            <a:ln w="12700" cap="flat" cmpd="sng">
                              <a:solidFill>
                                <a:srgbClr val="000000"/>
                              </a:solidFill>
                              <a:prstDash val="solid"/>
                              <a:headEnd type="none" w="med" len="med"/>
                              <a:tailEnd type="none" w="sm" len="med"/>
                            </a:ln>
                          </wps:spPr>
                          <wps:bodyPr/>
                        </wps:wsp>
                        <wps:wsp>
                          <wps:cNvPr id="117" name="文本框 1527"/>
                          <wps:cNvSpPr txBox="1"/>
                          <wps:spPr>
                            <a:xfrm>
                              <a:off x="1252" y="4980"/>
                              <a:ext cx="1808" cy="516"/>
                            </a:xfrm>
                            <a:prstGeom prst="rect">
                              <a:avLst/>
                            </a:prstGeom>
                            <a:solidFill>
                              <a:srgbClr val="99CCFF"/>
                            </a:solidFill>
                            <a:ln w="9525" cap="flat" cmpd="sng">
                              <a:solidFill>
                                <a:srgbClr val="000000"/>
                              </a:solidFill>
                              <a:prstDash val="solid"/>
                              <a:miter/>
                              <a:headEnd type="none" w="med" len="med"/>
                              <a:tailEnd type="none" w="med" len="med"/>
                            </a:ln>
                          </wps:spPr>
                          <wps:txbx>
                            <w:txbxContent>
                              <w:p>
                                <w:pPr>
                                  <w:pStyle w:val="5"/>
                                  <w:rPr>
                                    <w:rFonts w:hint="default"/>
                                  </w:rPr>
                                </w:pPr>
                                <w:r>
                                  <w:t>环保检查员</w:t>
                                </w:r>
                              </w:p>
                            </w:txbxContent>
                          </wps:txbx>
                          <wps:bodyPr wrap="square" lIns="108000" tIns="36000" rIns="108000" bIns="36000" upright="1"/>
                        </wps:wsp>
                        <wps:wsp>
                          <wps:cNvPr id="118" name="文本框 1528"/>
                          <wps:cNvSpPr txBox="1"/>
                          <wps:spPr>
                            <a:xfrm>
                              <a:off x="3774" y="4978"/>
                              <a:ext cx="1807" cy="516"/>
                            </a:xfrm>
                            <a:prstGeom prst="rect">
                              <a:avLst/>
                            </a:prstGeom>
                            <a:solidFill>
                              <a:srgbClr val="99CCFF"/>
                            </a:solidFill>
                            <a:ln w="9525" cap="flat" cmpd="sng">
                              <a:solidFill>
                                <a:srgbClr val="000000"/>
                              </a:solidFill>
                              <a:prstDash val="solid"/>
                              <a:miter/>
                              <a:headEnd type="none" w="med" len="med"/>
                              <a:tailEnd type="none" w="med" len="med"/>
                            </a:ln>
                          </wps:spPr>
                          <wps:txbx>
                            <w:txbxContent>
                              <w:p>
                                <w:pPr>
                                  <w:pStyle w:val="5"/>
                                  <w:rPr>
                                    <w:rFonts w:hint="default"/>
                                  </w:rPr>
                                </w:pPr>
                                <w:r>
                                  <w:t>交通检查员</w:t>
                                </w:r>
                              </w:p>
                            </w:txbxContent>
                          </wps:txbx>
                          <wps:bodyPr wrap="square" lIns="108000" tIns="36000" rIns="108000" bIns="36000" upright="1"/>
                        </wps:wsp>
                        <wps:wsp>
                          <wps:cNvPr id="119" name="文本框 1529"/>
                          <wps:cNvSpPr txBox="1"/>
                          <wps:spPr>
                            <a:xfrm>
                              <a:off x="6476" y="4981"/>
                              <a:ext cx="1807" cy="516"/>
                            </a:xfrm>
                            <a:prstGeom prst="rect">
                              <a:avLst/>
                            </a:prstGeom>
                            <a:solidFill>
                              <a:srgbClr val="99CCFF"/>
                            </a:solidFill>
                            <a:ln w="9525" cap="flat" cmpd="sng">
                              <a:solidFill>
                                <a:srgbClr val="000000"/>
                              </a:solidFill>
                              <a:prstDash val="solid"/>
                              <a:miter/>
                              <a:headEnd type="none" w="med" len="med"/>
                              <a:tailEnd type="none" w="med" len="med"/>
                            </a:ln>
                          </wps:spPr>
                          <wps:txbx>
                            <w:txbxContent>
                              <w:p>
                                <w:pPr>
                                  <w:pStyle w:val="5"/>
                                  <w:rPr>
                                    <w:rFonts w:hint="default"/>
                                  </w:rPr>
                                </w:pPr>
                                <w:r>
                                  <w:t>文明施工员</w:t>
                                </w:r>
                              </w:p>
                            </w:txbxContent>
                          </wps:txbx>
                          <wps:bodyPr wrap="square" lIns="108000" tIns="36000" rIns="108000" bIns="36000" upright="1"/>
                        </wps:wsp>
                        <wps:wsp>
                          <wps:cNvPr id="120" name="文本框 1530"/>
                          <wps:cNvSpPr txBox="1"/>
                          <wps:spPr>
                            <a:xfrm>
                              <a:off x="8986" y="4981"/>
                              <a:ext cx="1808" cy="516"/>
                            </a:xfrm>
                            <a:prstGeom prst="rect">
                              <a:avLst/>
                            </a:prstGeom>
                            <a:solidFill>
                              <a:srgbClr val="99CCFF"/>
                            </a:solidFill>
                            <a:ln w="9525" cap="flat" cmpd="sng">
                              <a:solidFill>
                                <a:srgbClr val="000000"/>
                              </a:solidFill>
                              <a:prstDash val="solid"/>
                              <a:miter/>
                              <a:headEnd type="none" w="med" len="med"/>
                              <a:tailEnd type="none" w="med" len="med"/>
                            </a:ln>
                          </wps:spPr>
                          <wps:txbx>
                            <w:txbxContent>
                              <w:p>
                                <w:pPr>
                                  <w:pStyle w:val="5"/>
                                  <w:rPr>
                                    <w:rFonts w:hint="default"/>
                                  </w:rPr>
                                </w:pPr>
                                <w:r>
                                  <w:t>施工安全员</w:t>
                                </w:r>
                              </w:p>
                            </w:txbxContent>
                          </wps:txbx>
                          <wps:bodyPr wrap="square" lIns="108000" tIns="36000" rIns="108000" bIns="36000" upright="1"/>
                        </wps:wsp>
                        <wps:wsp>
                          <wps:cNvPr id="121" name="直线 1531"/>
                          <wps:cNvCnPr/>
                          <wps:spPr>
                            <a:xfrm>
                              <a:off x="2136" y="4512"/>
                              <a:ext cx="0" cy="468"/>
                            </a:xfrm>
                            <a:prstGeom prst="line">
                              <a:avLst/>
                            </a:prstGeom>
                            <a:ln w="9525" cap="flat" cmpd="sng">
                              <a:solidFill>
                                <a:srgbClr val="000000"/>
                              </a:solidFill>
                              <a:prstDash val="solid"/>
                              <a:headEnd type="none" w="med" len="med"/>
                              <a:tailEnd type="triangle" w="med" len="med"/>
                            </a:ln>
                          </wps:spPr>
                          <wps:bodyPr/>
                        </wps:wsp>
                        <wps:wsp>
                          <wps:cNvPr id="122" name="直线 1532"/>
                          <wps:cNvCnPr/>
                          <wps:spPr>
                            <a:xfrm>
                              <a:off x="4657" y="4513"/>
                              <a:ext cx="0" cy="468"/>
                            </a:xfrm>
                            <a:prstGeom prst="line">
                              <a:avLst/>
                            </a:prstGeom>
                            <a:ln w="9525" cap="flat" cmpd="sng">
                              <a:solidFill>
                                <a:srgbClr val="000000"/>
                              </a:solidFill>
                              <a:prstDash val="solid"/>
                              <a:headEnd type="none" w="med" len="med"/>
                              <a:tailEnd type="triangle" w="med" len="med"/>
                            </a:ln>
                          </wps:spPr>
                          <wps:bodyPr/>
                        </wps:wsp>
                        <wps:wsp>
                          <wps:cNvPr id="123" name="直线 1533"/>
                          <wps:cNvCnPr/>
                          <wps:spPr>
                            <a:xfrm>
                              <a:off x="7418" y="4522"/>
                              <a:ext cx="0" cy="468"/>
                            </a:xfrm>
                            <a:prstGeom prst="line">
                              <a:avLst/>
                            </a:prstGeom>
                            <a:ln w="9525" cap="flat" cmpd="sng">
                              <a:solidFill>
                                <a:srgbClr val="000000"/>
                              </a:solidFill>
                              <a:prstDash val="solid"/>
                              <a:headEnd type="none" w="med" len="med"/>
                              <a:tailEnd type="triangle" w="med" len="med"/>
                            </a:ln>
                          </wps:spPr>
                          <wps:bodyPr/>
                        </wps:wsp>
                        <wps:wsp>
                          <wps:cNvPr id="124" name="直线 1534"/>
                          <wps:cNvCnPr/>
                          <wps:spPr>
                            <a:xfrm>
                              <a:off x="9878" y="4522"/>
                              <a:ext cx="0" cy="468"/>
                            </a:xfrm>
                            <a:prstGeom prst="line">
                              <a:avLst/>
                            </a:prstGeom>
                            <a:ln w="9525" cap="flat" cmpd="sng">
                              <a:solidFill>
                                <a:srgbClr val="000000"/>
                              </a:solidFill>
                              <a:prstDash val="solid"/>
                              <a:headEnd type="none" w="med" len="med"/>
                              <a:tailEnd type="triangle" w="med" len="med"/>
                            </a:ln>
                          </wps:spPr>
                          <wps:bodyPr/>
                        </wps:wsp>
                        <wps:wsp>
                          <wps:cNvPr id="125" name="直线 1535"/>
                          <wps:cNvCnPr/>
                          <wps:spPr>
                            <a:xfrm>
                              <a:off x="2138" y="4512"/>
                              <a:ext cx="7740" cy="0"/>
                            </a:xfrm>
                            <a:prstGeom prst="line">
                              <a:avLst/>
                            </a:prstGeom>
                            <a:ln w="9525" cap="flat" cmpd="sng">
                              <a:solidFill>
                                <a:srgbClr val="000000"/>
                              </a:solidFill>
                              <a:prstDash val="solid"/>
                              <a:headEnd type="none" w="med" len="med"/>
                              <a:tailEnd type="none" w="med" len="med"/>
                            </a:ln>
                          </wps:spPr>
                          <wps:bodyPr/>
                        </wps:wsp>
                        <wps:wsp>
                          <wps:cNvPr id="126" name="直线 1536"/>
                          <wps:cNvCnPr/>
                          <wps:spPr>
                            <a:xfrm>
                              <a:off x="2138" y="5496"/>
                              <a:ext cx="0" cy="468"/>
                            </a:xfrm>
                            <a:prstGeom prst="line">
                              <a:avLst/>
                            </a:prstGeom>
                            <a:ln w="9525" cap="flat" cmpd="sng">
                              <a:solidFill>
                                <a:srgbClr val="000000"/>
                              </a:solidFill>
                              <a:prstDash val="solid"/>
                              <a:headEnd type="none" w="med" len="med"/>
                              <a:tailEnd type="triangle" w="med" len="med"/>
                            </a:ln>
                          </wps:spPr>
                          <wps:bodyPr/>
                        </wps:wsp>
                        <wps:wsp>
                          <wps:cNvPr id="127" name="直线 1537"/>
                          <wps:cNvCnPr/>
                          <wps:spPr>
                            <a:xfrm>
                              <a:off x="4658" y="5496"/>
                              <a:ext cx="0" cy="468"/>
                            </a:xfrm>
                            <a:prstGeom prst="line">
                              <a:avLst/>
                            </a:prstGeom>
                            <a:ln w="9525" cap="flat" cmpd="sng">
                              <a:solidFill>
                                <a:srgbClr val="000000"/>
                              </a:solidFill>
                              <a:prstDash val="solid"/>
                              <a:headEnd type="none" w="med" len="med"/>
                              <a:tailEnd type="triangle" w="med" len="med"/>
                            </a:ln>
                          </wps:spPr>
                          <wps:bodyPr/>
                        </wps:wsp>
                        <wps:wsp>
                          <wps:cNvPr id="128" name="直线 1538"/>
                          <wps:cNvCnPr/>
                          <wps:spPr>
                            <a:xfrm>
                              <a:off x="7406" y="5496"/>
                              <a:ext cx="0" cy="468"/>
                            </a:xfrm>
                            <a:prstGeom prst="line">
                              <a:avLst/>
                            </a:prstGeom>
                            <a:ln w="9525" cap="flat" cmpd="sng">
                              <a:solidFill>
                                <a:srgbClr val="000000"/>
                              </a:solidFill>
                              <a:prstDash val="solid"/>
                              <a:headEnd type="none" w="med" len="med"/>
                              <a:tailEnd type="triangle" w="med" len="med"/>
                            </a:ln>
                          </wps:spPr>
                          <wps:bodyPr/>
                        </wps:wsp>
                        <wps:wsp>
                          <wps:cNvPr id="129" name="直线 1539"/>
                          <wps:cNvCnPr/>
                          <wps:spPr>
                            <a:xfrm>
                              <a:off x="9878" y="5496"/>
                              <a:ext cx="0" cy="468"/>
                            </a:xfrm>
                            <a:prstGeom prst="line">
                              <a:avLst/>
                            </a:prstGeom>
                            <a:ln w="9525" cap="flat" cmpd="sng">
                              <a:solidFill>
                                <a:srgbClr val="000000"/>
                              </a:solidFill>
                              <a:prstDash val="solid"/>
                              <a:headEnd type="none" w="med" len="med"/>
                              <a:tailEnd type="triangle" w="med" len="med"/>
                            </a:ln>
                          </wps:spPr>
                          <wps:bodyPr/>
                        </wps:wsp>
                        <wps:wsp>
                          <wps:cNvPr id="130" name="直线 1540"/>
                          <wps:cNvCnPr/>
                          <wps:spPr>
                            <a:xfrm>
                              <a:off x="5918" y="6876"/>
                              <a:ext cx="0" cy="468"/>
                            </a:xfrm>
                            <a:prstGeom prst="line">
                              <a:avLst/>
                            </a:prstGeom>
                            <a:ln w="9525" cap="flat" cmpd="sng">
                              <a:solidFill>
                                <a:srgbClr val="000000"/>
                              </a:solidFill>
                              <a:prstDash val="solid"/>
                              <a:headEnd type="none" w="med" len="med"/>
                              <a:tailEnd type="triangle" w="med" len="med"/>
                            </a:ln>
                          </wps:spPr>
                          <wps:bodyPr/>
                        </wps:wsp>
                        <wps:wsp>
                          <wps:cNvPr id="131" name="直线 1541"/>
                          <wps:cNvCnPr/>
                          <wps:spPr>
                            <a:xfrm>
                              <a:off x="2130" y="6876"/>
                              <a:ext cx="7740" cy="0"/>
                            </a:xfrm>
                            <a:prstGeom prst="line">
                              <a:avLst/>
                            </a:prstGeom>
                            <a:ln w="9525" cap="flat" cmpd="sng">
                              <a:solidFill>
                                <a:srgbClr val="000000"/>
                              </a:solidFill>
                              <a:prstDash val="solid"/>
                              <a:headEnd type="none" w="med" len="med"/>
                              <a:tailEnd type="none" w="med" len="med"/>
                            </a:ln>
                          </wps:spPr>
                          <wps:bodyPr/>
                        </wps:wsp>
                      </wpg:grpSp>
                    </wpg:wgp>
                  </a:graphicData>
                </a:graphic>
              </wp:anchor>
            </w:drawing>
          </mc:Choice>
          <mc:Fallback>
            <w:pict>
              <v:group id="组合 1507" o:spid="_x0000_s1026" o:spt="203" style="position:absolute;left:0pt;margin-left:-38.4pt;margin-top:8.2pt;height:291.2pt;width:477.8pt;z-index:251665408;mso-width-relative:page;mso-height-relative:page;" coordorigin="1238,2038" coordsize="9556,5824" o:gfxdata="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">
                <o:lock v:ext="edit" aspectratio="f"/>
                <v:line id="直线 1508" o:spid="_x0000_s1026" o:spt="20" style="position:absolute;left:3398;top:3036;height:0;width:4860;" filled="f" stroked="t" coordsize="21600,21600" o:gfxdata="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Ve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id="组合 1509" o:spid="_x0000_s1026" o:spt="203" style="position:absolute;left:1238;top:2038;height:5824;width:9556;" coordorigin="1238,2038" coordsize="9556,5824" o:gfxdata="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GhsgL0AAADcAAAADwAAAAAAAAABACAAAAAiAAAAZHJzL2Rvd25yZXYueG1s&#10;UEsBAhQAFAAAAAgAh07iQDMvBZ47AAAAOQAAABUAAAAAAAAAAQAgAAAADAEAAGRycy9ncm91cHNo&#10;YXBleG1sLnhtbFBLBQYAAAAABgAGAGABAADJAwAAAAA=&#10;">
                  <o:lock v:ext="edit" aspectratio="f"/>
                  <v:shape id="文本框 1510" o:spid="_x0000_s1026" o:spt="202" type="#_x0000_t202" style="position:absolute;left:4752;top:2038;height:516;width:2410;" fillcolor="#99CCFF" filled="t" stroked="t" coordsize="21600,21600" o:gfxdata="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VWqu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6mm,1mm,6mm,1mm">
                      <w:txbxContent>
                        <w:p>
                          <w:pPr>
                            <w:pStyle w:val="5"/>
                            <w:rPr>
                              <w:rFonts w:hint="default"/>
                            </w:rPr>
                          </w:pPr>
                          <w:r>
                            <w:t>项目经理(组长)</w:t>
                          </w:r>
                        </w:p>
                      </w:txbxContent>
                    </v:textbox>
                  </v:shape>
                  <v:shape id="文本框 1511" o:spid="_x0000_s1026" o:spt="202" type="#_x0000_t202" style="position:absolute;left:1998;top:3516;height:516;width:2812;" fillcolor="#99CCFF" filled="t" stroked="t" coordsize="21600,21600" o:gfxdata="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CA9Gu5AAAA3A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inset="3mm,1mm,3mm,1mm">
                      <w:txbxContent>
                        <w:p>
                          <w:pPr>
                            <w:pStyle w:val="5"/>
                            <w:rPr>
                              <w:rFonts w:hint="default"/>
                            </w:rPr>
                          </w:pPr>
                          <w:r>
                            <w:t>项目副经理(副组长)</w:t>
                          </w:r>
                        </w:p>
                      </w:txbxContent>
                    </v:textbox>
                  </v:shape>
                  <v:shape id="文本框 1512" o:spid="_x0000_s1026" o:spt="202" type="#_x0000_t202" style="position:absolute;left:6860;top:3514;height:516;width:2812;" fillcolor="#99CCFF" filled="t" stroked="t" coordsize="21600,21600" o:gfxdata="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FJqHLgAAADc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inset="3mm,1mm,3mm,1mm">
                      <w:txbxContent>
                        <w:p>
                          <w:pPr>
                            <w:pStyle w:val="5"/>
                            <w:rPr>
                              <w:rFonts w:hint="default"/>
                            </w:rPr>
                          </w:pPr>
                          <w:r>
                            <w:t>技术负责人(副组长)</w:t>
                          </w:r>
                        </w:p>
                      </w:txbxContent>
                    </v:textbox>
                  </v:shape>
                  <v:line id="直线 1513" o:spid="_x0000_s1026" o:spt="20" style="position:absolute;left:5918;top:2568;height:468;width:0;" filled="f" stroked="t" coordsize="21600,21600" o:gfxdata="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b2DB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514" o:spid="_x0000_s1026" o:spt="20" style="position:absolute;left:3398;top:3044;height:468;width:0;" filled="f" stroked="t" coordsize="21600,21600" o:gfxdata="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hvi1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515" o:spid="_x0000_s1026" o:spt="20" style="position:absolute;left:8258;top:3044;height:468;width:0;" filled="f" stroked="t" coordsize="21600,21600" o:gfxdata="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yl0u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516" o:spid="_x0000_s1026" o:spt="20" style="position:absolute;left:3398;top:4040;height:468;width:0;" filled="f" stroked="t" coordsize="21600,21600" o:gfxdata="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GMNZ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517" o:spid="_x0000_s1026" o:spt="20" style="position:absolute;left:8258;top:4040;height:468;width:0;" filled="f" stroked="t" coordsize="21600,21600" o:gfxdata="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VGb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文本框 1518" o:spid="_x0000_s1026" o:spt="202" type="#_x0000_t202" style="position:absolute;left:1238;top:5959;height:516;width:1808;" fillcolor="#99CCFF" filled="t" stroked="t" coordsize="21600,21600" o:gfxdata="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6Xfa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3mm,1mm,3mm,1mm">
                      <w:txbxContent>
                        <w:p>
                          <w:pPr>
                            <w:pStyle w:val="5"/>
                            <w:rPr>
                              <w:rFonts w:hint="default"/>
                            </w:rPr>
                          </w:pPr>
                          <w:r>
                            <w:t>卫生清扫小队</w:t>
                          </w:r>
                        </w:p>
                      </w:txbxContent>
                    </v:textbox>
                  </v:shape>
                  <v:shape id="文本框 1519" o:spid="_x0000_s1026" o:spt="202" type="#_x0000_t202" style="position:absolute;left:8966;top:5958;height:516;width:1808;" fillcolor="#99CCFF" filled="t" stroked="t" coordsize="21600,21600" o:gfxdata="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9vht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3mm,1mm,3mm,1mm">
                      <w:txbxContent>
                        <w:p>
                          <w:pPr>
                            <w:pStyle w:val="5"/>
                            <w:rPr>
                              <w:rFonts w:hint="default"/>
                            </w:rPr>
                          </w:pPr>
                          <w:r>
                            <w:t>环保检查员</w:t>
                          </w:r>
                        </w:p>
                      </w:txbxContent>
                    </v:textbox>
                  </v:shape>
                  <v:shape id="文本框 1520" o:spid="_x0000_s1026" o:spt="202" type="#_x0000_t202" style="position:absolute;left:6456;top:5958;height:516;width:1807;" fillcolor="#99CCFF" filled="t" stroked="t" coordsize="21600,21600" o:gfxdata="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Fcct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3mm,1mm,3mm,1mm">
                      <w:txbxContent>
                        <w:p>
                          <w:pPr>
                            <w:pStyle w:val="5"/>
                            <w:rPr>
                              <w:rFonts w:hint="default"/>
                            </w:rPr>
                          </w:pPr>
                          <w:r>
                            <w:t>环保检查员</w:t>
                          </w:r>
                        </w:p>
                      </w:txbxContent>
                    </v:textbox>
                  </v:shape>
                  <v:shape id="文本框 1521" o:spid="_x0000_s1026" o:spt="202" type="#_x0000_t202" style="position:absolute;left:3745;top:5958;height:516;width:1807;" fillcolor="#99CCFF" filled="t" stroked="t" coordsize="21600,21600" o:gfxdata="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WWK2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3mm,1mm,3mm,1mm">
                      <w:txbxContent>
                        <w:p>
                          <w:pPr>
                            <w:pStyle w:val="5"/>
                            <w:rPr>
                              <w:rFonts w:hint="default"/>
                            </w:rPr>
                          </w:pPr>
                          <w:r>
                            <w:t>交通疏导小队</w:t>
                          </w:r>
                        </w:p>
                      </w:txbxContent>
                    </v:textbox>
                  </v:shape>
                  <v:shape id="文本框 1522" o:spid="_x0000_s1026" o:spt="202" type="#_x0000_t202" style="position:absolute;left:4618;top:7346;height:516;width:2611;" fillcolor="#99CCFF" filled="t" stroked="t" coordsize="21600,21600" o:gfxdata="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NEYgy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10mm,1mm,10mm,1mm">
                      <w:txbxContent>
                        <w:p>
                          <w:pPr>
                            <w:pStyle w:val="5"/>
                            <w:rPr>
                              <w:rFonts w:hint="default"/>
                            </w:rPr>
                          </w:pPr>
                          <w:r>
                            <w:t>现 场 施 工</w:t>
                          </w:r>
                        </w:p>
                      </w:txbxContent>
                    </v:textbox>
                  </v:shape>
                  <v:line id="直线 1523" o:spid="_x0000_s1026" o:spt="20" style="position:absolute;left:2130;top:6486;flip:x;height:394;width:6;" filled="f" stroked="t" coordsize="21600,21600" o:gfxdata="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New8K8AAAA&#10;3AAAAA8AAAAAAAAAAQAgAAAAIgAAAGRycy9kb3ducmV2LnhtbFBLAQIUABQAAAAIAIdO4kAzLwWe&#10;OwAAADkAAAAQAAAAAAAAAAEAIAAAAAsBAABkcnMvc2hhcGV4bWwueG1sUEsFBgAAAAAGAAYAWwEA&#10;ALUDAAAAAA==&#10;">
                    <v:fill on="f" focussize="0,0"/>
                    <v:stroke weight="1pt" color="#000000" joinstyle="round" endarrowwidth="narrow"/>
                    <v:imagedata o:title=""/>
                    <o:lock v:ext="edit" aspectratio="f"/>
                  </v:line>
                  <v:line id="直线 1524" o:spid="_x0000_s1026" o:spt="20" style="position:absolute;left:4654;top:6474;flip:x;height:394;width:6;" filled="f" stroked="t" coordsize="21600,21600" o:gfxdata="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LdbtrsAAADc&#10;AAAADwAAAAAAAAABACAAAAAiAAAAZHJzL2Rvd25yZXYueG1sUEsBAhQAFAAAAAgAh07iQDMvBZ47&#10;AAAAOQAAABAAAAAAAAAAAQAgAAAACgEAAGRycy9zaGFwZXhtbC54bWxQSwUGAAAAAAYABgBbAQAA&#10;tAMAAAAA&#10;">
                    <v:fill on="f" focussize="0,0"/>
                    <v:stroke weight="1pt" color="#000000" joinstyle="round" endarrowwidth="narrow"/>
                    <v:imagedata o:title=""/>
                    <o:lock v:ext="edit" aspectratio="f"/>
                  </v:line>
                  <v:line id="直线 1525" o:spid="_x0000_s1026" o:spt="20" style="position:absolute;left:7358;top:6474;flip:x;height:394;width:6;" filled="f" stroked="t" coordsize="21600,21600" o:gfxdata="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v+LbsAAADc&#10;AAAADwAAAAAAAAABACAAAAAiAAAAZHJzL2Rvd25yZXYueG1sUEsBAhQAFAAAAAgAh07iQDMvBZ47&#10;AAAAOQAAABAAAAAAAAAAAQAgAAAACgEAAGRycy9zaGFwZXhtbC54bWxQSwUGAAAAAAYABgBbAQAA&#10;tAMAAAAA&#10;">
                    <v:fill on="f" focussize="0,0"/>
                    <v:stroke weight="1pt" color="#000000" joinstyle="round" endarrowwidth="narrow"/>
                    <v:imagedata o:title=""/>
                    <o:lock v:ext="edit" aspectratio="f"/>
                  </v:line>
                  <v:line id="直线 1526" o:spid="_x0000_s1026" o:spt="20" style="position:absolute;left:9870;top:6474;flip:x;height:394;width:6;" filled="f" stroked="t" coordsize="21600,21600" o:gfxdata="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pYFq8AAAA&#10;3AAAAA8AAAAAAAAAAQAgAAAAIgAAAGRycy9kb3ducmV2LnhtbFBLAQIUABQAAAAIAIdO4kAzLwWe&#10;OwAAADkAAAAQAAAAAAAAAAEAIAAAAAsBAABkcnMvc2hhcGV4bWwueG1sUEsFBgAAAAAGAAYAWwEA&#10;ALUDAAAAAA==&#10;">
                    <v:fill on="f" focussize="0,0"/>
                    <v:stroke weight="1pt" color="#000000" joinstyle="round" endarrowwidth="narrow"/>
                    <v:imagedata o:title=""/>
                    <o:lock v:ext="edit" aspectratio="f"/>
                  </v:line>
                  <v:shape id="文本框 1527" o:spid="_x0000_s1026" o:spt="202" type="#_x0000_t202" style="position:absolute;left:1252;top:4980;height:516;width:1808;" fillcolor="#99CCFF" filled="t" stroked="t" coordsize="21600,21600" o:gfxdata="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X8X1m5AAAA3A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inset="3mm,1mm,3mm,1mm">
                      <w:txbxContent>
                        <w:p>
                          <w:pPr>
                            <w:pStyle w:val="5"/>
                            <w:rPr>
                              <w:rFonts w:hint="default"/>
                            </w:rPr>
                          </w:pPr>
                          <w:r>
                            <w:t>环保检查员</w:t>
                          </w:r>
                        </w:p>
                      </w:txbxContent>
                    </v:textbox>
                  </v:shape>
                  <v:shape id="文本框 1528" o:spid="_x0000_s1026" o:spt="202" type="#_x0000_t202" style="position:absolute;left:3774;top:4978;height:516;width:1807;" fillcolor="#99CCFF" filled="t" stroked="t" coordsize="21600,21600" o:gfxdata="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Y8sr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3mm,1mm,3mm,1mm">
                      <w:txbxContent>
                        <w:p>
                          <w:pPr>
                            <w:pStyle w:val="5"/>
                            <w:rPr>
                              <w:rFonts w:hint="default"/>
                            </w:rPr>
                          </w:pPr>
                          <w:r>
                            <w:t>交通检查员</w:t>
                          </w:r>
                        </w:p>
                      </w:txbxContent>
                    </v:textbox>
                  </v:shape>
                  <v:shape id="文本框 1529" o:spid="_x0000_s1026" o:spt="202" type="#_x0000_t202" style="position:absolute;left:6476;top:4981;height:516;width:1807;" fillcolor="#99CCFF" filled="t" stroked="t" coordsize="21600,21600" o:gfxdata="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9us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3mm,1mm,3mm,1mm">
                      <w:txbxContent>
                        <w:p>
                          <w:pPr>
                            <w:pStyle w:val="5"/>
                            <w:rPr>
                              <w:rFonts w:hint="default"/>
                            </w:rPr>
                          </w:pPr>
                          <w:r>
                            <w:t>文明施工员</w:t>
                          </w:r>
                        </w:p>
                      </w:txbxContent>
                    </v:textbox>
                  </v:shape>
                  <v:shape id="文本框 1530" o:spid="_x0000_s1026" o:spt="202" type="#_x0000_t202" style="position:absolute;left:8986;top:4981;height:516;width:1808;" fillcolor="#99CCFF" filled="t" stroked="t" coordsize="21600,21600" o:gfxdata="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eQ2Q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3mm,1mm,3mm,1mm">
                      <w:txbxContent>
                        <w:p>
                          <w:pPr>
                            <w:pStyle w:val="5"/>
                            <w:rPr>
                              <w:rFonts w:hint="default"/>
                            </w:rPr>
                          </w:pPr>
                          <w:r>
                            <w:t>施工安全员</w:t>
                          </w:r>
                        </w:p>
                      </w:txbxContent>
                    </v:textbox>
                  </v:shape>
                  <v:line id="直线 1531" o:spid="_x0000_s1026" o:spt="20" style="position:absolute;left:2136;top:4512;height:468;width:0;" filled="f" stroked="t" coordsize="21600,21600" o:gfxdata="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kQHT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1532" o:spid="_x0000_s1026" o:spt="20" style="position:absolute;left:4657;top:4513;height:468;width:0;" filled="f" stroked="t" coordsize="21600,21600" o:gfxdata="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lpk6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533" o:spid="_x0000_s1026" o:spt="20" style="position:absolute;left:7418;top:4522;height:468;width:0;" filled="f" stroked="t" coordsize="21600,21600" o:gfxdata="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do8o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1534" o:spid="_x0000_s1026" o:spt="20" style="position:absolute;left:9878;top:4522;height:468;width:0;" filled="f" stroked="t" coordsize="21600,21600" o:gfxdata="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jOk1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1535" o:spid="_x0000_s1026" o:spt="20" style="position:absolute;left:2138;top:4512;height:0;width:7740;" filled="f" stroked="t" coordsize="21600,21600" o:gfxdata="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z9m3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1536" o:spid="_x0000_s1026" o:spt="20" style="position:absolute;left:2138;top:5496;height:468;width:0;" filled="f" stroked="t" coordsize="21600,21600" o:gfxdata="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2tnzm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1537" o:spid="_x0000_s1026" o:spt="20" style="position:absolute;left:4658;top:5496;height:468;width:0;" filled="f" stroked="t" coordsize="21600,21600" o:gfxdata="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uE6or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1538" o:spid="_x0000_s1026" o:spt="20" style="position:absolute;left:7406;top:5496;height:468;width:0;" filled="f" stroked="t" coordsize="21600,21600" o:gfxdata="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fq7Q&#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1539" o:spid="_x0000_s1026" o:spt="20" style="position:absolute;left:9878;top:5496;height:468;width:0;" filled="f" stroked="t" coordsize="21600,21600" o:gfxdata="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DILS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1540" o:spid="_x0000_s1026" o:spt="20" style="position:absolute;left:5918;top:6876;height:468;width:0;" filled="f" stroked="t" coordsize="21600,21600" o:gfxdata="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o0TQL&#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1541" o:spid="_x0000_s1026" o:spt="20" style="position:absolute;left:2130;top:6876;height:0;width:7740;" filled="f" stroked="t" coordsize="21600,21600" o:gfxdata="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Xd9gG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group>
            </w:pict>
          </mc:Fallback>
        </mc:AlternateContent>
      </w:r>
    </w:p>
    <w:p>
      <w:pPr>
        <w:ind w:firstLine="560"/>
        <w:rPr>
          <w:rFonts w:ascii="仿宋_GB2312" w:hAnsi="GungsuhChe" w:eastAsia="仿宋_GB2312"/>
          <w:bCs/>
          <w:sz w:val="28"/>
          <w:szCs w:val="28"/>
        </w:rPr>
      </w:pPr>
    </w:p>
    <w:p>
      <w:pPr>
        <w:ind w:firstLine="560"/>
        <w:rPr>
          <w:rFonts w:ascii="仿宋_GB2312" w:hAnsi="GungsuhChe" w:eastAsia="仿宋_GB2312"/>
          <w:bCs/>
          <w:sz w:val="28"/>
          <w:szCs w:val="28"/>
        </w:rPr>
      </w:pPr>
    </w:p>
    <w:p>
      <w:pPr>
        <w:ind w:firstLine="560"/>
        <w:rPr>
          <w:rFonts w:ascii="仿宋_GB2312" w:hAnsi="GungsuhChe" w:eastAsia="仿宋_GB2312"/>
          <w:bCs/>
          <w:sz w:val="28"/>
          <w:szCs w:val="28"/>
        </w:rPr>
      </w:pPr>
    </w:p>
    <w:p>
      <w:pPr>
        <w:ind w:firstLine="560"/>
        <w:rPr>
          <w:rFonts w:ascii="仿宋_GB2312" w:hAnsi="GungsuhChe" w:eastAsia="仿宋_GB2312"/>
          <w:bCs/>
          <w:sz w:val="28"/>
          <w:szCs w:val="28"/>
        </w:rPr>
      </w:pPr>
    </w:p>
    <w:p>
      <w:pPr>
        <w:ind w:firstLine="560"/>
        <w:rPr>
          <w:rFonts w:ascii="仿宋_GB2312" w:hAnsi="GungsuhChe" w:eastAsia="仿宋_GB2312"/>
          <w:bCs/>
          <w:sz w:val="28"/>
          <w:szCs w:val="28"/>
        </w:rPr>
      </w:pPr>
    </w:p>
    <w:p>
      <w:pPr>
        <w:ind w:firstLine="560"/>
        <w:rPr>
          <w:rFonts w:ascii="仿宋_GB2312" w:hAnsi="GungsuhChe" w:eastAsia="仿宋_GB2312"/>
          <w:bCs/>
          <w:sz w:val="28"/>
          <w:szCs w:val="28"/>
        </w:rPr>
      </w:pPr>
    </w:p>
    <w:p>
      <w:pPr>
        <w:ind w:firstLine="560"/>
        <w:rPr>
          <w:rFonts w:ascii="仿宋_GB2312" w:hAnsi="GungsuhChe" w:eastAsia="仿宋_GB2312"/>
          <w:bCs/>
          <w:sz w:val="28"/>
          <w:szCs w:val="28"/>
        </w:rPr>
      </w:pPr>
    </w:p>
    <w:p>
      <w:pPr>
        <w:ind w:firstLine="480"/>
      </w:pPr>
      <w:r>
        <w:rPr>
          <w:rFonts w:hint="eastAsia"/>
        </w:rPr>
        <w:t>4、现场环境保持与文明施工措施</w:t>
      </w:r>
    </w:p>
    <w:p>
      <w:pPr>
        <w:ind w:firstLine="480"/>
      </w:pPr>
      <w:r>
        <w:rPr>
          <w:rFonts w:hint="eastAsia"/>
        </w:rPr>
        <w:t>4.1全面运行ISO14000环境保护体系</w:t>
      </w:r>
    </w:p>
    <w:p>
      <w:pPr>
        <w:ind w:firstLine="480"/>
      </w:pPr>
      <w:r>
        <w:rPr>
          <w:rFonts w:hint="eastAsia"/>
        </w:rPr>
        <w:t>在本工程施工的全过程中，我们将全面运行ISO14000环境保护体系标准，系统地采用和实施一系列环境保护管理手段，以期得到最优化的结果。</w:t>
      </w:r>
    </w:p>
    <w:p>
      <w:pPr>
        <w:ind w:firstLine="480"/>
      </w:pPr>
      <w:r>
        <w:rPr>
          <w:rFonts w:hint="eastAsia"/>
        </w:rPr>
        <w:t>4.2对持续改进和污染预防的承诺</w:t>
      </w:r>
    </w:p>
    <w:p>
      <w:pPr>
        <w:ind w:firstLine="480"/>
      </w:pPr>
      <w:r>
        <w:rPr>
          <w:rFonts w:hint="eastAsia"/>
        </w:rPr>
        <w:t>我们在建设施工的全过程中，根据客观存在的粉尘、污水、噪声和固体废物等环境因素，实施全过程污染预防控制，尽可能地减少或防止不利的环境影响。</w:t>
      </w:r>
    </w:p>
    <w:p>
      <w:pPr>
        <w:ind w:firstLine="480"/>
      </w:pPr>
      <w:r>
        <w:rPr>
          <w:rFonts w:hint="eastAsia"/>
        </w:rPr>
        <w:t>预防为主，加强宣传，全面规划，合理布局，改进工艺，节约资源，为企业争取最佳经济效益和环境效益。</w:t>
      </w:r>
    </w:p>
    <w:p>
      <w:pPr>
        <w:ind w:firstLine="480"/>
      </w:pPr>
      <w:r>
        <w:rPr>
          <w:rFonts w:hint="eastAsia"/>
        </w:rPr>
        <w:t>严格遵守国家和地方政府部门颁布的环境管理法律、法规和有关规定。</w:t>
      </w:r>
    </w:p>
    <w:p>
      <w:pPr>
        <w:ind w:firstLine="480"/>
      </w:pPr>
      <w:r>
        <w:rPr>
          <w:rFonts w:hint="eastAsia"/>
        </w:rPr>
        <w:t>4.3对环境保护的管理</w:t>
      </w:r>
    </w:p>
    <w:p>
      <w:pPr>
        <w:ind w:firstLine="480"/>
      </w:pPr>
      <w:r>
        <w:rPr>
          <w:rFonts w:hint="eastAsia"/>
        </w:rPr>
        <w:t>4.3.1项目招投标</w:t>
      </w:r>
    </w:p>
    <w:p>
      <w:pPr>
        <w:ind w:firstLine="480"/>
      </w:pPr>
      <w:r>
        <w:rPr>
          <w:rFonts w:hint="eastAsia"/>
        </w:rPr>
        <w:t>在参与项目招投标编制标书时，根据工程资料及《环境影响评价报告》的内容，在标书中考虑以下涉及环境保护的内容：文明施工、交通组织、防汛防台、消防安全、管线保护和其它业主或政府主管部门提出的环境保护要求。</w:t>
      </w:r>
    </w:p>
    <w:p>
      <w:pPr>
        <w:ind w:firstLine="480"/>
      </w:pPr>
      <w:r>
        <w:rPr>
          <w:rFonts w:hint="eastAsia"/>
        </w:rPr>
        <w:t>4.3.2施工组织设计</w:t>
      </w:r>
    </w:p>
    <w:p>
      <w:pPr>
        <w:ind w:firstLine="480"/>
      </w:pPr>
      <w:r>
        <w:rPr>
          <w:rFonts w:hint="eastAsia"/>
        </w:rPr>
        <w:t>在承接项目后，根据该项目的《环境影响评价报告》，针对周围实际环境状况，提出行之有效的环境保护措施，并按照《编制施工组织设计内容要求的规定》，编入《施工组织设计》。</w:t>
      </w:r>
    </w:p>
    <w:p>
      <w:pPr>
        <w:ind w:firstLine="480"/>
      </w:pPr>
      <w:r>
        <w:rPr>
          <w:rFonts w:hint="eastAsia"/>
        </w:rPr>
        <w:t>4.4土方运输环境管理</w:t>
      </w:r>
    </w:p>
    <w:p>
      <w:pPr>
        <w:ind w:firstLine="480"/>
      </w:pPr>
      <w:r>
        <w:rPr>
          <w:rFonts w:hint="eastAsia"/>
        </w:rPr>
        <w:t>4.4.1车辆情况</w:t>
      </w:r>
    </w:p>
    <w:p>
      <w:pPr>
        <w:ind w:firstLine="480"/>
      </w:pPr>
      <w:r>
        <w:rPr>
          <w:rFonts w:hint="eastAsia"/>
        </w:rPr>
        <w:t>（1）车次车貌整洁，制动系统完好。</w:t>
      </w:r>
    </w:p>
    <w:p>
      <w:pPr>
        <w:ind w:firstLine="480"/>
      </w:pPr>
      <w:r>
        <w:rPr>
          <w:rFonts w:hint="eastAsia"/>
        </w:rPr>
        <w:t>（2）车辆后栏板的保险装置完好，并另再增设一付保险装置，做到双保险，预防后板崩板。</w:t>
      </w:r>
    </w:p>
    <w:p>
      <w:pPr>
        <w:ind w:firstLine="480"/>
      </w:pPr>
      <w:r>
        <w:rPr>
          <w:rFonts w:hint="eastAsia"/>
        </w:rPr>
        <w:t>（3）车辆应配置灭火器，以防发生火灾时应急。</w:t>
      </w:r>
    </w:p>
    <w:p>
      <w:pPr>
        <w:ind w:firstLine="480"/>
      </w:pPr>
      <w:r>
        <w:rPr>
          <w:rFonts w:hint="eastAsia"/>
        </w:rPr>
        <w:t>（4）设备分公司负责对本公司的运输车辆进行定期检修；土方运输承包方自行负责车辆的定期检修，以保持车况的良好。</w:t>
      </w:r>
    </w:p>
    <w:p>
      <w:pPr>
        <w:ind w:firstLine="480"/>
      </w:pPr>
      <w:r>
        <w:rPr>
          <w:rFonts w:hint="eastAsia"/>
        </w:rPr>
        <w:t>4.4.2土方装卸</w:t>
      </w:r>
    </w:p>
    <w:p>
      <w:pPr>
        <w:ind w:firstLine="480"/>
      </w:pPr>
      <w:r>
        <w:rPr>
          <w:rFonts w:hint="eastAsia"/>
        </w:rPr>
        <w:t>（1）土方装卸时，场地必须保持清洁，预防车轮粘带。</w:t>
      </w:r>
    </w:p>
    <w:p>
      <w:pPr>
        <w:ind w:firstLine="480"/>
      </w:pPr>
      <w:r>
        <w:rPr>
          <w:rFonts w:hint="eastAsia"/>
        </w:rPr>
        <w:t>（2）施工期间，应在物料、渣土、垃圾运输车辆的出口内侧设置洗车平台，车辆驶离工地前，应在洗车平台清洗轮胎及车身，不得带泥上路。工地出口处铺装道路上可见粘带泥土不得超过10米，并应及时清扫冲洗。</w:t>
      </w:r>
    </w:p>
    <w:p>
      <w:pPr>
        <w:ind w:firstLine="480"/>
      </w:pPr>
      <w:r>
        <w:rPr>
          <w:rFonts w:hint="eastAsia"/>
        </w:rPr>
        <w:t>（3）进出工地的物料、渣土、垃圾运输车辆，采用密闭车斗，并保证物料不遗撒外漏。若无密闭车斗，物料、垃圾、渣土的装载高度不得超过车辆槽帮上沿40厘米，两侧边缘应低于槽帮上缘10厘米，车斗应用苫布遮盖严实。苫布边缘至少要遮住槽帮上沿以下15厘米，保证物料、渣土、垃圾等不露出。车辆应按照批准的路线和时间进行物料、渣土、垃圾的运输。</w:t>
      </w:r>
    </w:p>
    <w:p>
      <w:pPr>
        <w:ind w:firstLine="480"/>
      </w:pPr>
      <w:r>
        <w:rPr>
          <w:rFonts w:hint="eastAsia"/>
        </w:rPr>
        <w:t>（4）各项目经理部、专业(分)公司负责对土方运输量进行统计。</w:t>
      </w:r>
    </w:p>
    <w:p>
      <w:pPr>
        <w:ind w:firstLine="480"/>
      </w:pPr>
      <w:r>
        <w:rPr>
          <w:rFonts w:hint="eastAsia"/>
        </w:rPr>
        <w:t>4.4.3渣土运输</w:t>
      </w:r>
    </w:p>
    <w:p>
      <w:pPr>
        <w:ind w:firstLine="480"/>
      </w:pPr>
      <w:r>
        <w:rPr>
          <w:rFonts w:hint="eastAsia"/>
        </w:rPr>
        <w:t>（1）严格按交通、市容管理部门批准的路线行驶。</w:t>
      </w:r>
    </w:p>
    <w:p>
      <w:pPr>
        <w:ind w:firstLine="480"/>
      </w:pPr>
      <w:r>
        <w:rPr>
          <w:rFonts w:hint="eastAsia"/>
        </w:rPr>
        <w:t>（2）配备专用车辆对运输沿线进行巡视，发现问题能够及时处理。</w:t>
      </w:r>
    </w:p>
    <w:p>
      <w:pPr>
        <w:ind w:firstLine="480"/>
      </w:pPr>
      <w:r>
        <w:rPr>
          <w:rFonts w:hint="eastAsia"/>
        </w:rPr>
        <w:t>4.5建筑垃圾和工程渣土整治措施</w:t>
      </w:r>
    </w:p>
    <w:p>
      <w:pPr>
        <w:ind w:firstLine="480"/>
      </w:pPr>
      <w:r>
        <w:rPr>
          <w:rFonts w:hint="eastAsia"/>
        </w:rPr>
        <w:t>4.5.1运输</w:t>
      </w:r>
    </w:p>
    <w:p>
      <w:pPr>
        <w:ind w:firstLine="480"/>
      </w:pPr>
      <w:r>
        <w:rPr>
          <w:rFonts w:hint="eastAsia"/>
        </w:rPr>
        <w:t>（1）施工单位持渣土管理部门核发的处置证向运输单位办理建筑垃圾、工程渣土托运手续；运输单位不得承运未经渣土管理部门核准处置的建筑垃圾、工程渣土。</w:t>
      </w:r>
    </w:p>
    <w:p>
      <w:pPr>
        <w:ind w:firstLine="480"/>
      </w:pPr>
      <w:r>
        <w:rPr>
          <w:rFonts w:hint="eastAsia"/>
        </w:rPr>
        <w:t>（2）运输建筑垃圾、工程渣土时，运输车辆应随车携带处置证，接受渣土管理部门的检查。处置证不准出借、转让、涂改、伪造。</w:t>
      </w:r>
    </w:p>
    <w:p>
      <w:pPr>
        <w:ind w:firstLine="480"/>
      </w:pPr>
      <w:r>
        <w:rPr>
          <w:rFonts w:hint="eastAsia"/>
        </w:rPr>
        <w:t>（3）运输车辆按渣土管理部门会同公安交通管理部门规定的运输路线进行运输。</w:t>
      </w:r>
    </w:p>
    <w:p>
      <w:pPr>
        <w:ind w:firstLine="480"/>
      </w:pPr>
      <w:r>
        <w:rPr>
          <w:rFonts w:hint="eastAsia"/>
        </w:rPr>
        <w:t>（4）管理单位签发的回执，交托运单位送渣土管理部门查验。</w:t>
      </w:r>
    </w:p>
    <w:p>
      <w:pPr>
        <w:ind w:firstLine="480"/>
      </w:pPr>
      <w:r>
        <w:rPr>
          <w:rFonts w:hint="eastAsia"/>
        </w:rPr>
        <w:t>（5）各类运输车辆进入建筑垃圾、工程渣土储运场地，服从场地管理人员的指挥，按要求倾卸。</w:t>
      </w:r>
    </w:p>
    <w:p>
      <w:pPr>
        <w:ind w:firstLine="480"/>
      </w:pPr>
      <w:r>
        <w:rPr>
          <w:rFonts w:hint="eastAsia"/>
        </w:rPr>
        <w:t>4.5.2其它管理要求</w:t>
      </w:r>
    </w:p>
    <w:p>
      <w:pPr>
        <w:ind w:firstLine="480"/>
      </w:pPr>
      <w:r>
        <w:rPr>
          <w:rFonts w:hint="eastAsia"/>
        </w:rPr>
        <w:t>（1）各类建设工程竣工后，施工单位应在一个月内将工地的建筑垃圾、工程渣土处理干净。</w:t>
      </w:r>
    </w:p>
    <w:p>
      <w:pPr>
        <w:ind w:firstLine="480"/>
      </w:pPr>
      <w:r>
        <w:rPr>
          <w:rFonts w:hint="eastAsia"/>
        </w:rPr>
        <w:t>（2）任何单位不得占用道路堆放建筑垃圾、工程渣土。确需临时占用道路堆放的，必须取得有关部门核发的《临时占用道路许可证》。</w:t>
      </w:r>
    </w:p>
    <w:p>
      <w:pPr>
        <w:ind w:firstLine="480"/>
      </w:pPr>
      <w:r>
        <w:rPr>
          <w:rFonts w:hint="eastAsia"/>
        </w:rPr>
        <w:t>（3）施工工程中产生的弃土、弃料及其他建筑垃圾，应及时清运。否则必须采取覆盖防尘布(防尘网)、定期喷洒抑尘剂、定期喷水压尘或其他有举的防尘措施。建筑垃圾、工程渣土临时储运场地四周应设置1m以上且不低于堆土高度的遮挡围栏，并有防尘、灭蝇和防污水外流等防污染措施。</w:t>
      </w:r>
    </w:p>
    <w:p>
      <w:pPr>
        <w:ind w:firstLine="480"/>
      </w:pPr>
      <w:r>
        <w:rPr>
          <w:rFonts w:hint="eastAsia"/>
        </w:rPr>
        <w:t>（4）注意事项</w:t>
      </w:r>
    </w:p>
    <w:p>
      <w:pPr>
        <w:ind w:firstLine="480"/>
      </w:pPr>
      <w:r>
        <w:rPr>
          <w:rFonts w:hint="eastAsia"/>
        </w:rPr>
        <w:t>如施工所在地主管部门或环境保护主管部门对施工建筑垃圾、工程渣土有特定的要求，将按照其要求执行。</w:t>
      </w:r>
    </w:p>
    <w:p>
      <w:pPr>
        <w:ind w:firstLine="480"/>
      </w:pPr>
      <w:r>
        <w:rPr>
          <w:rFonts w:hint="eastAsia"/>
        </w:rPr>
        <w:t>4.6排水设施环境管理</w:t>
      </w:r>
    </w:p>
    <w:p>
      <w:pPr>
        <w:ind w:firstLine="480"/>
      </w:pPr>
      <w:r>
        <w:rPr>
          <w:rFonts w:hint="eastAsia"/>
        </w:rPr>
        <w:t>4.6.1排水设施的建设</w:t>
      </w:r>
    </w:p>
    <w:p>
      <w:pPr>
        <w:ind w:firstLine="480"/>
      </w:pPr>
      <w:r>
        <w:rPr>
          <w:rFonts w:hint="eastAsia"/>
        </w:rPr>
        <w:t>排水设施的建设要遵守国家和秦皇岛市规定的技术标准，如区域内实行雨水、污水分流制的，雨水和污水管道不得混接。</w:t>
      </w:r>
    </w:p>
    <w:p>
      <w:pPr>
        <w:ind w:firstLine="480"/>
      </w:pPr>
      <w:r>
        <w:rPr>
          <w:rFonts w:hint="eastAsia"/>
        </w:rPr>
        <w:t>4.6.2排水设施的验收</w:t>
      </w:r>
    </w:p>
    <w:p>
      <w:pPr>
        <w:ind w:firstLine="480"/>
      </w:pPr>
      <w:r>
        <w:rPr>
          <w:rFonts w:hint="eastAsia"/>
        </w:rPr>
        <w:t>（1）工程所属排水设施建设项目竣工后，由所属基层单位新建排水设施的主管部门应当按照国家规定组织验收，并取得《排水许可证》。属于环境保护治理设施的，向环境保护主管部门申报竣工验收。</w:t>
      </w:r>
    </w:p>
    <w:p>
      <w:pPr>
        <w:ind w:firstLine="480"/>
      </w:pPr>
      <w:r>
        <w:rPr>
          <w:rFonts w:hint="eastAsia"/>
        </w:rPr>
        <w:t>（2）未经验收或验收不合格的排水设施建设项目，不得交付使用。</w:t>
      </w:r>
    </w:p>
    <w:p>
      <w:pPr>
        <w:ind w:firstLine="480"/>
      </w:pPr>
      <w:r>
        <w:rPr>
          <w:rFonts w:hint="eastAsia"/>
        </w:rPr>
        <w:t>4.6.3施工期间的管理</w:t>
      </w:r>
    </w:p>
    <w:p>
      <w:pPr>
        <w:ind w:firstLine="480"/>
      </w:pPr>
      <w:r>
        <w:rPr>
          <w:rFonts w:hint="eastAsia"/>
        </w:rPr>
        <w:t>（1）因施工确需临时封堵排水管道的，由联合体向区排水行政主管部门提出申请，经批准后取得市政局或者区排水行政主管部门核发的《临时排水许可证(施工)》方可实施。</w:t>
      </w:r>
    </w:p>
    <w:p>
      <w:pPr>
        <w:ind w:firstLine="480"/>
      </w:pPr>
      <w:r>
        <w:rPr>
          <w:rFonts w:hint="eastAsia"/>
        </w:rPr>
        <w:t>（2）施工期间，采取临时排水措施。各类施工作业临时排水中有沉淀物和污泥，足以造成排水设施堵塞或者损坏，必须严格按二次沉淀后再排放。</w:t>
      </w:r>
    </w:p>
    <w:p>
      <w:pPr>
        <w:ind w:firstLine="480"/>
      </w:pPr>
      <w:r>
        <w:rPr>
          <w:rFonts w:hint="eastAsia"/>
        </w:rPr>
        <w:t>（3）洗车平台四周应设置防溢座、废水导流渠、废水收集池、沉砂池及其它防治设施，收集洗车、施工以及降水过程中产生的废水和泥浆。</w:t>
      </w:r>
    </w:p>
    <w:p>
      <w:pPr>
        <w:ind w:firstLine="480"/>
      </w:pPr>
      <w:r>
        <w:rPr>
          <w:rFonts w:hint="eastAsia"/>
        </w:rPr>
        <w:t>（4）在施工期间，有可能影响排水设施安全的作业，各项目分部加强管理工作。</w:t>
      </w:r>
    </w:p>
    <w:p>
      <w:pPr>
        <w:ind w:firstLine="480"/>
      </w:pPr>
      <w:r>
        <w:rPr>
          <w:rFonts w:hint="eastAsia"/>
        </w:rPr>
        <w:t>4.7施工现场环境控制管理</w:t>
      </w:r>
    </w:p>
    <w:p>
      <w:pPr>
        <w:ind w:firstLine="480"/>
      </w:pPr>
      <w:r>
        <w:rPr>
          <w:rFonts w:hint="eastAsia"/>
        </w:rPr>
        <w:t>4.7.1施工组织设计</w:t>
      </w:r>
    </w:p>
    <w:p>
      <w:pPr>
        <w:ind w:firstLine="480"/>
      </w:pPr>
      <w:r>
        <w:rPr>
          <w:rFonts w:hint="eastAsia"/>
        </w:rPr>
        <w:t>我们在承接项目后，将根据该项目的《环境影响评价报告》提出的环境保护措施、周围实际环境状况，编制《施工组织总设计》报告，报告应对项目可能对周围空气环境造成的影响提出可行的控制措施，并落实在实际施工管理中。</w:t>
      </w:r>
    </w:p>
    <w:p>
      <w:pPr>
        <w:ind w:firstLine="480"/>
      </w:pPr>
      <w:r>
        <w:rPr>
          <w:rFonts w:hint="eastAsia"/>
        </w:rPr>
        <w:t>4.7.2施工噪声及振动的管理</w:t>
      </w:r>
    </w:p>
    <w:p>
      <w:pPr>
        <w:ind w:firstLine="480"/>
      </w:pPr>
      <w:r>
        <w:rPr>
          <w:rFonts w:hint="eastAsia"/>
        </w:rPr>
        <w:t>（1）施工申报</w:t>
      </w:r>
    </w:p>
    <w:p>
      <w:pPr>
        <w:ind w:firstLine="480"/>
      </w:pPr>
      <w:r>
        <w:rPr>
          <w:rFonts w:hint="eastAsia"/>
        </w:rPr>
        <w:t>除紧急抢险、抢修外，不得在夜间10时至次日早晨6时内，从事混凝土振捣等危害居民健康的噪声建设施工作业。</w:t>
      </w:r>
    </w:p>
    <w:p>
      <w:pPr>
        <w:ind w:firstLine="480"/>
      </w:pPr>
      <w:r>
        <w:rPr>
          <w:rFonts w:hint="eastAsia"/>
        </w:rPr>
        <w:t>由于特殊原因须在夜间11时至次日早晨6时内从事超标准的、危害居民健康的建设施工作业活动的，必须事先向作业活动所在区域的环境保护主管部门办理审批手续，并向周围居民进行公告。</w:t>
      </w:r>
    </w:p>
    <w:p>
      <w:pPr>
        <w:ind w:firstLine="480"/>
      </w:pPr>
      <w:r>
        <w:rPr>
          <w:rFonts w:hint="eastAsia"/>
        </w:rPr>
        <w:t>（1）施工噪声及振动的控制</w:t>
      </w:r>
    </w:p>
    <w:p>
      <w:pPr>
        <w:ind w:firstLine="480"/>
      </w:pPr>
      <w:r>
        <w:rPr>
          <w:rFonts w:hint="eastAsia"/>
        </w:rPr>
        <w:t>①施工噪声的控制</w:t>
      </w:r>
    </w:p>
    <w:p>
      <w:pPr>
        <w:ind w:firstLine="480"/>
      </w:pPr>
      <w:r>
        <w:rPr>
          <w:rFonts w:hint="eastAsia"/>
        </w:rPr>
        <w:t>根据施工现场环境的实际情况，合理布置机械设备及运输车辆进出口，搅拌机等高噪声设备及车辆进出口应安置在离居民区域相对较远的方位。</w:t>
      </w:r>
    </w:p>
    <w:p>
      <w:pPr>
        <w:ind w:firstLine="480"/>
      </w:pPr>
      <w:r>
        <w:rPr>
          <w:rFonts w:hint="eastAsia"/>
        </w:rPr>
        <w:t>合理安排施工机械作业，高噪声作业活动尽可能安排在不影响周围居民及社会正常生活的时段下进行。</w:t>
      </w:r>
    </w:p>
    <w:p>
      <w:pPr>
        <w:ind w:firstLine="480"/>
      </w:pPr>
      <w:r>
        <w:rPr>
          <w:rFonts w:hint="eastAsia"/>
        </w:rPr>
        <w:t>对于高噪声设备附近加设可移动的简易隔声屏，尽可能减少设备噪声对周围环境的影响。</w:t>
      </w:r>
    </w:p>
    <w:p>
      <w:pPr>
        <w:ind w:firstLine="480"/>
      </w:pPr>
      <w:r>
        <w:rPr>
          <w:rFonts w:hint="eastAsia"/>
        </w:rPr>
        <w:t>离高噪声设备近距离操作的施工人员应配戴耳塞，以降低高噪声机械对人耳造成的伤害。</w:t>
      </w:r>
    </w:p>
    <w:p>
      <w:pPr>
        <w:ind w:firstLine="480"/>
      </w:pPr>
      <w:r>
        <w:rPr>
          <w:rFonts w:hint="eastAsia"/>
        </w:rPr>
        <w:t>②施工振动的控制</w:t>
      </w:r>
    </w:p>
    <w:p>
      <w:pPr>
        <w:ind w:firstLine="480"/>
      </w:pPr>
      <w:r>
        <w:rPr>
          <w:rFonts w:hint="eastAsia"/>
        </w:rPr>
        <w:t>如施工引起的振动可能对周围的房屋造成破坏性影响，须向居民分发“米字格贴”，避免因振动而损坏窗户玻璃。</w:t>
      </w:r>
    </w:p>
    <w:p>
      <w:pPr>
        <w:ind w:firstLine="480"/>
      </w:pPr>
      <w:r>
        <w:rPr>
          <w:rFonts w:hint="eastAsia"/>
        </w:rPr>
        <w:t>为缓解施工引起的振动，而导致地面开裂和建筑基础破坏，可采取以下措施：设置防震沟和放置应力释放孔。</w:t>
      </w:r>
    </w:p>
    <w:p>
      <w:pPr>
        <w:ind w:firstLine="480"/>
      </w:pPr>
      <w:r>
        <w:rPr>
          <w:rFonts w:hint="eastAsia"/>
        </w:rPr>
        <w:t>施工运输车辆噪声</w:t>
      </w:r>
    </w:p>
    <w:p>
      <w:pPr>
        <w:ind w:firstLine="480"/>
      </w:pPr>
      <w:r>
        <w:rPr>
          <w:rFonts w:hint="eastAsia"/>
        </w:rPr>
        <w:t>运输车辆驶入城市区域禁鸣区域，驾驶员应在相应时段内遵守禁鸣规定，在非禁鸣路段和时间每次按喇叭不得超过0.5秒，连续按鸣不得超过3次。</w:t>
      </w:r>
    </w:p>
    <w:p>
      <w:pPr>
        <w:ind w:firstLine="480"/>
      </w:pPr>
      <w:r>
        <w:rPr>
          <w:rFonts w:hint="eastAsia"/>
        </w:rPr>
        <w:t>加强施工区域的交通管理，避免因交通堵塞而增加的车辆鸣号。</w:t>
      </w:r>
    </w:p>
    <w:p>
      <w:pPr>
        <w:ind w:firstLine="480"/>
      </w:pPr>
      <w:r>
        <w:rPr>
          <w:rFonts w:hint="eastAsia"/>
        </w:rPr>
        <w:t>5、交通及对外环境措施</w:t>
      </w:r>
    </w:p>
    <w:p>
      <w:pPr>
        <w:ind w:firstLine="480"/>
      </w:pPr>
      <w:r>
        <w:rPr>
          <w:rFonts w:hint="eastAsia"/>
        </w:rPr>
        <w:t>5.1施工现场醒目位置处设置文明施工公示标牌，标明工程名称、工程概况、开竣工日期，建设单位、设计单位、施工单位、监理单位名称及项目负责人、施工现场平面布置图和文明施工措施、监督举报电话等内容。</w:t>
      </w:r>
    </w:p>
    <w:p>
      <w:pPr>
        <w:ind w:firstLine="480"/>
      </w:pPr>
      <w:r>
        <w:rPr>
          <w:rFonts w:hint="eastAsia"/>
        </w:rPr>
        <w:t>5.2施工区域与非施工区域设置分隔设施。根据工程文明施工要求，凡设置全封闭施工设施的，均采用统一高度的围挡。分隔设施做到连续、稳固、整洁、美观。</w:t>
      </w:r>
    </w:p>
    <w:p>
      <w:pPr>
        <w:ind w:firstLine="480"/>
      </w:pPr>
      <w:r>
        <w:rPr>
          <w:rFonts w:hint="eastAsia"/>
        </w:rPr>
        <w:t>5.3因施工造成居民出行不便的，设置安全的便道、便桥；施工中产生的沟、井、槽、坑应设置防护装置和警示标志及夜间警示灯。如遇恶劣天气应设专人值班，确保行人及车辆安全。</w:t>
      </w:r>
    </w:p>
    <w:p>
      <w:pPr>
        <w:ind w:firstLine="480"/>
      </w:pPr>
      <w:r>
        <w:rPr>
          <w:rFonts w:hint="eastAsia"/>
        </w:rPr>
        <w:t>5.4在进行地下工程挖掘前，向施工班组进行详细交底。施工过程中，与管线产权单位提前联系，要求该单位在施工现场设专人做好施工监护。并采取有效措施，确保地下管线及地下设施安全。</w:t>
      </w:r>
    </w:p>
    <w:p>
      <w:pPr>
        <w:ind w:firstLine="480"/>
      </w:pPr>
      <w:r>
        <w:rPr>
          <w:rFonts w:hint="eastAsia"/>
        </w:rPr>
        <w:t>5.5加强对现场施工人员的管理，教育施工人员讲求职业道德，自觉遵守《市民文明守则》及《治安管理条例》，杜绝违法违纪和不文明行为的发生。现场施工人员配备统一的胸卡标志。</w:t>
      </w:r>
    </w:p>
    <w:p>
      <w:pPr>
        <w:ind w:firstLine="480"/>
      </w:pPr>
      <w:r>
        <w:rPr>
          <w:rFonts w:hint="eastAsia"/>
        </w:rPr>
        <w:t>5.6施工区域与办公、生活区域分开设置，制定相应的生活、卫生管理制度。办公、生活临建设施采用整洁、环保材料搭建，不设地铺、通铺。特殊天气条件下，采取有效的防暑降温、防冻保温措施，夏季有防蚊蝇措施。现场配备急救药箱，能够紧急处置突发性急症和意外人身伤害事故。</w:t>
      </w:r>
    </w:p>
    <w:p>
      <w:pPr>
        <w:ind w:firstLine="480"/>
      </w:pPr>
      <w:r>
        <w:rPr>
          <w:rFonts w:hint="eastAsia"/>
        </w:rPr>
        <w:t>5.7工地卫生</w:t>
      </w:r>
    </w:p>
    <w:p>
      <w:pPr>
        <w:ind w:firstLine="480"/>
      </w:pPr>
      <w:r>
        <w:rPr>
          <w:rFonts w:hint="eastAsia"/>
        </w:rPr>
        <w:t>5.7.1有合格的可供食用的水源，保证供应开水，严禁食用生水，茶水桶加盖、加销，并严禁直接置地，场地做到整洁卫生。</w:t>
      </w:r>
    </w:p>
    <w:p>
      <w:pPr>
        <w:ind w:firstLine="480"/>
      </w:pPr>
      <w:r>
        <w:rPr>
          <w:rFonts w:hint="eastAsia"/>
        </w:rPr>
        <w:t>5.7.2厕所严禁设置于河道上，有贮粪池或集粪坑，并密封加盖。</w:t>
      </w:r>
    </w:p>
    <w:p>
      <w:pPr>
        <w:ind w:firstLine="480"/>
      </w:pPr>
      <w:r>
        <w:rPr>
          <w:rFonts w:hint="eastAsia"/>
        </w:rPr>
        <w:t>5.7.3食堂与厕所、污水沟距离应大于30m，内外环境整洁，有消毒，防尘，灭蝇，灭鼠措施，设熟食间或有熟食罩(必须配冰箱)，生熟具分开，定期清洗，要有留样菜。</w:t>
      </w:r>
    </w:p>
    <w:p>
      <w:pPr>
        <w:ind w:firstLine="480"/>
      </w:pPr>
      <w:r>
        <w:rPr>
          <w:rFonts w:hint="eastAsia"/>
        </w:rPr>
        <w:t>5.7.4宿舍、更衣室做到通风、照亮、干燥、无异味、无蛛网、无积灰、无痰迹、无烟头纸屑，床上生活用品堆放整齐。</w:t>
      </w:r>
    </w:p>
    <w:p>
      <w:pPr>
        <w:ind w:firstLine="480"/>
      </w:pPr>
      <w:r>
        <w:rPr>
          <w:rFonts w:hint="eastAsia"/>
        </w:rPr>
        <w:t>5.7.5浴室有专人负责清扫，室内排水畅通，但不得随意排放路边影响交通。</w:t>
      </w:r>
    </w:p>
    <w:p>
      <w:pPr>
        <w:pStyle w:val="4"/>
        <w:spacing w:before="278" w:after="278"/>
        <w:ind w:firstLine="560"/>
      </w:pPr>
      <w:bookmarkStart w:id="319" w:name="_Toc525107861"/>
      <w:r>
        <w:rPr>
          <w:rFonts w:hint="eastAsia"/>
        </w:rPr>
        <w:t>第二节安全生产保证措施</w:t>
      </w:r>
      <w:bookmarkEnd w:id="319"/>
    </w:p>
    <w:p>
      <w:pPr>
        <w:ind w:firstLine="480"/>
      </w:pPr>
      <w:r>
        <w:rPr>
          <w:rFonts w:hint="eastAsia"/>
        </w:rPr>
        <w:t>1、安全管理方针和目标</w:t>
      </w:r>
    </w:p>
    <w:p>
      <w:pPr>
        <w:ind w:firstLine="480"/>
      </w:pPr>
      <w:r>
        <w:rPr>
          <w:rFonts w:hint="eastAsia"/>
        </w:rPr>
        <w:t>管理方针：坚持“安全第一、预防为主、综合治理”的安全管理方针，以安全促生产。</w:t>
      </w:r>
    </w:p>
    <w:p>
      <w:pPr>
        <w:ind w:firstLine="480"/>
      </w:pPr>
      <w:r>
        <w:rPr>
          <w:rFonts w:hint="eastAsia"/>
        </w:rPr>
        <w:t>管理目标：达到省市安全文明施工样板工地标准。</w:t>
      </w:r>
    </w:p>
    <w:p>
      <w:pPr>
        <w:ind w:firstLine="480"/>
      </w:pPr>
      <w:r>
        <w:rPr>
          <w:rFonts w:hint="eastAsia"/>
        </w:rPr>
        <w:t>安全目标：创零伤亡、杜绝重大安全事故，施工现场文明规范，确保安全生产。</w:t>
      </w:r>
    </w:p>
    <w:p>
      <w:pPr>
        <w:ind w:firstLine="480"/>
      </w:pPr>
      <w:r>
        <w:rPr>
          <w:rFonts w:hint="eastAsia"/>
        </w:rPr>
        <w:t>2、安全施工组织机构</w:t>
      </w:r>
    </w:p>
    <w:p>
      <w:pPr>
        <w:ind w:firstLine="600"/>
        <w:rPr>
          <w:rFonts w:ascii="黑体" w:hAnsi="GungsuhChe" w:eastAsia="黑体"/>
          <w:bCs/>
          <w:sz w:val="10"/>
          <w:szCs w:val="10"/>
        </w:rPr>
      </w:pPr>
      <w:r>
        <w:rPr>
          <w:rFonts w:hint="eastAsia" w:ascii="黑体" w:hAnsi="GungsuhChe" w:eastAsia="黑体"/>
          <w:bCs/>
          <w:sz w:val="30"/>
          <w:szCs w:val="30"/>
        </w:rPr>
        <w:t xml:space="preserve">                </w:t>
      </w:r>
    </w:p>
    <w:p>
      <w:pPr>
        <w:ind w:firstLine="600"/>
        <w:rPr>
          <w:rFonts w:ascii="黑体" w:hAnsi="GungsuhChe" w:eastAsia="黑体"/>
          <w:bCs/>
          <w:sz w:val="30"/>
          <w:szCs w:val="30"/>
        </w:rPr>
      </w:pPr>
      <w:bookmarkStart w:id="320" w:name="_Toc525107615"/>
      <w:bookmarkStart w:id="321" w:name="_Toc525107749"/>
      <w:bookmarkStart w:id="322" w:name="_Toc524618564"/>
      <w:bookmarkStart w:id="323" w:name="_Toc525107862"/>
      <w:r>
        <w:rPr>
          <w:sz w:val="30"/>
        </w:rPr>
        <mc:AlternateContent>
          <mc:Choice Requires="wpg">
            <w:drawing>
              <wp:anchor distT="0" distB="0" distL="114300" distR="114300" simplePos="0" relativeHeight="251676672" behindDoc="0" locked="0" layoutInCell="1" allowOverlap="1">
                <wp:simplePos x="0" y="0"/>
                <wp:positionH relativeFrom="column">
                  <wp:posOffset>333375</wp:posOffset>
                </wp:positionH>
                <wp:positionV relativeFrom="paragraph">
                  <wp:posOffset>343535</wp:posOffset>
                </wp:positionV>
                <wp:extent cx="4218305" cy="3220720"/>
                <wp:effectExtent l="4445" t="4445" r="6350" b="13335"/>
                <wp:wrapNone/>
                <wp:docPr id="172" name="组合 1799"/>
                <wp:cNvGraphicFramePr/>
                <a:graphic xmlns:a="http://schemas.openxmlformats.org/drawingml/2006/main">
                  <a:graphicData uri="http://schemas.microsoft.com/office/word/2010/wordprocessingGroup">
                    <wpg:wgp>
                      <wpg:cNvGrpSpPr/>
                      <wpg:grpSpPr>
                        <a:xfrm>
                          <a:off x="0" y="0"/>
                          <a:ext cx="4218305" cy="3220720"/>
                          <a:chOff x="5791" y="2216135"/>
                          <a:chExt cx="6643" cy="5072"/>
                        </a:xfrm>
                      </wpg:grpSpPr>
                      <wps:wsp>
                        <wps:cNvPr id="155" name="文本框 1435"/>
                        <wps:cNvSpPr txBox="1"/>
                        <wps:spPr>
                          <a:xfrm>
                            <a:off x="5791" y="2216178"/>
                            <a:ext cx="2319"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80"/>
                                <w:rPr>
                                  <w:rFonts w:ascii="仿宋_GB2312" w:eastAsia="仿宋_GB2312"/>
                                  <w:szCs w:val="21"/>
                                </w:rPr>
                              </w:pPr>
                              <w:r>
                                <w:rPr>
                                  <w:rFonts w:hint="eastAsia" w:ascii="仿宋_GB2312" w:eastAsia="仿宋_GB2312"/>
                                  <w:szCs w:val="21"/>
                                </w:rPr>
                                <w:t>安全主管部门</w:t>
                              </w:r>
                            </w:p>
                          </w:txbxContent>
                        </wps:txbx>
                        <wps:bodyPr wrap="square" upright="1"/>
                      </wps:wsp>
                      <wps:wsp>
                        <wps:cNvPr id="156" name="文本框 1442"/>
                        <wps:cNvSpPr txBox="1"/>
                        <wps:spPr>
                          <a:xfrm>
                            <a:off x="5821" y="2218839"/>
                            <a:ext cx="2319" cy="60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80"/>
                                <w:rPr>
                                  <w:rFonts w:ascii="仿宋_GB2312" w:eastAsia="仿宋_GB2312"/>
                                </w:rPr>
                              </w:pPr>
                              <w:r>
                                <w:rPr>
                                  <w:rFonts w:hint="eastAsia" w:ascii="仿宋_GB2312" w:eastAsia="仿宋_GB2312"/>
                                </w:rPr>
                                <w:t xml:space="preserve">  公司安全管理部</w:t>
                              </w:r>
                            </w:p>
                          </w:txbxContent>
                        </wps:txbx>
                        <wps:bodyPr wrap="square" upright="1"/>
                      </wps:wsp>
                      <wps:wsp>
                        <wps:cNvPr id="157" name="直线 1444"/>
                        <wps:cNvCnPr/>
                        <wps:spPr>
                          <a:xfrm>
                            <a:off x="8125" y="2219099"/>
                            <a:ext cx="1962" cy="0"/>
                          </a:xfrm>
                          <a:prstGeom prst="line">
                            <a:avLst/>
                          </a:prstGeom>
                          <a:ln w="9525" cap="flat" cmpd="sng">
                            <a:solidFill>
                              <a:srgbClr val="000000"/>
                            </a:solidFill>
                            <a:prstDash val="solid"/>
                            <a:headEnd type="none" w="med" len="med"/>
                            <a:tailEnd type="triangle" w="med" len="med"/>
                          </a:ln>
                        </wps:spPr>
                        <wps:bodyPr/>
                      </wps:wsp>
                      <wps:wsp>
                        <wps:cNvPr id="158" name="直线 1450"/>
                        <wps:cNvCnPr/>
                        <wps:spPr>
                          <a:xfrm flipH="1">
                            <a:off x="6877" y="2216750"/>
                            <a:ext cx="14" cy="2089"/>
                          </a:xfrm>
                          <a:prstGeom prst="line">
                            <a:avLst/>
                          </a:prstGeom>
                          <a:ln w="9525" cap="flat" cmpd="sng">
                            <a:solidFill>
                              <a:srgbClr val="000000"/>
                            </a:solidFill>
                            <a:prstDash val="solid"/>
                            <a:headEnd type="none" w="med" len="med"/>
                            <a:tailEnd type="triangle" w="med" len="med"/>
                          </a:ln>
                        </wps:spPr>
                        <wps:bodyPr/>
                      </wps:wsp>
                      <wpg:grpSp>
                        <wpg:cNvPr id="170" name="组合 1786"/>
                        <wpg:cNvGrpSpPr/>
                        <wpg:grpSpPr>
                          <a:xfrm>
                            <a:off x="10056" y="2216135"/>
                            <a:ext cx="2378" cy="5072"/>
                            <a:chOff x="10056" y="2216149"/>
                            <a:chExt cx="2378" cy="5072"/>
                          </a:xfrm>
                        </wpg:grpSpPr>
                        <wps:wsp>
                          <wps:cNvPr id="159" name="文本框 1787"/>
                          <wps:cNvSpPr txBox="1"/>
                          <wps:spPr>
                            <a:xfrm>
                              <a:off x="10056" y="2217884"/>
                              <a:ext cx="2319"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700" w:firstLineChars="250"/>
                                  <w:rPr>
                                    <w:rFonts w:ascii="仿宋_GB2312" w:eastAsia="仿宋_GB2312"/>
                                  </w:rPr>
                                </w:pPr>
                                <w:r>
                                  <w:rPr>
                                    <w:rFonts w:hint="eastAsia" w:ascii="仿宋_GB2312" w:eastAsia="仿宋_GB2312"/>
                                  </w:rPr>
                                  <w:t>安全负责人</w:t>
                                </w:r>
                              </w:p>
                            </w:txbxContent>
                          </wps:txbx>
                          <wps:bodyPr wrap="square" upright="1"/>
                        </wps:wsp>
                        <wps:wsp>
                          <wps:cNvPr id="160" name="文本框 1788"/>
                          <wps:cNvSpPr txBox="1"/>
                          <wps:spPr>
                            <a:xfrm>
                              <a:off x="10056" y="2218751"/>
                              <a:ext cx="2319" cy="66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80"/>
                                  <w:rPr>
                                    <w:rFonts w:ascii="仿宋_GB2312" w:eastAsia="仿宋_GB2312"/>
                                  </w:rPr>
                                </w:pPr>
                                <w:r>
                                  <w:rPr>
                                    <w:rFonts w:hint="eastAsia" w:ascii="仿宋_GB2312" w:eastAsia="仿宋_GB2312"/>
                                  </w:rPr>
                                  <w:t>项目安全小组</w:t>
                                </w:r>
                              </w:p>
                            </w:txbxContent>
                          </wps:txbx>
                          <wps:bodyPr wrap="square" upright="1"/>
                        </wps:wsp>
                        <wps:wsp>
                          <wps:cNvPr id="161" name="文本框 1789"/>
                          <wps:cNvSpPr txBox="1"/>
                          <wps:spPr>
                            <a:xfrm>
                              <a:off x="10086" y="2219723"/>
                              <a:ext cx="2319" cy="60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80"/>
                                  <w:rPr>
                                    <w:rFonts w:ascii="仿宋_GB2312" w:eastAsia="仿宋_GB2312"/>
                                  </w:rPr>
                                </w:pPr>
                                <w:r>
                                  <w:rPr>
                                    <w:rFonts w:hint="eastAsia" w:ascii="仿宋_GB2312" w:eastAsia="仿宋_GB2312"/>
                                  </w:rPr>
                                  <w:t>各专业负责人</w:t>
                                </w:r>
                              </w:p>
                            </w:txbxContent>
                          </wps:txbx>
                          <wps:bodyPr wrap="square" upright="1"/>
                        </wps:wsp>
                        <wps:wsp>
                          <wps:cNvPr id="162" name="文本框 1790"/>
                          <wps:cNvSpPr txBox="1"/>
                          <wps:spPr>
                            <a:xfrm>
                              <a:off x="10116" y="2220605"/>
                              <a:ext cx="2319" cy="61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840" w:firstLineChars="300"/>
                                  <w:rPr>
                                    <w:rFonts w:ascii="仿宋_GB2312" w:eastAsia="仿宋_GB2312"/>
                                  </w:rPr>
                                </w:pPr>
                                <w:r>
                                  <w:rPr>
                                    <w:rFonts w:hint="eastAsia" w:ascii="仿宋_GB2312" w:eastAsia="仿宋_GB2312"/>
                                  </w:rPr>
                                  <w:t>现场施工</w:t>
                                </w:r>
                              </w:p>
                            </w:txbxContent>
                          </wps:txbx>
                          <wps:bodyPr wrap="square" upright="1"/>
                        </wps:wsp>
                        <wps:wsp>
                          <wps:cNvPr id="163" name="直线 1791"/>
                          <wps:cNvCnPr/>
                          <wps:spPr>
                            <a:xfrm>
                              <a:off x="11365" y="2218455"/>
                              <a:ext cx="0" cy="311"/>
                            </a:xfrm>
                            <a:prstGeom prst="line">
                              <a:avLst/>
                            </a:prstGeom>
                            <a:ln w="9525" cap="flat" cmpd="sng">
                              <a:solidFill>
                                <a:srgbClr val="000000"/>
                              </a:solidFill>
                              <a:prstDash val="solid"/>
                              <a:headEnd type="none" w="med" len="med"/>
                              <a:tailEnd type="triangle" w="med" len="med"/>
                            </a:ln>
                          </wps:spPr>
                          <wps:bodyPr/>
                        </wps:wsp>
                        <wps:wsp>
                          <wps:cNvPr id="164" name="直线 1792"/>
                          <wps:cNvCnPr/>
                          <wps:spPr>
                            <a:xfrm>
                              <a:off x="11350" y="2217617"/>
                              <a:ext cx="0" cy="311"/>
                            </a:xfrm>
                            <a:prstGeom prst="line">
                              <a:avLst/>
                            </a:prstGeom>
                            <a:ln w="9525" cap="flat" cmpd="sng">
                              <a:solidFill>
                                <a:srgbClr val="000000"/>
                              </a:solidFill>
                              <a:prstDash val="solid"/>
                              <a:headEnd type="none" w="med" len="med"/>
                              <a:tailEnd type="triangle" w="med" len="med"/>
                            </a:ln>
                          </wps:spPr>
                          <wps:bodyPr/>
                        </wps:wsp>
                        <wps:wsp>
                          <wps:cNvPr id="165" name="直线 1793"/>
                          <wps:cNvCnPr/>
                          <wps:spPr>
                            <a:xfrm>
                              <a:off x="11350" y="2219456"/>
                              <a:ext cx="0" cy="311"/>
                            </a:xfrm>
                            <a:prstGeom prst="line">
                              <a:avLst/>
                            </a:prstGeom>
                            <a:ln w="9525" cap="flat" cmpd="sng">
                              <a:solidFill>
                                <a:srgbClr val="000000"/>
                              </a:solidFill>
                              <a:prstDash val="solid"/>
                              <a:headEnd type="none" w="med" len="med"/>
                              <a:tailEnd type="triangle" w="med" len="med"/>
                            </a:ln>
                          </wps:spPr>
                          <wps:bodyPr/>
                        </wps:wsp>
                        <wps:wsp>
                          <wps:cNvPr id="166" name="直线 1794"/>
                          <wps:cNvCnPr/>
                          <wps:spPr>
                            <a:xfrm>
                              <a:off x="11350" y="2220368"/>
                              <a:ext cx="0" cy="311"/>
                            </a:xfrm>
                            <a:prstGeom prst="line">
                              <a:avLst/>
                            </a:prstGeom>
                            <a:ln w="9525" cap="flat" cmpd="sng">
                              <a:solidFill>
                                <a:srgbClr val="000000"/>
                              </a:solidFill>
                              <a:prstDash val="solid"/>
                              <a:headEnd type="none" w="med" len="med"/>
                              <a:tailEnd type="triangle" w="med" len="med"/>
                            </a:ln>
                          </wps:spPr>
                          <wps:bodyPr/>
                        </wps:wsp>
                        <wps:wsp>
                          <wps:cNvPr id="167" name="文本框 1795"/>
                          <wps:cNvSpPr txBox="1"/>
                          <wps:spPr>
                            <a:xfrm>
                              <a:off x="10085" y="2216149"/>
                              <a:ext cx="2319"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80" w:firstLineChars="100"/>
                                  <w:jc w:val="center"/>
                                  <w:rPr>
                                    <w:rFonts w:ascii="仿宋_GB2312" w:eastAsia="仿宋_GB2312"/>
                                  </w:rPr>
                                </w:pPr>
                                <w:r>
                                  <w:rPr>
                                    <w:rFonts w:hint="eastAsia" w:ascii="仿宋_GB2312" w:eastAsia="仿宋_GB2312"/>
                                  </w:rPr>
                                  <w:t>施工单位</w:t>
                                </w:r>
                              </w:p>
                            </w:txbxContent>
                          </wps:txbx>
                          <wps:bodyPr wrap="square" upright="1"/>
                        </wps:wsp>
                        <wps:wsp>
                          <wps:cNvPr id="168" name="文本框 1796"/>
                          <wps:cNvSpPr txBox="1"/>
                          <wps:spPr>
                            <a:xfrm>
                              <a:off x="10070" y="2217001"/>
                              <a:ext cx="2319" cy="60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840" w:firstLineChars="300"/>
                                  <w:rPr>
                                    <w:rFonts w:ascii="仿宋_GB2312" w:eastAsia="仿宋_GB2312"/>
                                  </w:rPr>
                                </w:pPr>
                                <w:r>
                                  <w:rPr>
                                    <w:rFonts w:hint="eastAsia" w:ascii="仿宋_GB2312" w:eastAsia="仿宋_GB2312"/>
                                  </w:rPr>
                                  <w:t>项目经理</w:t>
                                </w:r>
                              </w:p>
                            </w:txbxContent>
                          </wps:txbx>
                          <wps:bodyPr wrap="square" upright="1"/>
                        </wps:wsp>
                        <wps:wsp>
                          <wps:cNvPr id="169" name="直线 1797"/>
                          <wps:cNvCnPr/>
                          <wps:spPr>
                            <a:xfrm>
                              <a:off x="11379" y="2216735"/>
                              <a:ext cx="0" cy="311"/>
                            </a:xfrm>
                            <a:prstGeom prst="line">
                              <a:avLst/>
                            </a:prstGeom>
                            <a:ln w="9525" cap="flat" cmpd="sng">
                              <a:solidFill>
                                <a:srgbClr val="000000"/>
                              </a:solidFill>
                              <a:prstDash val="solid"/>
                              <a:headEnd type="none" w="med" len="med"/>
                              <a:tailEnd type="triangle" w="med" len="med"/>
                            </a:ln>
                          </wps:spPr>
                          <wps:bodyPr/>
                        </wps:wsp>
                      </wpg:grpSp>
                      <wps:wsp>
                        <wps:cNvPr id="171" name="直线 1798"/>
                        <wps:cNvCnPr/>
                        <wps:spPr>
                          <a:xfrm>
                            <a:off x="8123" y="2216439"/>
                            <a:ext cx="1962" cy="0"/>
                          </a:xfrm>
                          <a:prstGeom prst="line">
                            <a:avLst/>
                          </a:prstGeom>
                          <a:ln w="9525" cap="flat" cmpd="sng">
                            <a:solidFill>
                              <a:srgbClr val="000000"/>
                            </a:solidFill>
                            <a:prstDash val="solid"/>
                            <a:headEnd type="none" w="med" len="med"/>
                            <a:tailEnd type="triangle" w="med" len="med"/>
                          </a:ln>
                        </wps:spPr>
                        <wps:bodyPr/>
                      </wps:wsp>
                    </wpg:wgp>
                  </a:graphicData>
                </a:graphic>
              </wp:anchor>
            </w:drawing>
          </mc:Choice>
          <mc:Fallback>
            <w:pict>
              <v:group id="组合 1799" o:spid="_x0000_s1026" o:spt="203" style="position:absolute;left:0pt;margin-left:26.25pt;margin-top:27.05pt;height:253.6pt;width:332.15pt;z-index:251676672;mso-width-relative:page;mso-height-relative:page;" coordorigin="5791,2216135" coordsize="6643,5072" o:gfxdata="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">
                <o:lock v:ext="edit" aspectratio="f"/>
                <v:shape id="文本框 1435" o:spid="_x0000_s1026" o:spt="202" type="#_x0000_t202" style="position:absolute;left:5791;top:2216178;height:585;width:2319;" fillcolor="#FFFFFF" filled="t" stroked="t" coordsize="21600,21600" o:gfxdata="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xKty6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ind w:firstLine="480"/>
                          <w:rPr>
                            <w:rFonts w:ascii="仿宋_GB2312" w:eastAsia="仿宋_GB2312"/>
                            <w:szCs w:val="21"/>
                          </w:rPr>
                        </w:pPr>
                        <w:r>
                          <w:rPr>
                            <w:rFonts w:hint="eastAsia" w:ascii="仿宋_GB2312" w:eastAsia="仿宋_GB2312"/>
                            <w:szCs w:val="21"/>
                          </w:rPr>
                          <w:t>安全主管部门</w:t>
                        </w:r>
                      </w:p>
                    </w:txbxContent>
                  </v:textbox>
                </v:shape>
                <v:shape id="文本框 1442" o:spid="_x0000_s1026" o:spt="202" type="#_x0000_t202" style="position:absolute;left:5821;top:2218839;height:601;width:2319;" fillcolor="#FFFFFF" filled="t" stroked="t" coordsize="21600,21600" o:gfxdata="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yYKVm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ind w:firstLine="480"/>
                          <w:rPr>
                            <w:rFonts w:ascii="仿宋_GB2312" w:eastAsia="仿宋_GB2312"/>
                          </w:rPr>
                        </w:pPr>
                        <w:r>
                          <w:rPr>
                            <w:rFonts w:hint="eastAsia" w:ascii="仿宋_GB2312" w:eastAsia="仿宋_GB2312"/>
                          </w:rPr>
                          <w:t xml:space="preserve">  公司安全管理部</w:t>
                        </w:r>
                      </w:p>
                    </w:txbxContent>
                  </v:textbox>
                </v:shape>
                <v:line id="直线 1444" o:spid="_x0000_s1026" o:spt="20" style="position:absolute;left:8125;top:2219099;height:0;width:1962;" filled="f" stroked="t" coordsize="21600,21600" o:gfxdata="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50nf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450" o:spid="_x0000_s1026" o:spt="20" style="position:absolute;left:6877;top:2216750;flip:x;height:2089;width:14;" filled="f" stroked="t" coordsize="21600,21600" o:gfxdata="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LG0R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id="组合 1786" o:spid="_x0000_s1026" o:spt="203" style="position:absolute;left:10056;top:2216135;height:5072;width:2378;" coordorigin="10056,2216149" coordsize="2378,5072" o:gfxdata="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VnO6svwAAANwAAAAPAAAAAAAAAAEAIAAAACIAAABkcnMvZG93bnJldi54&#10;bWxQSwECFAAUAAAACACHTuJAMy8FnjsAAAA5AAAAFQAAAAAAAAABACAAAAAOAQAAZHJzL2dyb3Vw&#10;c2hhcGV4bWwueG1sUEsFBgAAAAAGAAYAYAEAAMsDAAAAAA==&#10;">
                  <o:lock v:ext="edit" aspectratio="f"/>
                  <v:shape id="文本框 1787" o:spid="_x0000_s1026" o:spt="202" type="#_x0000_t202" style="position:absolute;left:10056;top:2217884;height:585;width:2319;" fillcolor="#FFFFFF" filled="t" stroked="t" coordsize="21600,21600" o:gfxdata="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0HvSu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ind w:firstLine="700" w:firstLineChars="250"/>
                            <w:rPr>
                              <w:rFonts w:ascii="仿宋_GB2312" w:eastAsia="仿宋_GB2312"/>
                            </w:rPr>
                          </w:pPr>
                          <w:r>
                            <w:rPr>
                              <w:rFonts w:hint="eastAsia" w:ascii="仿宋_GB2312" w:eastAsia="仿宋_GB2312"/>
                            </w:rPr>
                            <w:t>安全负责人</w:t>
                          </w:r>
                        </w:p>
                      </w:txbxContent>
                    </v:textbox>
                  </v:shape>
                  <v:shape id="文本框 1788" o:spid="_x0000_s1026" o:spt="202" type="#_x0000_t202" style="position:absolute;left:10056;top:2218751;height:661;width:2319;" fillcolor="#FFFFFF" filled="t" stroked="t" coordsize="21600,21600" o:gfxdata="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JR3gu/&#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ind w:firstLine="480"/>
                            <w:rPr>
                              <w:rFonts w:ascii="仿宋_GB2312" w:eastAsia="仿宋_GB2312"/>
                            </w:rPr>
                          </w:pPr>
                          <w:r>
                            <w:rPr>
                              <w:rFonts w:hint="eastAsia" w:ascii="仿宋_GB2312" w:eastAsia="仿宋_GB2312"/>
                            </w:rPr>
                            <w:t>项目安全小组</w:t>
                          </w:r>
                        </w:p>
                      </w:txbxContent>
                    </v:textbox>
                  </v:shape>
                  <v:shape id="文本框 1789" o:spid="_x0000_s1026" o:spt="202" type="#_x0000_t202" style="position:absolute;left:10086;top:2219723;height:601;width:2319;" fillcolor="#FFFFFF" filled="t" stroked="t" coordsize="21600,21600" o:gfxdata="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HXuQ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480"/>
                            <w:rPr>
                              <w:rFonts w:ascii="仿宋_GB2312" w:eastAsia="仿宋_GB2312"/>
                            </w:rPr>
                          </w:pPr>
                          <w:r>
                            <w:rPr>
                              <w:rFonts w:hint="eastAsia" w:ascii="仿宋_GB2312" w:eastAsia="仿宋_GB2312"/>
                            </w:rPr>
                            <w:t>各专业负责人</w:t>
                          </w:r>
                        </w:p>
                      </w:txbxContent>
                    </v:textbox>
                  </v:shape>
                  <v:shape id="文本框 1790" o:spid="_x0000_s1026" o:spt="202" type="#_x0000_t202" style="position:absolute;left:10116;top:2220605;height:616;width:2319;" fillcolor="#FFFFFF" filled="t" stroked="t" coordsize="21600,21600" o:gfxdata="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z+Xn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840" w:firstLineChars="300"/>
                            <w:rPr>
                              <w:rFonts w:ascii="仿宋_GB2312" w:eastAsia="仿宋_GB2312"/>
                            </w:rPr>
                          </w:pPr>
                          <w:r>
                            <w:rPr>
                              <w:rFonts w:hint="eastAsia" w:ascii="仿宋_GB2312" w:eastAsia="仿宋_GB2312"/>
                            </w:rPr>
                            <w:t>现场施工</w:t>
                          </w:r>
                        </w:p>
                      </w:txbxContent>
                    </v:textbox>
                  </v:shape>
                  <v:line id="直线 1791" o:spid="_x0000_s1026" o:spt="20" style="position:absolute;left:11365;top:2218455;height:311;width:0;" filled="f" stroked="t" coordsize="21600,21600" o:gfxdata="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sIVh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792" o:spid="_x0000_s1026" o:spt="20" style="position:absolute;left:11350;top:2217617;height:311;width:0;" filled="f" stroked="t" coordsize="21600,21600" o:gfxdata="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WR0V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793" o:spid="_x0000_s1026" o:spt="20" style="position:absolute;left:11350;top:2219456;height:311;width:0;" filled="f" stroked="t" coordsize="21600,21600" o:gfxdata="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FbiO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794" o:spid="_x0000_s1026" o:spt="20" style="position:absolute;left:11350;top:2220368;height:311;width:0;" filled="f" stroked="t" coordsize="21600,21600" o:gfxdata="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xyb5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文本框 1795" o:spid="_x0000_s1026" o:spt="202" type="#_x0000_t202" style="position:absolute;left:10085;top:2216149;height:585;width:2319;" fillcolor="#FFFFFF" filled="t" stroked="t" coordsize="21600,21600" o:gfxdata="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24Rn+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ind w:firstLine="280" w:firstLineChars="100"/>
                            <w:jc w:val="center"/>
                            <w:rPr>
                              <w:rFonts w:ascii="仿宋_GB2312" w:eastAsia="仿宋_GB2312"/>
                            </w:rPr>
                          </w:pPr>
                          <w:r>
                            <w:rPr>
                              <w:rFonts w:hint="eastAsia" w:ascii="仿宋_GB2312" w:eastAsia="仿宋_GB2312"/>
                            </w:rPr>
                            <w:t>施工单位</w:t>
                          </w:r>
                        </w:p>
                      </w:txbxContent>
                    </v:textbox>
                  </v:shape>
                  <v:shape id="文本框 1796" o:spid="_x0000_s1026" o:spt="202" type="#_x0000_t202" style="position:absolute;left:10070;top:2217001;height:601;width:2319;" fillcolor="#FFFFFF" filled="t" stroked="t" coordsize="21600,21600" o:gfxdata="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wn0g2/&#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ind w:firstLine="840" w:firstLineChars="300"/>
                            <w:rPr>
                              <w:rFonts w:ascii="仿宋_GB2312" w:eastAsia="仿宋_GB2312"/>
                            </w:rPr>
                          </w:pPr>
                          <w:r>
                            <w:rPr>
                              <w:rFonts w:hint="eastAsia" w:ascii="仿宋_GB2312" w:eastAsia="仿宋_GB2312"/>
                            </w:rPr>
                            <w:t>项目经理</w:t>
                          </w:r>
                        </w:p>
                      </w:txbxContent>
                    </v:textbox>
                  </v:shape>
                  <v:line id="直线 1797" o:spid="_x0000_s1026" o:spt="20" style="position:absolute;left:11379;top:2216735;height:311;width:0;" filled="f" stroked="t" coordsize="21600,21600" o:gfxdata="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WLKL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v:line id="直线 1798" o:spid="_x0000_s1026" o:spt="20" style="position:absolute;left:8123;top:2216439;height:0;width:1962;" filled="f" stroked="t" coordsize="21600,21600" o:gfxdata="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9yhQ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w:pict>
          </mc:Fallback>
        </mc:AlternateContent>
      </w:r>
      <w:r>
        <w:rPr>
          <w:sz w:val="30"/>
        </w:rPr>
        <mc:AlternateContent>
          <mc:Choice Requires="wpg">
            <w:drawing>
              <wp:anchor distT="0" distB="0" distL="114300" distR="114300" simplePos="0" relativeHeight="251674624" behindDoc="0" locked="0" layoutInCell="1" allowOverlap="1">
                <wp:simplePos x="0" y="0"/>
                <wp:positionH relativeFrom="column">
                  <wp:posOffset>3041650</wp:posOffset>
                </wp:positionH>
                <wp:positionV relativeFrom="paragraph">
                  <wp:posOffset>352425</wp:posOffset>
                </wp:positionV>
                <wp:extent cx="1510030" cy="3220720"/>
                <wp:effectExtent l="4445" t="4445" r="9525" b="13335"/>
                <wp:wrapNone/>
                <wp:docPr id="153" name="组合 1784"/>
                <wp:cNvGraphicFramePr/>
                <a:graphic xmlns:a="http://schemas.openxmlformats.org/drawingml/2006/main">
                  <a:graphicData uri="http://schemas.microsoft.com/office/word/2010/wordprocessingGroup">
                    <wpg:wgp>
                      <wpg:cNvGrpSpPr/>
                      <wpg:grpSpPr>
                        <a:xfrm>
                          <a:off x="0" y="0"/>
                          <a:ext cx="1510030" cy="3220720"/>
                          <a:chOff x="10056" y="2216149"/>
                          <a:chExt cx="2378" cy="5072"/>
                        </a:xfrm>
                      </wpg:grpSpPr>
                      <wps:wsp>
                        <wps:cNvPr id="142" name="文本框 1438"/>
                        <wps:cNvSpPr txBox="1"/>
                        <wps:spPr>
                          <a:xfrm>
                            <a:off x="10056" y="2217884"/>
                            <a:ext cx="2319"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700" w:firstLineChars="250"/>
                                <w:rPr>
                                  <w:rFonts w:ascii="仿宋_GB2312" w:eastAsia="仿宋_GB2312"/>
                                </w:rPr>
                              </w:pPr>
                              <w:r>
                                <w:rPr>
                                  <w:rFonts w:hint="eastAsia" w:ascii="仿宋_GB2312" w:eastAsia="仿宋_GB2312"/>
                                </w:rPr>
                                <w:t>安全负责人</w:t>
                              </w:r>
                            </w:p>
                          </w:txbxContent>
                        </wps:txbx>
                        <wps:bodyPr wrap="square" upright="1"/>
                      </wps:wsp>
                      <wps:wsp>
                        <wps:cNvPr id="143" name="文本框 1439"/>
                        <wps:cNvSpPr txBox="1"/>
                        <wps:spPr>
                          <a:xfrm>
                            <a:off x="10056" y="2218751"/>
                            <a:ext cx="2319" cy="66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80"/>
                                <w:rPr>
                                  <w:rFonts w:ascii="仿宋_GB2312" w:eastAsia="仿宋_GB2312"/>
                                </w:rPr>
                              </w:pPr>
                              <w:r>
                                <w:rPr>
                                  <w:rFonts w:hint="eastAsia" w:ascii="仿宋_GB2312" w:eastAsia="仿宋_GB2312"/>
                                </w:rPr>
                                <w:t>项目安全小组</w:t>
                              </w:r>
                            </w:p>
                          </w:txbxContent>
                        </wps:txbx>
                        <wps:bodyPr wrap="square" upright="1"/>
                      </wps:wsp>
                      <wps:wsp>
                        <wps:cNvPr id="144" name="文本框 1440"/>
                        <wps:cNvSpPr txBox="1"/>
                        <wps:spPr>
                          <a:xfrm>
                            <a:off x="10086" y="2219723"/>
                            <a:ext cx="2319" cy="60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80"/>
                                <w:rPr>
                                  <w:rFonts w:ascii="仿宋_GB2312" w:eastAsia="仿宋_GB2312"/>
                                </w:rPr>
                              </w:pPr>
                              <w:r>
                                <w:rPr>
                                  <w:rFonts w:hint="eastAsia" w:ascii="仿宋_GB2312" w:eastAsia="仿宋_GB2312"/>
                                </w:rPr>
                                <w:t>各专业负责人</w:t>
                              </w:r>
                            </w:p>
                          </w:txbxContent>
                        </wps:txbx>
                        <wps:bodyPr wrap="square" upright="1"/>
                      </wps:wsp>
                      <wps:wsp>
                        <wps:cNvPr id="145" name="文本框 1441"/>
                        <wps:cNvSpPr txBox="1"/>
                        <wps:spPr>
                          <a:xfrm>
                            <a:off x="10116" y="2220605"/>
                            <a:ext cx="2319" cy="61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840" w:firstLineChars="300"/>
                                <w:rPr>
                                  <w:rFonts w:ascii="仿宋_GB2312" w:eastAsia="仿宋_GB2312"/>
                                </w:rPr>
                              </w:pPr>
                              <w:r>
                                <w:rPr>
                                  <w:rFonts w:hint="eastAsia" w:ascii="仿宋_GB2312" w:eastAsia="仿宋_GB2312"/>
                                </w:rPr>
                                <w:t>现场施工</w:t>
                              </w:r>
                            </w:p>
                          </w:txbxContent>
                        </wps:txbx>
                        <wps:bodyPr wrap="square" upright="1"/>
                      </wps:wsp>
                      <wps:wsp>
                        <wps:cNvPr id="146" name="直线 1447"/>
                        <wps:cNvCnPr/>
                        <wps:spPr>
                          <a:xfrm>
                            <a:off x="11365" y="2218455"/>
                            <a:ext cx="0" cy="311"/>
                          </a:xfrm>
                          <a:prstGeom prst="line">
                            <a:avLst/>
                          </a:prstGeom>
                          <a:ln w="9525" cap="flat" cmpd="sng">
                            <a:solidFill>
                              <a:srgbClr val="000000"/>
                            </a:solidFill>
                            <a:prstDash val="solid"/>
                            <a:headEnd type="none" w="med" len="med"/>
                            <a:tailEnd type="triangle" w="med" len="med"/>
                          </a:ln>
                        </wps:spPr>
                        <wps:bodyPr/>
                      </wps:wsp>
                      <wps:wsp>
                        <wps:cNvPr id="147" name="直线 1778"/>
                        <wps:cNvCnPr/>
                        <wps:spPr>
                          <a:xfrm>
                            <a:off x="11350" y="2217617"/>
                            <a:ext cx="0" cy="311"/>
                          </a:xfrm>
                          <a:prstGeom prst="line">
                            <a:avLst/>
                          </a:prstGeom>
                          <a:ln w="9525" cap="flat" cmpd="sng">
                            <a:solidFill>
                              <a:srgbClr val="000000"/>
                            </a:solidFill>
                            <a:prstDash val="solid"/>
                            <a:headEnd type="none" w="med" len="med"/>
                            <a:tailEnd type="triangle" w="med" len="med"/>
                          </a:ln>
                        </wps:spPr>
                        <wps:bodyPr/>
                      </wps:wsp>
                      <wps:wsp>
                        <wps:cNvPr id="148" name="直线 1779"/>
                        <wps:cNvCnPr/>
                        <wps:spPr>
                          <a:xfrm>
                            <a:off x="11350" y="2219456"/>
                            <a:ext cx="0" cy="311"/>
                          </a:xfrm>
                          <a:prstGeom prst="line">
                            <a:avLst/>
                          </a:prstGeom>
                          <a:ln w="9525" cap="flat" cmpd="sng">
                            <a:solidFill>
                              <a:srgbClr val="000000"/>
                            </a:solidFill>
                            <a:prstDash val="solid"/>
                            <a:headEnd type="none" w="med" len="med"/>
                            <a:tailEnd type="triangle" w="med" len="med"/>
                          </a:ln>
                        </wps:spPr>
                        <wps:bodyPr/>
                      </wps:wsp>
                      <wps:wsp>
                        <wps:cNvPr id="149" name="直线 1780"/>
                        <wps:cNvCnPr/>
                        <wps:spPr>
                          <a:xfrm>
                            <a:off x="11350" y="2220368"/>
                            <a:ext cx="0" cy="311"/>
                          </a:xfrm>
                          <a:prstGeom prst="line">
                            <a:avLst/>
                          </a:prstGeom>
                          <a:ln w="9525" cap="flat" cmpd="sng">
                            <a:solidFill>
                              <a:srgbClr val="000000"/>
                            </a:solidFill>
                            <a:prstDash val="solid"/>
                            <a:headEnd type="none" w="med" len="med"/>
                            <a:tailEnd type="triangle" w="med" len="med"/>
                          </a:ln>
                        </wps:spPr>
                        <wps:bodyPr/>
                      </wps:wsp>
                      <wps:wsp>
                        <wps:cNvPr id="150" name="文本框 1781"/>
                        <wps:cNvSpPr txBox="1"/>
                        <wps:spPr>
                          <a:xfrm>
                            <a:off x="10085" y="2216149"/>
                            <a:ext cx="2319"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80" w:firstLineChars="100"/>
                                <w:jc w:val="center"/>
                                <w:rPr>
                                  <w:rFonts w:ascii="仿宋_GB2312" w:eastAsia="仿宋_GB2312"/>
                                </w:rPr>
                              </w:pPr>
                              <w:r>
                                <w:rPr>
                                  <w:rFonts w:hint="eastAsia" w:ascii="仿宋_GB2312" w:eastAsia="仿宋_GB2312"/>
                                </w:rPr>
                                <w:t>施工单位</w:t>
                              </w:r>
                            </w:p>
                          </w:txbxContent>
                        </wps:txbx>
                        <wps:bodyPr wrap="square" upright="1"/>
                      </wps:wsp>
                      <wps:wsp>
                        <wps:cNvPr id="151" name="文本框 1782"/>
                        <wps:cNvSpPr txBox="1"/>
                        <wps:spPr>
                          <a:xfrm>
                            <a:off x="10070" y="2217001"/>
                            <a:ext cx="2319" cy="60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840" w:firstLineChars="300"/>
                                <w:rPr>
                                  <w:rFonts w:ascii="仿宋_GB2312" w:eastAsia="仿宋_GB2312"/>
                                </w:rPr>
                              </w:pPr>
                              <w:r>
                                <w:rPr>
                                  <w:rFonts w:hint="eastAsia" w:ascii="仿宋_GB2312" w:eastAsia="仿宋_GB2312"/>
                                </w:rPr>
                                <w:t>项目经理</w:t>
                              </w:r>
                            </w:p>
                          </w:txbxContent>
                        </wps:txbx>
                        <wps:bodyPr wrap="square" upright="1"/>
                      </wps:wsp>
                      <wps:wsp>
                        <wps:cNvPr id="152" name="直线 1783"/>
                        <wps:cNvCnPr/>
                        <wps:spPr>
                          <a:xfrm>
                            <a:off x="11379" y="2216735"/>
                            <a:ext cx="0" cy="311"/>
                          </a:xfrm>
                          <a:prstGeom prst="line">
                            <a:avLst/>
                          </a:prstGeom>
                          <a:ln w="9525" cap="flat" cmpd="sng">
                            <a:solidFill>
                              <a:srgbClr val="000000"/>
                            </a:solidFill>
                            <a:prstDash val="solid"/>
                            <a:headEnd type="none" w="med" len="med"/>
                            <a:tailEnd type="triangle" w="med" len="med"/>
                          </a:ln>
                        </wps:spPr>
                        <wps:bodyPr/>
                      </wps:wsp>
                    </wpg:wgp>
                  </a:graphicData>
                </a:graphic>
              </wp:anchor>
            </w:drawing>
          </mc:Choice>
          <mc:Fallback>
            <w:pict>
              <v:group id="组合 1784" o:spid="_x0000_s1026" o:spt="203" style="position:absolute;left:0pt;margin-left:239.5pt;margin-top:27.75pt;height:253.6pt;width:118.9pt;z-index:251674624;mso-width-relative:page;mso-height-relative:page;" coordorigin="10056,2216149" coordsize="2378,5072" o:gfxdata="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">
                <o:lock v:ext="edit" aspectratio="f"/>
                <v:shape id="文本框 1438" o:spid="_x0000_s1026" o:spt="202" type="#_x0000_t202" style="position:absolute;left:10056;top:2217884;height:585;width:2319;" fillcolor="#FFFFFF" filled="t" stroked="t" coordsize="21600,21600" o:gfxdata="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ermH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700" w:firstLineChars="250"/>
                          <w:rPr>
                            <w:rFonts w:ascii="仿宋_GB2312" w:eastAsia="仿宋_GB2312"/>
                          </w:rPr>
                        </w:pPr>
                        <w:r>
                          <w:rPr>
                            <w:rFonts w:hint="eastAsia" w:ascii="仿宋_GB2312" w:eastAsia="仿宋_GB2312"/>
                          </w:rPr>
                          <w:t>安全负责人</w:t>
                        </w:r>
                      </w:p>
                    </w:txbxContent>
                  </v:textbox>
                </v:shape>
                <v:shape id="文本框 1439" o:spid="_x0000_s1026" o:spt="202" type="#_x0000_t202" style="position:absolute;left:10056;top:2218751;height:661;width:2319;" fillcolor="#FFFFFF" filled="t" stroked="t" coordsize="21600,21600" o:gfxdata="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TYcH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ind w:firstLine="480"/>
                          <w:rPr>
                            <w:rFonts w:ascii="仿宋_GB2312" w:eastAsia="仿宋_GB2312"/>
                          </w:rPr>
                        </w:pPr>
                        <w:r>
                          <w:rPr>
                            <w:rFonts w:hint="eastAsia" w:ascii="仿宋_GB2312" w:eastAsia="仿宋_GB2312"/>
                          </w:rPr>
                          <w:t>项目安全小组</w:t>
                        </w:r>
                      </w:p>
                    </w:txbxContent>
                  </v:textbox>
                </v:shape>
                <v:shape id="文本框 1440" o:spid="_x0000_s1026" o:spt="202" type="#_x0000_t202" style="position:absolute;left:10086;top:2219723;height:601;width:2319;" fillcolor="#FFFFFF" filled="t" stroked="t" coordsize="21600,21600" o:gfxdata="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34Ro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480"/>
                          <w:rPr>
                            <w:rFonts w:ascii="仿宋_GB2312" w:eastAsia="仿宋_GB2312"/>
                          </w:rPr>
                        </w:pPr>
                        <w:r>
                          <w:rPr>
                            <w:rFonts w:hint="eastAsia" w:ascii="仿宋_GB2312" w:eastAsia="仿宋_GB2312"/>
                          </w:rPr>
                          <w:t>各专业负责人</w:t>
                        </w:r>
                      </w:p>
                    </w:txbxContent>
                  </v:textbox>
                </v:shape>
                <v:shape id="文本框 1441" o:spid="_x0000_s1026" o:spt="202" type="#_x0000_t202" style="position:absolute;left:10116;top:2220605;height:616;width:2319;" fillcolor="#FFFFFF" filled="t" stroked="t" coordsize="21600,21600" o:gfxdata="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ZMh8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ind w:firstLine="840" w:firstLineChars="300"/>
                          <w:rPr>
                            <w:rFonts w:ascii="仿宋_GB2312" w:eastAsia="仿宋_GB2312"/>
                          </w:rPr>
                        </w:pPr>
                        <w:r>
                          <w:rPr>
                            <w:rFonts w:hint="eastAsia" w:ascii="仿宋_GB2312" w:eastAsia="仿宋_GB2312"/>
                          </w:rPr>
                          <w:t>现场施工</w:t>
                        </w:r>
                      </w:p>
                    </w:txbxContent>
                  </v:textbox>
                </v:shape>
                <v:line id="直线 1447" o:spid="_x0000_s1026" o:spt="20" style="position:absolute;left:11365;top:2218455;height:311;width:0;" filled="f" stroked="t" coordsize="21600,21600" o:gfxdata="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cnqZ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778" o:spid="_x0000_s1026" o:spt="20" style="position:absolute;left:11350;top:2217617;height:311;width:0;" filled="f" stroked="t" coordsize="21600,21600" o:gfxdata="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t8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779" o:spid="_x0000_s1026" o:spt="20" style="position:absolute;left:11350;top:2219456;height:311;width:0;" filled="f" stroked="t" coordsize="21600,21600" o:gfxdata="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OoUtw&#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1780" o:spid="_x0000_s1026" o:spt="20" style="position:absolute;left:11350;top:2220368;height:311;width:0;" filled="f" stroked="t" coordsize="21600,21600" o:gfxdata="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7e7r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文本框 1781" o:spid="_x0000_s1026" o:spt="202" type="#_x0000_t202" style="position:absolute;left:10085;top:2216149;height:585;width:2319;" fillcolor="#FFFFFF" filled="t" stroked="t" coordsize="21600,21600" o:gfxdata="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8PRS2&#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ind w:firstLine="280" w:firstLineChars="100"/>
                          <w:jc w:val="center"/>
                          <w:rPr>
                            <w:rFonts w:ascii="仿宋_GB2312" w:eastAsia="仿宋_GB2312"/>
                          </w:rPr>
                        </w:pPr>
                        <w:r>
                          <w:rPr>
                            <w:rFonts w:hint="eastAsia" w:ascii="仿宋_GB2312" w:eastAsia="仿宋_GB2312"/>
                          </w:rPr>
                          <w:t>施工单位</w:t>
                        </w:r>
                      </w:p>
                    </w:txbxContent>
                  </v:textbox>
                </v:shape>
                <v:shape id="文本框 1782" o:spid="_x0000_s1026" o:spt="202" type="#_x0000_t202" style="position:absolute;left:10070;top:2217001;height:601;width:2319;" fillcolor="#FFFFFF" filled="t" stroked="t" coordsize="21600,21600" o:gfxdata="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NxsS2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ind w:firstLine="840" w:firstLineChars="300"/>
                          <w:rPr>
                            <w:rFonts w:ascii="仿宋_GB2312" w:eastAsia="仿宋_GB2312"/>
                          </w:rPr>
                        </w:pPr>
                        <w:r>
                          <w:rPr>
                            <w:rFonts w:hint="eastAsia" w:ascii="仿宋_GB2312" w:eastAsia="仿宋_GB2312"/>
                          </w:rPr>
                          <w:t>项目经理</w:t>
                        </w:r>
                      </w:p>
                    </w:txbxContent>
                  </v:textbox>
                </v:shape>
                <v:line id="直线 1783" o:spid="_x0000_s1026" o:spt="20" style="position:absolute;left:11379;top:2216735;height:311;width:0;" filled="f" stroked="t" coordsize="21600,21600" o:gfxdata="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pDqR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w:pict>
          </mc:Fallback>
        </mc:AlternateContent>
      </w:r>
      <w:r>
        <w:rPr>
          <w:sz w:val="30"/>
        </w:rPr>
        <mc:AlternateContent>
          <mc:Choice Requires="wps">
            <w:drawing>
              <wp:anchor distT="0" distB="0" distL="114300" distR="114300" simplePos="0" relativeHeight="251662336" behindDoc="0" locked="0" layoutInCell="1" allowOverlap="1">
                <wp:simplePos x="0" y="0"/>
                <wp:positionH relativeFrom="column">
                  <wp:posOffset>3042285</wp:posOffset>
                </wp:positionH>
                <wp:positionV relativeFrom="paragraph">
                  <wp:posOffset>351790</wp:posOffset>
                </wp:positionV>
                <wp:extent cx="1472565" cy="371475"/>
                <wp:effectExtent l="4445" t="4445" r="8890" b="5080"/>
                <wp:wrapNone/>
                <wp:docPr id="48" name="文本框 1436"/>
                <wp:cNvGraphicFramePr/>
                <a:graphic xmlns:a="http://schemas.openxmlformats.org/drawingml/2006/main">
                  <a:graphicData uri="http://schemas.microsoft.com/office/word/2010/wordprocessingShape">
                    <wps:wsp>
                      <wps:cNvSpPr txBox="1"/>
                      <wps:spPr>
                        <a:xfrm>
                          <a:off x="0" y="0"/>
                          <a:ext cx="1472565" cy="371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80" w:firstLineChars="100"/>
                              <w:jc w:val="center"/>
                              <w:rPr>
                                <w:rFonts w:ascii="仿宋_GB2312" w:eastAsia="仿宋_GB2312"/>
                              </w:rPr>
                            </w:pPr>
                            <w:r>
                              <w:rPr>
                                <w:rFonts w:hint="eastAsia" w:ascii="仿宋_GB2312" w:eastAsia="仿宋_GB2312"/>
                              </w:rPr>
                              <w:t>施工单位</w:t>
                            </w:r>
                          </w:p>
                        </w:txbxContent>
                      </wps:txbx>
                      <wps:bodyPr wrap="square" upright="1"/>
                    </wps:wsp>
                  </a:graphicData>
                </a:graphic>
              </wp:anchor>
            </w:drawing>
          </mc:Choice>
          <mc:Fallback>
            <w:pict>
              <v:shape id="文本框 1436" o:spid="_x0000_s1026" o:spt="202" type="#_x0000_t202" style="position:absolute;left:0pt;margin-left:239.55pt;margin-top:27.7pt;height:29.25pt;width:115.95pt;z-index:251662336;mso-width-relative:page;mso-height-relative:page;" fillcolor="#FFFFFF" filled="t" stroked="t" coordsize="21600,21600" o:gfxdata="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DJC+dkAAAAKAQAADwAAAAAAAAABACAAAAAiAAAAZHJzL2Rvd25y&#10;ZXYueG1sUEsBAhQAFAAAAAgAh07iQOYEg6P9AQAA+gMAAA4AAAAAAAAAAQAgAAAAKAEAAGRycy9l&#10;Mm9Eb2MueG1sUEsFBgAAAAAGAAYAWQEAAJcFAAAAAA==&#10;">
                <v:fill on="t" focussize="0,0"/>
                <v:stroke color="#000000" joinstyle="miter"/>
                <v:imagedata o:title=""/>
                <o:lock v:ext="edit" aspectratio="f"/>
                <v:textbox>
                  <w:txbxContent>
                    <w:p>
                      <w:pPr>
                        <w:ind w:firstLine="280" w:firstLineChars="100"/>
                        <w:jc w:val="center"/>
                        <w:rPr>
                          <w:rFonts w:ascii="仿宋_GB2312" w:eastAsia="仿宋_GB2312"/>
                        </w:rPr>
                      </w:pPr>
                      <w:r>
                        <w:rPr>
                          <w:rFonts w:hint="eastAsia" w:ascii="仿宋_GB2312" w:eastAsia="仿宋_GB2312"/>
                        </w:rPr>
                        <w:t>施工单位</w:t>
                      </w:r>
                    </w:p>
                  </w:txbxContent>
                </v:textbox>
              </v:shape>
            </w:pict>
          </mc:Fallback>
        </mc:AlternateContent>
      </w:r>
      <w:bookmarkEnd w:id="320"/>
      <w:bookmarkEnd w:id="321"/>
      <w:bookmarkEnd w:id="322"/>
      <w:bookmarkEnd w:id="323"/>
    </w:p>
    <w:p>
      <w:pPr>
        <w:ind w:firstLine="600"/>
        <w:rPr>
          <w:rFonts w:ascii="黑体" w:hAnsi="GungsuhChe" w:eastAsia="黑体"/>
          <w:bCs/>
          <w:sz w:val="30"/>
          <w:szCs w:val="30"/>
        </w:rPr>
      </w:pPr>
      <w:bookmarkStart w:id="324" w:name="_Toc525107750"/>
      <w:bookmarkStart w:id="325" w:name="_Toc524618565"/>
      <w:bookmarkStart w:id="326" w:name="_Toc525107863"/>
      <w:bookmarkStart w:id="327" w:name="_Toc525107616"/>
      <w:r>
        <w:rPr>
          <w:sz w:val="30"/>
        </w:rPr>
        <mc:AlternateContent>
          <mc:Choice Requires="wps">
            <w:drawing>
              <wp:anchor distT="0" distB="0" distL="114300" distR="114300" simplePos="0" relativeHeight="251675648" behindDoc="0" locked="0" layoutInCell="1" allowOverlap="1">
                <wp:simplePos x="0" y="0"/>
                <wp:positionH relativeFrom="column">
                  <wp:posOffset>1814195</wp:posOffset>
                </wp:positionH>
                <wp:positionV relativeFrom="paragraph">
                  <wp:posOffset>192405</wp:posOffset>
                </wp:positionV>
                <wp:extent cx="1245870" cy="0"/>
                <wp:effectExtent l="0" t="38100" r="11430" b="38100"/>
                <wp:wrapNone/>
                <wp:docPr id="154" name="直线 1785"/>
                <wp:cNvGraphicFramePr/>
                <a:graphic xmlns:a="http://schemas.openxmlformats.org/drawingml/2006/main">
                  <a:graphicData uri="http://schemas.microsoft.com/office/word/2010/wordprocessingShape">
                    <wps:wsp>
                      <wps:cNvCnPr/>
                      <wps:spPr>
                        <a:xfrm>
                          <a:off x="0" y="0"/>
                          <a:ext cx="124587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785" o:spid="_x0000_s1026" o:spt="20" style="position:absolute;left:0pt;margin-left:142.85pt;margin-top:15.15pt;height:0pt;width:98.1pt;z-index:251675648;mso-width-relative:page;mso-height-relative:page;" filled="f" stroked="t" coordsize="21600,21600" o:gfxdata="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RlrDzZAAAACQEAAA8AAAAAAAAAAQAgAAAAIgAA&#10;AGRycy9kb3ducmV2LnhtbFBLAQIUABQAAAAIAIdO4kCq+HvYzgEAAIoDAAAOAAAAAAAAAAEAIAAA&#10;ACgBAABkcnMvZTJvRG9jLnhtbFBLBQYAAAAABgAGAFkBAABoBQAAAAA=&#10;">
                <v:fill on="f" focussize="0,0"/>
                <v:stroke color="#000000" joinstyle="round" endarrow="block"/>
                <v:imagedata o:title=""/>
                <o:lock v:ext="edit" aspectratio="f"/>
              </v:line>
            </w:pict>
          </mc:Fallback>
        </mc:AlternateContent>
      </w:r>
      <w:r>
        <w:rPr>
          <w:sz w:val="30"/>
        </w:rPr>
        <mc:AlternateContent>
          <mc:Choice Requires="wps">
            <w:drawing>
              <wp:anchor distT="0" distB="0" distL="114300" distR="114300" simplePos="0" relativeHeight="251671552" behindDoc="0" locked="0" layoutInCell="1" allowOverlap="1">
                <wp:simplePos x="0" y="0"/>
                <wp:positionH relativeFrom="column">
                  <wp:posOffset>3042285</wp:posOffset>
                </wp:positionH>
                <wp:positionV relativeFrom="paragraph">
                  <wp:posOffset>7620</wp:posOffset>
                </wp:positionV>
                <wp:extent cx="1472565" cy="371475"/>
                <wp:effectExtent l="4445" t="4445" r="8890" b="5080"/>
                <wp:wrapNone/>
                <wp:docPr id="139" name="文本框 1775"/>
                <wp:cNvGraphicFramePr/>
                <a:graphic xmlns:a="http://schemas.openxmlformats.org/drawingml/2006/main">
                  <a:graphicData uri="http://schemas.microsoft.com/office/word/2010/wordprocessingShape">
                    <wps:wsp>
                      <wps:cNvSpPr txBox="1"/>
                      <wps:spPr>
                        <a:xfrm>
                          <a:off x="0" y="0"/>
                          <a:ext cx="1472565" cy="371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80" w:firstLineChars="100"/>
                              <w:jc w:val="center"/>
                              <w:rPr>
                                <w:rFonts w:ascii="仿宋_GB2312" w:eastAsia="仿宋_GB2312"/>
                              </w:rPr>
                            </w:pPr>
                            <w:r>
                              <w:rPr>
                                <w:rFonts w:hint="eastAsia" w:ascii="仿宋_GB2312" w:eastAsia="仿宋_GB2312"/>
                              </w:rPr>
                              <w:t>施工单位</w:t>
                            </w:r>
                          </w:p>
                        </w:txbxContent>
                      </wps:txbx>
                      <wps:bodyPr wrap="square" upright="1"/>
                    </wps:wsp>
                  </a:graphicData>
                </a:graphic>
              </wp:anchor>
            </w:drawing>
          </mc:Choice>
          <mc:Fallback>
            <w:pict>
              <v:shape id="文本框 1775" o:spid="_x0000_s1026" o:spt="202" type="#_x0000_t202" style="position:absolute;left:0pt;margin-left:239.55pt;margin-top:0.6pt;height:29.25pt;width:115.95pt;z-index:251671552;mso-width-relative:page;mso-height-relative:page;" fillcolor="#FFFFFF" filled="t" stroked="t" coordsize="21600,21600" o:gfxdata="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Ec2ni1wAAAAgBAAAPAAAAAAAAAAEAIAAAACIAAABkcnMvZG93bnJl&#10;di54bWxQSwECFAAUAAAACACHTuJAcjTMkP4BAAD7AwAADgAAAAAAAAABACAAAAAmAQAAZHJzL2Uy&#10;b0RvYy54bWxQSwUGAAAAAAYABgBZAQAAlgUAAAAA&#10;">
                <v:fill on="t" focussize="0,0"/>
                <v:stroke color="#000000" joinstyle="miter"/>
                <v:imagedata o:title=""/>
                <o:lock v:ext="edit" aspectratio="f"/>
                <v:textbox>
                  <w:txbxContent>
                    <w:p>
                      <w:pPr>
                        <w:ind w:firstLine="280" w:firstLineChars="100"/>
                        <w:jc w:val="center"/>
                        <w:rPr>
                          <w:rFonts w:ascii="仿宋_GB2312" w:eastAsia="仿宋_GB2312"/>
                        </w:rPr>
                      </w:pPr>
                      <w:r>
                        <w:rPr>
                          <w:rFonts w:hint="eastAsia" w:ascii="仿宋_GB2312" w:eastAsia="仿宋_GB2312"/>
                        </w:rPr>
                        <w:t>施工单位</w:t>
                      </w:r>
                    </w:p>
                  </w:txbxContent>
                </v:textbox>
              </v:shape>
            </w:pict>
          </mc:Fallback>
        </mc:AlternateContent>
      </w:r>
      <w:r>
        <w:rPr>
          <w:sz w:val="30"/>
        </w:rPr>
        <mc:AlternateContent>
          <mc:Choice Requires="wps">
            <w:drawing>
              <wp:anchor distT="0" distB="0" distL="114300" distR="114300" simplePos="0" relativeHeight="251666432" behindDoc="0" locked="0" layoutInCell="1" allowOverlap="1">
                <wp:simplePos x="0" y="0"/>
                <wp:positionH relativeFrom="column">
                  <wp:posOffset>1805940</wp:posOffset>
                </wp:positionH>
                <wp:positionV relativeFrom="paragraph">
                  <wp:posOffset>192405</wp:posOffset>
                </wp:positionV>
                <wp:extent cx="1245870" cy="0"/>
                <wp:effectExtent l="0" t="38100" r="11430" b="38100"/>
                <wp:wrapNone/>
                <wp:docPr id="134" name="直线 1443"/>
                <wp:cNvGraphicFramePr/>
                <a:graphic xmlns:a="http://schemas.openxmlformats.org/drawingml/2006/main">
                  <a:graphicData uri="http://schemas.microsoft.com/office/word/2010/wordprocessingShape">
                    <wps:wsp>
                      <wps:cNvCnPr/>
                      <wps:spPr>
                        <a:xfrm>
                          <a:off x="0" y="0"/>
                          <a:ext cx="124587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443" o:spid="_x0000_s1026" o:spt="20" style="position:absolute;left:0pt;margin-left:142.2pt;margin-top:15.15pt;height:0pt;width:98.1pt;z-index:251666432;mso-width-relative:page;mso-height-relative:page;" filled="f" stroked="t" coordsize="21600,21600" o:gfxdata="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aKDw2QAAAAkBAAAPAAAAAAAAAAEAIAAAACIA&#10;AABkcnMvZG93bnJldi54bWxQSwECFAAUAAAACACHTuJAoPtCv88BAACKAwAADgAAAAAAAAABACAA&#10;AAAoAQAAZHJzL2Uyb0RvYy54bWxQSwUGAAAAAAYABgBZAQAAaQUAAAAA&#10;">
                <v:fill on="f" focussize="0,0"/>
                <v:stroke color="#000000" joinstyle="round" endarrow="block"/>
                <v:imagedata o:title=""/>
                <o:lock v:ext="edit" aspectratio="f"/>
              </v:line>
            </w:pict>
          </mc:Fallback>
        </mc:AlternateContent>
      </w:r>
      <w:bookmarkEnd w:id="324"/>
      <w:bookmarkEnd w:id="325"/>
      <w:bookmarkEnd w:id="326"/>
      <w:bookmarkEnd w:id="327"/>
    </w:p>
    <w:p>
      <w:pPr>
        <w:ind w:firstLine="600"/>
        <w:rPr>
          <w:rFonts w:ascii="黑体" w:hAnsi="GungsuhChe" w:eastAsia="黑体"/>
          <w:bCs/>
          <w:sz w:val="30"/>
          <w:szCs w:val="30"/>
        </w:rPr>
      </w:pPr>
      <w:bookmarkStart w:id="328" w:name="_Toc524618566"/>
      <w:bookmarkStart w:id="329" w:name="_Toc525107751"/>
      <w:bookmarkStart w:id="330" w:name="_Toc525107617"/>
      <w:bookmarkStart w:id="331" w:name="_Toc525107864"/>
      <w:r>
        <w:rPr>
          <w:sz w:val="30"/>
        </w:rPr>
        <mc:AlternateContent>
          <mc:Choice Requires="wps">
            <w:drawing>
              <wp:anchor distT="0" distB="0" distL="114300" distR="114300" simplePos="0" relativeHeight="251672576" behindDoc="0" locked="0" layoutInCell="1" allowOverlap="1">
                <wp:simplePos x="0" y="0"/>
                <wp:positionH relativeFrom="column">
                  <wp:posOffset>3032760</wp:posOffset>
                </wp:positionH>
                <wp:positionV relativeFrom="paragraph">
                  <wp:posOffset>195580</wp:posOffset>
                </wp:positionV>
                <wp:extent cx="1472565" cy="381635"/>
                <wp:effectExtent l="4445" t="4445" r="8890" b="13970"/>
                <wp:wrapNone/>
                <wp:docPr id="140" name="文本框 1777"/>
                <wp:cNvGraphicFramePr/>
                <a:graphic xmlns:a="http://schemas.openxmlformats.org/drawingml/2006/main">
                  <a:graphicData uri="http://schemas.microsoft.com/office/word/2010/wordprocessingShape">
                    <wps:wsp>
                      <wps:cNvSpPr txBox="1"/>
                      <wps:spPr>
                        <a:xfrm>
                          <a:off x="0" y="0"/>
                          <a:ext cx="1472565" cy="3816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840" w:firstLineChars="300"/>
                              <w:rPr>
                                <w:rFonts w:ascii="仿宋_GB2312" w:eastAsia="仿宋_GB2312"/>
                              </w:rPr>
                            </w:pPr>
                            <w:r>
                              <w:rPr>
                                <w:rFonts w:hint="eastAsia" w:ascii="仿宋_GB2312" w:eastAsia="仿宋_GB2312"/>
                              </w:rPr>
                              <w:t>项目经理</w:t>
                            </w:r>
                          </w:p>
                        </w:txbxContent>
                      </wps:txbx>
                      <wps:bodyPr wrap="square" upright="1"/>
                    </wps:wsp>
                  </a:graphicData>
                </a:graphic>
              </wp:anchor>
            </w:drawing>
          </mc:Choice>
          <mc:Fallback>
            <w:pict>
              <v:shape id="文本框 1777" o:spid="_x0000_s1026" o:spt="202" type="#_x0000_t202" style="position:absolute;left:0pt;margin-left:238.8pt;margin-top:15.4pt;height:30.05pt;width:115.95pt;z-index:251672576;mso-width-relative:page;mso-height-relative:page;" fillcolor="#FFFFFF" filled="t" stroked="t" coordsize="21600,21600" o:gfxdata="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eO5U/2AAAAAkBAAAPAAAAAAAAAAEAIAAAACIAAABkcnMvZG93bnJl&#10;di54bWxQSwECFAAUAAAACACHTuJA/o/FSf0BAAD7AwAADgAAAAAAAAABACAAAAAnAQAAZHJzL2Uy&#10;b0RvYy54bWxQSwUGAAAAAAYABgBZAQAAlgUAAAAA&#10;">
                <v:fill on="t" focussize="0,0"/>
                <v:stroke color="#000000" joinstyle="miter"/>
                <v:imagedata o:title=""/>
                <o:lock v:ext="edit" aspectratio="f"/>
                <v:textbox>
                  <w:txbxContent>
                    <w:p>
                      <w:pPr>
                        <w:ind w:firstLine="840" w:firstLineChars="300"/>
                        <w:rPr>
                          <w:rFonts w:ascii="仿宋_GB2312" w:eastAsia="仿宋_GB2312"/>
                        </w:rPr>
                      </w:pPr>
                      <w:r>
                        <w:rPr>
                          <w:rFonts w:hint="eastAsia" w:ascii="仿宋_GB2312" w:eastAsia="仿宋_GB2312"/>
                        </w:rPr>
                        <w:t>项目经理</w:t>
                      </w:r>
                    </w:p>
                  </w:txbxContent>
                </v:textbox>
              </v:shape>
            </w:pict>
          </mc:Fallback>
        </mc:AlternateContent>
      </w:r>
      <w:r>
        <w:rPr>
          <w:sz w:val="30"/>
        </w:rPr>
        <mc:AlternateContent>
          <mc:Choice Requires="wps">
            <w:drawing>
              <wp:anchor distT="0" distB="0" distL="114300" distR="114300" simplePos="0" relativeHeight="251673600" behindDoc="0" locked="0" layoutInCell="1" allowOverlap="1">
                <wp:simplePos x="0" y="0"/>
                <wp:positionH relativeFrom="column">
                  <wp:posOffset>3863975</wp:posOffset>
                </wp:positionH>
                <wp:positionV relativeFrom="paragraph">
                  <wp:posOffset>26670</wp:posOffset>
                </wp:positionV>
                <wp:extent cx="0" cy="197485"/>
                <wp:effectExtent l="38100" t="0" r="38100" b="12065"/>
                <wp:wrapNone/>
                <wp:docPr id="141" name="直线 1776"/>
                <wp:cNvGraphicFramePr/>
                <a:graphic xmlns:a="http://schemas.openxmlformats.org/drawingml/2006/main">
                  <a:graphicData uri="http://schemas.microsoft.com/office/word/2010/wordprocessingShape">
                    <wps:wsp>
                      <wps:cNvCnPr/>
                      <wps:spPr>
                        <a:xfrm>
                          <a:off x="0" y="0"/>
                          <a:ext cx="0" cy="19748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776" o:spid="_x0000_s1026" o:spt="20" style="position:absolute;left:0pt;margin-left:304.25pt;margin-top:2.1pt;height:15.55pt;width:0pt;z-index:251673600;mso-width-relative:page;mso-height-relative:page;" filled="f" stroked="t" coordsize="21600,21600" o:gfxdata="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vQN/E2AAAAAgBAAAPAAAAAAAAAAEAIAAAACIAAABk&#10;cnMvZG93bnJldi54bWxQSwECFAAUAAAACACHTuJAHuF+vs0BAACJAwAADgAAAAAAAAABACAAAAAn&#10;AQAAZHJzL2Uyb0RvYy54bWxQSwUGAAAAAAYABgBZAQAAZgUAAAAA&#10;">
                <v:fill on="f" focussize="0,0"/>
                <v:stroke color="#000000" joinstyle="round" endarrow="block"/>
                <v:imagedata o:title=""/>
                <o:lock v:ext="edit" aspectratio="f"/>
              </v:line>
            </w:pict>
          </mc:Fallback>
        </mc:AlternateContent>
      </w:r>
      <w:r>
        <w:rPr>
          <w:sz w:val="30"/>
        </w:rPr>
        <mc:AlternateContent>
          <mc:Choice Requires="wps">
            <w:drawing>
              <wp:anchor distT="0" distB="0" distL="114300" distR="114300" simplePos="0" relativeHeight="251667456" behindDoc="0" locked="0" layoutInCell="1" allowOverlap="1">
                <wp:simplePos x="0" y="0"/>
                <wp:positionH relativeFrom="column">
                  <wp:posOffset>3863975</wp:posOffset>
                </wp:positionH>
                <wp:positionV relativeFrom="paragraph">
                  <wp:posOffset>17780</wp:posOffset>
                </wp:positionV>
                <wp:extent cx="0" cy="197485"/>
                <wp:effectExtent l="38100" t="0" r="38100" b="12065"/>
                <wp:wrapNone/>
                <wp:docPr id="135" name="直线 1445"/>
                <wp:cNvGraphicFramePr/>
                <a:graphic xmlns:a="http://schemas.openxmlformats.org/drawingml/2006/main">
                  <a:graphicData uri="http://schemas.microsoft.com/office/word/2010/wordprocessingShape">
                    <wps:wsp>
                      <wps:cNvCnPr/>
                      <wps:spPr>
                        <a:xfrm>
                          <a:off x="0" y="0"/>
                          <a:ext cx="0" cy="19748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445" o:spid="_x0000_s1026" o:spt="20" style="position:absolute;left:0pt;margin-left:304.25pt;margin-top:1.4pt;height:15.55pt;width:0pt;z-index:251667456;mso-width-relative:page;mso-height-relative:page;" filled="f" stroked="t" coordsize="21600,21600" o:gfxdata="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6YbCNgAAAAIAQAADwAAAAAAAAABACAAAAAiAAAA&#10;ZHJzL2Rvd25yZXYueG1sUEsBAhQAFAAAAAgAh07iQAW/BVTOAQAAiQMAAA4AAAAAAAAAAQAgAAAA&#10;JwEAAGRycy9lMm9Eb2MueG1sUEsFBgAAAAAGAAYAWQEAAGcFAAAAAA==&#10;">
                <v:fill on="f" focussize="0,0"/>
                <v:stroke color="#000000" joinstyle="round" endarrow="block"/>
                <v:imagedata o:title=""/>
                <o:lock v:ext="edit" aspectratio="f"/>
              </v:line>
            </w:pict>
          </mc:Fallback>
        </mc:AlternateContent>
      </w:r>
      <w:r>
        <w:rPr>
          <w:sz w:val="30"/>
        </w:rPr>
        <mc:AlternateContent>
          <mc:Choice Requires="wps">
            <w:drawing>
              <wp:anchor distT="0" distB="0" distL="114300" distR="114300" simplePos="0" relativeHeight="251663360" behindDoc="0" locked="0" layoutInCell="1" allowOverlap="1">
                <wp:simplePos x="0" y="0"/>
                <wp:positionH relativeFrom="column">
                  <wp:posOffset>3032760</wp:posOffset>
                </wp:positionH>
                <wp:positionV relativeFrom="paragraph">
                  <wp:posOffset>186690</wp:posOffset>
                </wp:positionV>
                <wp:extent cx="1472565" cy="381635"/>
                <wp:effectExtent l="4445" t="4445" r="8890" b="13970"/>
                <wp:wrapNone/>
                <wp:docPr id="49" name="文本框 1437"/>
                <wp:cNvGraphicFramePr/>
                <a:graphic xmlns:a="http://schemas.openxmlformats.org/drawingml/2006/main">
                  <a:graphicData uri="http://schemas.microsoft.com/office/word/2010/wordprocessingShape">
                    <wps:wsp>
                      <wps:cNvSpPr txBox="1"/>
                      <wps:spPr>
                        <a:xfrm>
                          <a:off x="0" y="0"/>
                          <a:ext cx="1472565" cy="3816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840" w:firstLineChars="300"/>
                              <w:rPr>
                                <w:rFonts w:ascii="仿宋_GB2312" w:eastAsia="仿宋_GB2312"/>
                              </w:rPr>
                            </w:pPr>
                            <w:r>
                              <w:rPr>
                                <w:rFonts w:hint="eastAsia" w:ascii="仿宋_GB2312" w:eastAsia="仿宋_GB2312"/>
                              </w:rPr>
                              <w:t>项目经理</w:t>
                            </w:r>
                          </w:p>
                        </w:txbxContent>
                      </wps:txbx>
                      <wps:bodyPr wrap="square" upright="1"/>
                    </wps:wsp>
                  </a:graphicData>
                </a:graphic>
              </wp:anchor>
            </w:drawing>
          </mc:Choice>
          <mc:Fallback>
            <w:pict>
              <v:shape id="文本框 1437" o:spid="_x0000_s1026" o:spt="202" type="#_x0000_t202" style="position:absolute;left:0pt;margin-left:238.8pt;margin-top:14.7pt;height:30.05pt;width:115.95pt;z-index:251663360;mso-width-relative:page;mso-height-relative:page;" fillcolor="#FFFFFF" filled="t" stroked="t" coordsize="21600,21600" o:gfxdata="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esUIdkAAAAJAQAADwAAAAAAAAABACAAAAAiAAAAZHJzL2Rvd25y&#10;ZXYueG1sUEsBAhQAFAAAAAgAh07iQJlVoQr9AQAA+gMAAA4AAAAAAAAAAQAgAAAAKAEAAGRycy9l&#10;Mm9Eb2MueG1sUEsFBgAAAAAGAAYAWQEAAJcFAAAAAA==&#10;">
                <v:fill on="t" focussize="0,0"/>
                <v:stroke color="#000000" joinstyle="miter"/>
                <v:imagedata o:title=""/>
                <o:lock v:ext="edit" aspectratio="f"/>
                <v:textbox>
                  <w:txbxContent>
                    <w:p>
                      <w:pPr>
                        <w:ind w:firstLine="840" w:firstLineChars="300"/>
                        <w:rPr>
                          <w:rFonts w:ascii="仿宋_GB2312" w:eastAsia="仿宋_GB2312"/>
                        </w:rPr>
                      </w:pPr>
                      <w:r>
                        <w:rPr>
                          <w:rFonts w:hint="eastAsia" w:ascii="仿宋_GB2312" w:eastAsia="仿宋_GB2312"/>
                        </w:rPr>
                        <w:t>项目经理</w:t>
                      </w:r>
                    </w:p>
                  </w:txbxContent>
                </v:textbox>
              </v:shape>
            </w:pict>
          </mc:Fallback>
        </mc:AlternateContent>
      </w:r>
      <w:bookmarkEnd w:id="328"/>
      <w:bookmarkEnd w:id="329"/>
      <w:bookmarkEnd w:id="330"/>
      <w:bookmarkEnd w:id="331"/>
    </w:p>
    <w:p>
      <w:pPr>
        <w:ind w:firstLine="600"/>
        <w:rPr>
          <w:rFonts w:ascii="黑体" w:hAnsi="GungsuhChe" w:eastAsia="黑体"/>
          <w:bCs/>
          <w:sz w:val="30"/>
          <w:szCs w:val="30"/>
        </w:rPr>
      </w:pPr>
      <w:bookmarkStart w:id="332" w:name="_Toc525107618"/>
      <w:bookmarkStart w:id="333" w:name="_Toc524618567"/>
      <w:bookmarkStart w:id="334" w:name="_Toc525107752"/>
      <w:bookmarkStart w:id="335" w:name="_Toc525107865"/>
      <w:r>
        <w:rPr>
          <w:sz w:val="30"/>
        </w:rPr>
        <mc:AlternateContent>
          <mc:Choice Requires="wps">
            <w:drawing>
              <wp:anchor distT="0" distB="0" distL="114300" distR="114300" simplePos="0" relativeHeight="251668480" behindDoc="0" locked="0" layoutInCell="1" allowOverlap="1">
                <wp:simplePos x="0" y="0"/>
                <wp:positionH relativeFrom="column">
                  <wp:posOffset>3854450</wp:posOffset>
                </wp:positionH>
                <wp:positionV relativeFrom="paragraph">
                  <wp:posOffset>224790</wp:posOffset>
                </wp:positionV>
                <wp:extent cx="0" cy="197485"/>
                <wp:effectExtent l="38100" t="0" r="38100" b="12065"/>
                <wp:wrapNone/>
                <wp:docPr id="136" name="直线 1446"/>
                <wp:cNvGraphicFramePr/>
                <a:graphic xmlns:a="http://schemas.openxmlformats.org/drawingml/2006/main">
                  <a:graphicData uri="http://schemas.microsoft.com/office/word/2010/wordprocessingShape">
                    <wps:wsp>
                      <wps:cNvCnPr/>
                      <wps:spPr>
                        <a:xfrm>
                          <a:off x="0" y="0"/>
                          <a:ext cx="0" cy="19748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446" o:spid="_x0000_s1026" o:spt="20" style="position:absolute;left:0pt;margin-left:303.5pt;margin-top:17.7pt;height:15.55pt;width:0pt;z-index:251668480;mso-width-relative:page;mso-height-relative:page;" filled="f" stroked="t" coordsize="21600,21600" o:gfxdata="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IdJyGdkAAAAJAQAADwAAAAAAAAABACAAAAAiAAAA&#10;ZHJzL2Rvd25yZXYueG1sUEsBAhQAFAAAAAgAh07iQNW7j4DNAQAAiQMAAA4AAAAAAAAAAQAgAAAA&#10;KAEAAGRycy9lMm9Eb2MueG1sUEsFBgAAAAAGAAYAWQEAAGcFAAAAAA==&#10;">
                <v:fill on="f" focussize="0,0"/>
                <v:stroke color="#000000" joinstyle="round" endarrow="block"/>
                <v:imagedata o:title=""/>
                <o:lock v:ext="edit" aspectratio="f"/>
              </v:line>
            </w:pict>
          </mc:Fallback>
        </mc:AlternateContent>
      </w:r>
      <w:bookmarkEnd w:id="332"/>
      <w:bookmarkEnd w:id="333"/>
      <w:bookmarkEnd w:id="334"/>
      <w:bookmarkEnd w:id="335"/>
    </w:p>
    <w:p>
      <w:pPr>
        <w:ind w:firstLine="600"/>
        <w:rPr>
          <w:rFonts w:ascii="黑体" w:hAnsi="GungsuhChe" w:eastAsia="黑体"/>
          <w:bCs/>
          <w:sz w:val="30"/>
          <w:szCs w:val="30"/>
        </w:rPr>
      </w:pPr>
    </w:p>
    <w:p>
      <w:pPr>
        <w:ind w:firstLine="600"/>
        <w:rPr>
          <w:rFonts w:ascii="黑体" w:hAnsi="GungsuhChe" w:eastAsia="黑体"/>
          <w:bCs/>
          <w:sz w:val="30"/>
          <w:szCs w:val="30"/>
        </w:rPr>
      </w:pPr>
    </w:p>
    <w:p>
      <w:pPr>
        <w:ind w:firstLine="600"/>
        <w:rPr>
          <w:rFonts w:ascii="黑体" w:hAnsi="GungsuhChe" w:eastAsia="黑体"/>
          <w:bCs/>
          <w:sz w:val="30"/>
          <w:szCs w:val="30"/>
        </w:rPr>
      </w:pPr>
      <w:bookmarkStart w:id="336" w:name="_Toc525107619"/>
      <w:bookmarkStart w:id="337" w:name="_Toc525107866"/>
      <w:bookmarkStart w:id="338" w:name="_Toc525107753"/>
      <w:bookmarkStart w:id="339" w:name="_Toc524618568"/>
      <w:r>
        <w:rPr>
          <w:sz w:val="30"/>
        </w:rPr>
        <mc:AlternateContent>
          <mc:Choice Requires="wps">
            <w:drawing>
              <wp:anchor distT="0" distB="0" distL="114300" distR="114300" simplePos="0" relativeHeight="251669504" behindDoc="0" locked="0" layoutInCell="1" allowOverlap="1">
                <wp:simplePos x="0" y="0"/>
                <wp:positionH relativeFrom="column">
                  <wp:posOffset>3854450</wp:posOffset>
                </wp:positionH>
                <wp:positionV relativeFrom="paragraph">
                  <wp:posOffset>333375</wp:posOffset>
                </wp:positionV>
                <wp:extent cx="0" cy="197485"/>
                <wp:effectExtent l="38100" t="0" r="38100" b="12065"/>
                <wp:wrapNone/>
                <wp:docPr id="137" name="直线 1448"/>
                <wp:cNvGraphicFramePr/>
                <a:graphic xmlns:a="http://schemas.openxmlformats.org/drawingml/2006/main">
                  <a:graphicData uri="http://schemas.microsoft.com/office/word/2010/wordprocessingShape">
                    <wps:wsp>
                      <wps:cNvCnPr/>
                      <wps:spPr>
                        <a:xfrm>
                          <a:off x="0" y="0"/>
                          <a:ext cx="0" cy="19748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448" o:spid="_x0000_s1026" o:spt="20" style="position:absolute;left:0pt;margin-left:303.5pt;margin-top:26.25pt;height:15.55pt;width:0pt;z-index:251669504;mso-width-relative:page;mso-height-relative:page;" filled="f" stroked="t" coordsize="21600,21600" o:gfxdata="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ozXzeNkAAAAJAQAADwAAAAAAAAABACAAAAAiAAAA&#10;ZHJzL2Rvd25yZXYueG1sUEsBAhQAFAAAAAgAh07iQDBibSLNAQAAiQMAAA4AAAAAAAAAAQAgAAAA&#10;KAEAAGRycy9lMm9Eb2MueG1sUEsFBgAAAAAGAAYAWQEAAGcFAAAAAA==&#10;">
                <v:fill on="f" focussize="0,0"/>
                <v:stroke color="#000000" joinstyle="round" endarrow="block"/>
                <v:imagedata o:title=""/>
                <o:lock v:ext="edit" aspectratio="f"/>
              </v:line>
            </w:pict>
          </mc:Fallback>
        </mc:AlternateContent>
      </w:r>
      <w:bookmarkEnd w:id="336"/>
      <w:bookmarkEnd w:id="337"/>
      <w:bookmarkEnd w:id="338"/>
      <w:bookmarkEnd w:id="339"/>
    </w:p>
    <w:p>
      <w:pPr>
        <w:ind w:firstLine="600"/>
        <w:rPr>
          <w:rFonts w:ascii="黑体" w:hAnsi="GungsuhChe" w:eastAsia="黑体"/>
          <w:bCs/>
          <w:sz w:val="30"/>
          <w:szCs w:val="30"/>
        </w:rPr>
      </w:pPr>
    </w:p>
    <w:p>
      <w:pPr>
        <w:ind w:firstLine="600"/>
        <w:rPr>
          <w:rFonts w:ascii="宋体" w:hAnsi="宋体"/>
        </w:rPr>
      </w:pPr>
      <w:r>
        <w:rPr>
          <w:sz w:val="30"/>
        </w:rPr>
        <mc:AlternateContent>
          <mc:Choice Requires="wps">
            <w:drawing>
              <wp:anchor distT="0" distB="0" distL="114300" distR="114300" simplePos="0" relativeHeight="251670528" behindDoc="0" locked="0" layoutInCell="1" allowOverlap="1">
                <wp:simplePos x="0" y="0"/>
                <wp:positionH relativeFrom="column">
                  <wp:posOffset>3854450</wp:posOffset>
                </wp:positionH>
                <wp:positionV relativeFrom="paragraph">
                  <wp:posOffset>206375</wp:posOffset>
                </wp:positionV>
                <wp:extent cx="0" cy="197485"/>
                <wp:effectExtent l="38100" t="0" r="38100" b="12065"/>
                <wp:wrapNone/>
                <wp:docPr id="138" name="直线 1449"/>
                <wp:cNvGraphicFramePr/>
                <a:graphic xmlns:a="http://schemas.openxmlformats.org/drawingml/2006/main">
                  <a:graphicData uri="http://schemas.microsoft.com/office/word/2010/wordprocessingShape">
                    <wps:wsp>
                      <wps:cNvCnPr/>
                      <wps:spPr>
                        <a:xfrm>
                          <a:off x="0" y="0"/>
                          <a:ext cx="0" cy="19748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449" o:spid="_x0000_s1026" o:spt="20" style="position:absolute;left:0pt;margin-left:303.5pt;margin-top:16.25pt;height:15.55pt;width:0pt;z-index:251670528;mso-width-relative:page;mso-height-relative:page;" filled="f" stroked="t" coordsize="21600,21600" o:gfxdata="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dOeww2QAAAAkBAAAPAAAAAAAAAAEAIAAAACIAAABk&#10;cnMvZG93bnJldi54bWxQSwECFAAUAAAACACHTuJA8LctDcwBAACJAwAADgAAAAAAAAABACAAAAAo&#10;AQAAZHJzL2Uyb0RvYy54bWxQSwUGAAAAAAYABgBZAQAAZgUAAAAA&#10;">
                <v:fill on="f" focussize="0,0"/>
                <v:stroke color="#000000" joinstyle="round" endarrow="block"/>
                <v:imagedata o:title=""/>
                <o:lock v:ext="edit" aspectratio="f"/>
              </v:line>
            </w:pict>
          </mc:Fallback>
        </mc:AlternateContent>
      </w:r>
    </w:p>
    <w:p>
      <w:pPr>
        <w:ind w:firstLine="480"/>
        <w:rPr>
          <w:rFonts w:ascii="宋体" w:hAnsi="宋体"/>
        </w:rPr>
      </w:pPr>
    </w:p>
    <w:p>
      <w:pPr>
        <w:ind w:firstLine="480"/>
        <w:rPr>
          <w:rFonts w:ascii="宋体" w:hAnsi="宋体"/>
        </w:rPr>
      </w:pPr>
    </w:p>
    <w:p>
      <w:pPr>
        <w:ind w:firstLine="480"/>
      </w:pPr>
      <w:r>
        <w:rPr>
          <w:rFonts w:hint="eastAsia"/>
        </w:rPr>
        <w:t>3、安全管理网络</w:t>
      </w:r>
    </w:p>
    <w:p>
      <w:pPr>
        <w:ind w:firstLine="480"/>
      </w:pPr>
      <w:r>
        <w:rPr>
          <w:rFonts w:hint="eastAsia"/>
        </w:rPr>
        <w:t>安全生产监控网络图见下图。</w:t>
      </w:r>
    </w:p>
    <w:p>
      <w:pPr>
        <w:ind w:firstLine="480"/>
      </w:pPr>
      <w:r>
        <w:rPr>
          <w:rFonts w:hint="eastAsia"/>
        </w:rPr>
        <w:t>4、安全管理制度</w:t>
      </w:r>
    </w:p>
    <w:p>
      <w:pPr>
        <w:ind w:firstLine="480"/>
      </w:pPr>
      <w:r>
        <w:rPr>
          <w:rFonts w:hint="eastAsia"/>
        </w:rPr>
        <w:t>4.1安全技术交底制度</w:t>
      </w:r>
    </w:p>
    <w:p>
      <w:pPr>
        <w:ind w:firstLine="480"/>
      </w:pPr>
      <w:r>
        <w:rPr>
          <w:rFonts w:hint="eastAsia"/>
        </w:rPr>
        <w:t>根据安全措施和现场实际情况，各级管理人员需亲自逐级进行书面交底。</w:t>
      </w:r>
    </w:p>
    <w:p>
      <w:pPr>
        <w:ind w:firstLine="480"/>
      </w:pPr>
      <w:r>
        <w:rPr>
          <w:rFonts w:hint="eastAsia"/>
        </w:rPr>
        <w:t>4.2班前检查制度</w:t>
      </w:r>
    </w:p>
    <w:p>
      <w:pPr>
        <w:ind w:firstLine="480"/>
      </w:pPr>
      <w:r>
        <w:rPr>
          <w:rFonts w:hint="eastAsia"/>
        </w:rPr>
        <w:t>责任工程师和专业安全工程师必须督促与检查施工方、专业施工队对安全防护措施是否进行了检查。</w:t>
      </w:r>
    </w:p>
    <w:p>
      <w:pPr>
        <w:ind w:firstLine="480"/>
        <w:rPr>
          <w:rFonts w:ascii="宋体" w:hAnsi="宋体"/>
        </w:rPr>
      </w:pPr>
      <w:r>
        <w:rPr>
          <w:rFonts w:hint="eastAsia" w:ascii="宋体" w:hAnsi="宋体"/>
        </w:rPr>
        <w:t>安全生产监控网络图</w:t>
      </w:r>
    </w:p>
    <w:p>
      <w:pPr>
        <w:ind w:firstLine="480"/>
        <w:rPr>
          <w:rFonts w:ascii="宋体" w:hAnsi="宋体"/>
        </w:rPr>
      </w:pPr>
    </w:p>
    <w:p>
      <w:pPr>
        <w:ind w:firstLine="0" w:firstLineChars="0"/>
        <w:rPr>
          <w:b/>
          <w:sz w:val="32"/>
          <w:szCs w:val="32"/>
        </w:rPr>
      </w:pPr>
      <w:r>
        <w:rPr>
          <w:rFonts w:hint="eastAsia"/>
          <w:b/>
          <w:sz w:val="32"/>
          <w:szCs w:val="32"/>
        </w:rPr>
        <mc:AlternateContent>
          <mc:Choice Requires="wpg">
            <w:drawing>
              <wp:inline distT="0" distB="0" distL="114300" distR="114300">
                <wp:extent cx="5023485" cy="6948805"/>
                <wp:effectExtent l="0" t="0" r="24765" b="23495"/>
                <wp:docPr id="98" name="组合 1458"/>
                <wp:cNvGraphicFramePr/>
                <a:graphic xmlns:a="http://schemas.openxmlformats.org/drawingml/2006/main">
                  <a:graphicData uri="http://schemas.microsoft.com/office/word/2010/wordprocessingGroup">
                    <wpg:wgp>
                      <wpg:cNvGrpSpPr/>
                      <wpg:grpSpPr>
                        <a:xfrm>
                          <a:off x="0" y="0"/>
                          <a:ext cx="5023485" cy="6948805"/>
                          <a:chOff x="1800" y="2688"/>
                          <a:chExt cx="8100" cy="11412"/>
                        </a:xfrm>
                      </wpg:grpSpPr>
                      <wps:wsp>
                        <wps:cNvPr id="50" name="文本框 1459"/>
                        <wps:cNvSpPr txBox="1"/>
                        <wps:spPr>
                          <a:xfrm>
                            <a:off x="2520" y="2688"/>
                            <a:ext cx="1080" cy="1404"/>
                          </a:xfrm>
                          <a:prstGeom prst="rect">
                            <a:avLst/>
                          </a:prstGeom>
                          <a:solidFill>
                            <a:srgbClr val="00CCFF">
                              <a:alpha val="22000"/>
                            </a:srgbClr>
                          </a:solidFill>
                          <a:ln w="19050" cap="flat" cmpd="sng">
                            <a:solidFill>
                              <a:srgbClr val="000000"/>
                            </a:solidFill>
                            <a:prstDash val="solid"/>
                            <a:miter/>
                            <a:headEnd type="none" w="med" len="med"/>
                            <a:tailEnd type="none" w="med" len="med"/>
                          </a:ln>
                        </wps:spPr>
                        <wps:txbx>
                          <w:txbxContent>
                            <w:p>
                              <w:pPr>
                                <w:pStyle w:val="5"/>
                                <w:rPr>
                                  <w:rFonts w:hint="default"/>
                                </w:rPr>
                              </w:pPr>
                              <w:r>
                                <w:t>群众</w:t>
                              </w:r>
                            </w:p>
                            <w:p>
                              <w:pPr>
                                <w:pStyle w:val="5"/>
                                <w:rPr>
                                  <w:rFonts w:hint="default"/>
                                </w:rPr>
                              </w:pPr>
                              <w:r>
                                <w:t>监督</w:t>
                              </w:r>
                            </w:p>
                          </w:txbxContent>
                        </wps:txbx>
                        <wps:bodyPr wrap="square" lIns="144000" tIns="45720" rIns="91440" bIns="45720" upright="1"/>
                      </wps:wsp>
                      <wps:wsp>
                        <wps:cNvPr id="51" name="文本框 1460"/>
                        <wps:cNvSpPr txBox="1"/>
                        <wps:spPr>
                          <a:xfrm>
                            <a:off x="3960" y="2688"/>
                            <a:ext cx="1080" cy="1404"/>
                          </a:xfrm>
                          <a:prstGeom prst="rect">
                            <a:avLst/>
                          </a:prstGeom>
                          <a:solidFill>
                            <a:srgbClr val="00CCFF">
                              <a:alpha val="22000"/>
                            </a:srgbClr>
                          </a:solidFill>
                          <a:ln w="19050" cap="flat" cmpd="sng">
                            <a:solidFill>
                              <a:srgbClr val="000000"/>
                            </a:solidFill>
                            <a:prstDash val="solid"/>
                            <a:miter/>
                            <a:headEnd type="none" w="med" len="med"/>
                            <a:tailEnd type="none" w="med" len="med"/>
                          </a:ln>
                        </wps:spPr>
                        <wps:txbx>
                          <w:txbxContent>
                            <w:p>
                              <w:pPr>
                                <w:pStyle w:val="5"/>
                                <w:rPr>
                                  <w:rFonts w:hint="default"/>
                                </w:rPr>
                              </w:pPr>
                              <w:r>
                                <w:t>安全</w:t>
                              </w:r>
                            </w:p>
                            <w:p>
                              <w:pPr>
                                <w:pStyle w:val="5"/>
                                <w:rPr>
                                  <w:rFonts w:hint="default"/>
                                </w:rPr>
                              </w:pPr>
                              <w:r>
                                <w:t>教育</w:t>
                              </w:r>
                            </w:p>
                          </w:txbxContent>
                        </wps:txbx>
                        <wps:bodyPr wrap="square" lIns="144000" tIns="45720" rIns="91440" bIns="45720" upright="1"/>
                      </wps:wsp>
                      <wps:wsp>
                        <wps:cNvPr id="52" name="文本框 1461"/>
                        <wps:cNvSpPr txBox="1"/>
                        <wps:spPr>
                          <a:xfrm>
                            <a:off x="5400" y="2688"/>
                            <a:ext cx="1080" cy="1404"/>
                          </a:xfrm>
                          <a:prstGeom prst="rect">
                            <a:avLst/>
                          </a:prstGeom>
                          <a:solidFill>
                            <a:srgbClr val="00CCFF">
                              <a:alpha val="22000"/>
                            </a:srgbClr>
                          </a:solidFill>
                          <a:ln w="19050" cap="flat" cmpd="sng">
                            <a:solidFill>
                              <a:srgbClr val="000000"/>
                            </a:solidFill>
                            <a:prstDash val="solid"/>
                            <a:miter/>
                            <a:headEnd type="none" w="med" len="med"/>
                            <a:tailEnd type="none" w="med" len="med"/>
                          </a:ln>
                        </wps:spPr>
                        <wps:txbx>
                          <w:txbxContent>
                            <w:p>
                              <w:pPr>
                                <w:pStyle w:val="5"/>
                                <w:rPr>
                                  <w:rFonts w:hint="default"/>
                                </w:rPr>
                              </w:pPr>
                              <w:r>
                                <w:t>生产</w:t>
                              </w:r>
                            </w:p>
                            <w:p>
                              <w:pPr>
                                <w:pStyle w:val="5"/>
                                <w:rPr>
                                  <w:rFonts w:hint="default"/>
                                </w:rPr>
                              </w:pPr>
                              <w:r>
                                <w:t>指挥</w:t>
                              </w:r>
                            </w:p>
                          </w:txbxContent>
                        </wps:txbx>
                        <wps:bodyPr wrap="square" lIns="144000" tIns="45720" rIns="91440" bIns="45720" upright="1"/>
                      </wps:wsp>
                      <wps:wsp>
                        <wps:cNvPr id="53" name="文本框 1462"/>
                        <wps:cNvSpPr txBox="1"/>
                        <wps:spPr>
                          <a:xfrm>
                            <a:off x="6840" y="2688"/>
                            <a:ext cx="1080" cy="1404"/>
                          </a:xfrm>
                          <a:prstGeom prst="rect">
                            <a:avLst/>
                          </a:prstGeom>
                          <a:solidFill>
                            <a:srgbClr val="00CCFF">
                              <a:alpha val="22000"/>
                            </a:srgbClr>
                          </a:solidFill>
                          <a:ln w="19050" cap="flat" cmpd="sng">
                            <a:solidFill>
                              <a:srgbClr val="000000"/>
                            </a:solidFill>
                            <a:prstDash val="solid"/>
                            <a:miter/>
                            <a:headEnd type="none" w="med" len="med"/>
                            <a:tailEnd type="none" w="med" len="med"/>
                          </a:ln>
                        </wps:spPr>
                        <wps:txbx>
                          <w:txbxContent>
                            <w:p>
                              <w:pPr>
                                <w:pStyle w:val="5"/>
                                <w:rPr>
                                  <w:rFonts w:hint="default"/>
                                </w:rPr>
                              </w:pPr>
                              <w:r>
                                <w:t>技术</w:t>
                              </w:r>
                            </w:p>
                            <w:p>
                              <w:pPr>
                                <w:pStyle w:val="5"/>
                                <w:rPr>
                                  <w:rFonts w:hint="default"/>
                                </w:rPr>
                              </w:pPr>
                              <w:r>
                                <w:t>安全</w:t>
                              </w:r>
                            </w:p>
                          </w:txbxContent>
                        </wps:txbx>
                        <wps:bodyPr wrap="square" lIns="144000" tIns="45720" rIns="91440" bIns="45720" upright="1"/>
                      </wps:wsp>
                      <wps:wsp>
                        <wps:cNvPr id="54" name="文本框 1463"/>
                        <wps:cNvSpPr txBox="1"/>
                        <wps:spPr>
                          <a:xfrm>
                            <a:off x="8280" y="2688"/>
                            <a:ext cx="1080" cy="1404"/>
                          </a:xfrm>
                          <a:prstGeom prst="rect">
                            <a:avLst/>
                          </a:prstGeom>
                          <a:solidFill>
                            <a:srgbClr val="00CCFF">
                              <a:alpha val="22000"/>
                            </a:srgbClr>
                          </a:solidFill>
                          <a:ln w="19050" cap="flat" cmpd="sng">
                            <a:solidFill>
                              <a:srgbClr val="000000"/>
                            </a:solidFill>
                            <a:prstDash val="solid"/>
                            <a:miter/>
                            <a:headEnd type="none" w="med" len="med"/>
                            <a:tailEnd type="none" w="med" len="med"/>
                          </a:ln>
                        </wps:spPr>
                        <wps:txbx>
                          <w:txbxContent>
                            <w:p>
                              <w:pPr>
                                <w:pStyle w:val="5"/>
                                <w:rPr>
                                  <w:rFonts w:hint="default"/>
                                </w:rPr>
                              </w:pPr>
                              <w:r>
                                <w:t>安 全</w:t>
                              </w:r>
                            </w:p>
                            <w:p>
                              <w:pPr>
                                <w:pStyle w:val="5"/>
                                <w:rPr>
                                  <w:rFonts w:hint="default"/>
                                </w:rPr>
                              </w:pPr>
                              <w:r>
                                <w:t>生 产</w:t>
                              </w:r>
                            </w:p>
                            <w:p>
                              <w:pPr>
                                <w:pStyle w:val="5"/>
                                <w:rPr>
                                  <w:rFonts w:hint="default"/>
                                </w:rPr>
                              </w:pPr>
                              <w:r>
                                <w:t>竞 赛</w:t>
                              </w:r>
                            </w:p>
                          </w:txbxContent>
                        </wps:txbx>
                        <wps:bodyPr wrap="square" lIns="144000" tIns="144000" rIns="91440" bIns="45720" upright="1"/>
                      </wps:wsp>
                      <wps:wsp>
                        <wps:cNvPr id="55" name="文本框 1464"/>
                        <wps:cNvSpPr txBox="1"/>
                        <wps:spPr>
                          <a:xfrm>
                            <a:off x="2340" y="5184"/>
                            <a:ext cx="1440" cy="1404"/>
                          </a:xfrm>
                          <a:prstGeom prst="rect">
                            <a:avLst/>
                          </a:prstGeom>
                          <a:solidFill>
                            <a:srgbClr val="00CCFF">
                              <a:alpha val="22000"/>
                            </a:srgbClr>
                          </a:solidFill>
                          <a:ln w="19050" cap="flat" cmpd="sng">
                            <a:solidFill>
                              <a:srgbClr val="000000"/>
                            </a:solidFill>
                            <a:prstDash val="solid"/>
                            <a:miter/>
                            <a:headEnd type="none" w="med" len="med"/>
                            <a:tailEnd type="none" w="med" len="med"/>
                          </a:ln>
                        </wps:spPr>
                        <wps:txbx>
                          <w:txbxContent>
                            <w:p>
                              <w:pPr>
                                <w:pStyle w:val="5"/>
                                <w:rPr>
                                  <w:rFonts w:hint="default"/>
                                </w:rPr>
                              </w:pPr>
                              <w:r>
                                <w:t>安全班组</w:t>
                              </w:r>
                            </w:p>
                            <w:p>
                              <w:pPr>
                                <w:pStyle w:val="5"/>
                                <w:rPr>
                                  <w:rFonts w:hint="default"/>
                                </w:rPr>
                              </w:pPr>
                              <w:r>
                                <w:t>活    动</w:t>
                              </w:r>
                            </w:p>
                          </w:txbxContent>
                        </wps:txbx>
                        <wps:bodyPr wrap="square" lIns="216000" tIns="45720" rIns="91440" bIns="45720" upright="1"/>
                      </wps:wsp>
                      <wps:wsp>
                        <wps:cNvPr id="56" name="文本框 1465"/>
                        <wps:cNvSpPr txBox="1"/>
                        <wps:spPr>
                          <a:xfrm>
                            <a:off x="4777" y="7524"/>
                            <a:ext cx="2340" cy="936"/>
                          </a:xfrm>
                          <a:prstGeom prst="rect">
                            <a:avLst/>
                          </a:prstGeom>
                          <a:solidFill>
                            <a:srgbClr val="00CCFF">
                              <a:alpha val="22000"/>
                            </a:srgbClr>
                          </a:solidFill>
                          <a:ln w="19050" cap="flat" cmpd="sng">
                            <a:solidFill>
                              <a:srgbClr val="000000"/>
                            </a:solidFill>
                            <a:prstDash val="solid"/>
                            <a:miter/>
                            <a:headEnd type="none" w="med" len="med"/>
                            <a:tailEnd type="none" w="med" len="med"/>
                          </a:ln>
                        </wps:spPr>
                        <wps:txbx>
                          <w:txbxContent>
                            <w:p>
                              <w:pPr>
                                <w:pStyle w:val="5"/>
                                <w:rPr>
                                  <w:rFonts w:hint="default"/>
                                </w:rPr>
                              </w:pPr>
                              <w:r>
                                <w:t>安全监理部门</w:t>
                              </w:r>
                            </w:p>
                          </w:txbxContent>
                        </wps:txbx>
                        <wps:bodyPr wrap="square" lIns="288000" tIns="180000" rIns="91440" bIns="45720" upright="1"/>
                      </wps:wsp>
                      <wps:wsp>
                        <wps:cNvPr id="57" name="文本框 1466"/>
                        <wps:cNvSpPr txBox="1"/>
                        <wps:spPr>
                          <a:xfrm>
                            <a:off x="7120" y="7524"/>
                            <a:ext cx="1800" cy="936"/>
                          </a:xfrm>
                          <a:prstGeom prst="rect">
                            <a:avLst/>
                          </a:prstGeom>
                          <a:solidFill>
                            <a:srgbClr val="00CCFF">
                              <a:alpha val="22000"/>
                            </a:srgbClr>
                          </a:solidFill>
                          <a:ln w="19050" cap="flat" cmpd="sng">
                            <a:solidFill>
                              <a:srgbClr val="000000"/>
                            </a:solidFill>
                            <a:prstDash val="solid"/>
                            <a:miter/>
                            <a:headEnd type="none" w="med" len="med"/>
                            <a:tailEnd type="none" w="med" len="med"/>
                          </a:ln>
                        </wps:spPr>
                        <wps:txbx>
                          <w:txbxContent>
                            <w:p>
                              <w:pPr>
                                <w:pStyle w:val="5"/>
                                <w:rPr>
                                  <w:rFonts w:hint="default"/>
                                </w:rPr>
                              </w:pPr>
                              <w:r>
                                <w:t>专业安全检查</w:t>
                              </w:r>
                            </w:p>
                          </w:txbxContent>
                        </wps:txbx>
                        <wps:bodyPr wrap="square" lIns="162000" tIns="82800" rIns="91440" bIns="45720" upright="1"/>
                      </wps:wsp>
                      <wps:wsp>
                        <wps:cNvPr id="58" name="文本框 1467"/>
                        <wps:cNvSpPr txBox="1"/>
                        <wps:spPr>
                          <a:xfrm>
                            <a:off x="1800" y="11454"/>
                            <a:ext cx="1620" cy="780"/>
                          </a:xfrm>
                          <a:prstGeom prst="rect">
                            <a:avLst/>
                          </a:prstGeom>
                          <a:solidFill>
                            <a:srgbClr val="00CCFF">
                              <a:alpha val="22000"/>
                            </a:srgbClr>
                          </a:solidFill>
                          <a:ln w="19050" cap="flat" cmpd="sng">
                            <a:solidFill>
                              <a:srgbClr val="000000"/>
                            </a:solidFill>
                            <a:prstDash val="solid"/>
                            <a:miter/>
                            <a:headEnd type="none" w="med" len="med"/>
                            <a:tailEnd type="none" w="med" len="med"/>
                          </a:ln>
                        </wps:spPr>
                        <wps:txbx>
                          <w:txbxContent>
                            <w:p>
                              <w:pPr>
                                <w:pStyle w:val="5"/>
                                <w:rPr>
                                  <w:rFonts w:hint="default"/>
                                </w:rPr>
                              </w:pPr>
                              <w:r>
                                <w:t>人的意识与行为控制</w:t>
                              </w:r>
                            </w:p>
                          </w:txbxContent>
                        </wps:txbx>
                        <wps:bodyPr wrap="square" upright="1"/>
                      </wps:wsp>
                      <wps:wsp>
                        <wps:cNvPr id="59" name="文本框 1468"/>
                        <wps:cNvSpPr txBox="1"/>
                        <wps:spPr>
                          <a:xfrm>
                            <a:off x="3600" y="11454"/>
                            <a:ext cx="1440" cy="780"/>
                          </a:xfrm>
                          <a:prstGeom prst="rect">
                            <a:avLst/>
                          </a:prstGeom>
                          <a:solidFill>
                            <a:srgbClr val="00CCFF">
                              <a:alpha val="22000"/>
                            </a:srgbClr>
                          </a:solidFill>
                          <a:ln w="19050" cap="flat" cmpd="sng">
                            <a:solidFill>
                              <a:srgbClr val="000000"/>
                            </a:solidFill>
                            <a:prstDash val="solid"/>
                            <a:miter/>
                            <a:headEnd type="none" w="med" len="med"/>
                            <a:tailEnd type="none" w="med" len="med"/>
                          </a:ln>
                        </wps:spPr>
                        <wps:txbx>
                          <w:txbxContent>
                            <w:p>
                              <w:pPr>
                                <w:pStyle w:val="5"/>
                                <w:rPr>
                                  <w:rFonts w:hint="default"/>
                                </w:rPr>
                              </w:pPr>
                              <w:r>
                                <w:t>联保互保</w:t>
                              </w:r>
                            </w:p>
                            <w:p>
                              <w:pPr>
                                <w:pStyle w:val="5"/>
                                <w:rPr>
                                  <w:rFonts w:hint="default"/>
                                </w:rPr>
                              </w:pPr>
                              <w:r>
                                <w:t>责任制</w:t>
                              </w:r>
                            </w:p>
                          </w:txbxContent>
                        </wps:txbx>
                        <wps:bodyPr wrap="square" upright="1"/>
                      </wps:wsp>
                      <wps:wsp>
                        <wps:cNvPr id="60" name="文本框 1469"/>
                        <wps:cNvSpPr txBox="1"/>
                        <wps:spPr>
                          <a:xfrm>
                            <a:off x="5220" y="11454"/>
                            <a:ext cx="1440" cy="780"/>
                          </a:xfrm>
                          <a:prstGeom prst="rect">
                            <a:avLst/>
                          </a:prstGeom>
                          <a:solidFill>
                            <a:srgbClr val="00CCFF">
                              <a:alpha val="22000"/>
                            </a:srgbClr>
                          </a:solidFill>
                          <a:ln w="19050" cap="flat" cmpd="sng">
                            <a:solidFill>
                              <a:srgbClr val="000000"/>
                            </a:solidFill>
                            <a:prstDash val="solid"/>
                            <a:miter/>
                            <a:headEnd type="none" w="med" len="med"/>
                            <a:tailEnd type="none" w="med" len="med"/>
                          </a:ln>
                        </wps:spPr>
                        <wps:txbx>
                          <w:txbxContent>
                            <w:p>
                              <w:pPr>
                                <w:pStyle w:val="5"/>
                                <w:rPr>
                                  <w:rFonts w:hint="default"/>
                                </w:rPr>
                              </w:pPr>
                              <w:r>
                                <w:t>专职安全员责任制</w:t>
                              </w:r>
                            </w:p>
                          </w:txbxContent>
                        </wps:txbx>
                        <wps:bodyPr wrap="square" upright="1"/>
                      </wps:wsp>
                      <wps:wsp>
                        <wps:cNvPr id="61" name="文本框 1470"/>
                        <wps:cNvSpPr txBox="1"/>
                        <wps:spPr>
                          <a:xfrm>
                            <a:off x="6840" y="11454"/>
                            <a:ext cx="1440" cy="780"/>
                          </a:xfrm>
                          <a:prstGeom prst="rect">
                            <a:avLst/>
                          </a:prstGeom>
                          <a:solidFill>
                            <a:srgbClr val="00CCFF">
                              <a:alpha val="22000"/>
                            </a:srgbClr>
                          </a:solidFill>
                          <a:ln w="19050" cap="flat" cmpd="sng">
                            <a:solidFill>
                              <a:srgbClr val="000000"/>
                            </a:solidFill>
                            <a:prstDash val="solid"/>
                            <a:miter/>
                            <a:headEnd type="none" w="med" len="med"/>
                            <a:tailEnd type="none" w="med" len="med"/>
                          </a:ln>
                        </wps:spPr>
                        <wps:txbx>
                          <w:txbxContent>
                            <w:p>
                              <w:pPr>
                                <w:pStyle w:val="5"/>
                                <w:rPr>
                                  <w:rFonts w:hint="default"/>
                                </w:rPr>
                              </w:pPr>
                              <w:r>
                                <w:t>班组班前</w:t>
                              </w:r>
                            </w:p>
                            <w:p>
                              <w:pPr>
                                <w:pStyle w:val="5"/>
                                <w:rPr>
                                  <w:rFonts w:hint="default"/>
                                </w:rPr>
                              </w:pPr>
                              <w:r>
                                <w:t>安全交底</w:t>
                              </w:r>
                            </w:p>
                          </w:txbxContent>
                        </wps:txbx>
                        <wps:bodyPr wrap="square" upright="1"/>
                      </wps:wsp>
                      <wps:wsp>
                        <wps:cNvPr id="62" name="文本框 1471"/>
                        <wps:cNvSpPr txBox="1"/>
                        <wps:spPr>
                          <a:xfrm>
                            <a:off x="8460" y="11454"/>
                            <a:ext cx="1440" cy="780"/>
                          </a:xfrm>
                          <a:prstGeom prst="rect">
                            <a:avLst/>
                          </a:prstGeom>
                          <a:solidFill>
                            <a:srgbClr val="00CCFF">
                              <a:alpha val="22000"/>
                            </a:srgbClr>
                          </a:solidFill>
                          <a:ln w="19050" cap="flat" cmpd="sng">
                            <a:solidFill>
                              <a:srgbClr val="000000"/>
                            </a:solidFill>
                            <a:prstDash val="solid"/>
                            <a:miter/>
                            <a:headEnd type="none" w="med" len="med"/>
                            <a:tailEnd type="none" w="med" len="med"/>
                          </a:ln>
                        </wps:spPr>
                        <wps:txbx>
                          <w:txbxContent>
                            <w:p>
                              <w:pPr>
                                <w:pStyle w:val="5"/>
                                <w:rPr>
                                  <w:rFonts w:hint="default"/>
                                </w:rPr>
                              </w:pPr>
                              <w:r>
                                <w:t>安全技术</w:t>
                              </w:r>
                            </w:p>
                            <w:p>
                              <w:pPr>
                                <w:pStyle w:val="5"/>
                                <w:rPr>
                                  <w:rFonts w:hint="default"/>
                                </w:rPr>
                              </w:pPr>
                              <w:r>
                                <w:t>劳动保护</w:t>
                              </w:r>
                            </w:p>
                          </w:txbxContent>
                        </wps:txbx>
                        <wps:bodyPr wrap="square" upright="1"/>
                      </wps:wsp>
                      <wps:wsp>
                        <wps:cNvPr id="63" name="文本框 1472"/>
                        <wps:cNvSpPr txBox="1"/>
                        <wps:spPr>
                          <a:xfrm>
                            <a:off x="1980" y="9552"/>
                            <a:ext cx="1440" cy="780"/>
                          </a:xfrm>
                          <a:prstGeom prst="rect">
                            <a:avLst/>
                          </a:prstGeom>
                          <a:solidFill>
                            <a:srgbClr val="00CCFF">
                              <a:alpha val="22000"/>
                            </a:srgbClr>
                          </a:solidFill>
                          <a:ln w="19050" cap="flat" cmpd="sng">
                            <a:solidFill>
                              <a:srgbClr val="000000"/>
                            </a:solidFill>
                            <a:prstDash val="solid"/>
                            <a:miter/>
                            <a:headEnd type="none" w="med" len="med"/>
                            <a:tailEnd type="none" w="med" len="med"/>
                          </a:ln>
                        </wps:spPr>
                        <wps:txbx>
                          <w:txbxContent>
                            <w:p>
                              <w:pPr>
                                <w:pStyle w:val="5"/>
                                <w:rPr>
                                  <w:rFonts w:hint="default"/>
                                </w:rPr>
                              </w:pPr>
                              <w:r>
                                <w:t>拆除施工</w:t>
                              </w:r>
                            </w:p>
                            <w:p>
                              <w:pPr>
                                <w:pStyle w:val="5"/>
                                <w:rPr>
                                  <w:rFonts w:hint="default"/>
                                </w:rPr>
                              </w:pPr>
                              <w:r>
                                <w:t>监    控</w:t>
                              </w:r>
                            </w:p>
                          </w:txbxContent>
                        </wps:txbx>
                        <wps:bodyPr wrap="square" lIns="126000" tIns="45720" rIns="91440" bIns="45720" upright="1"/>
                      </wps:wsp>
                      <wps:wsp>
                        <wps:cNvPr id="65" name="文本框 1474"/>
                        <wps:cNvSpPr txBox="1"/>
                        <wps:spPr>
                          <a:xfrm>
                            <a:off x="5220" y="9552"/>
                            <a:ext cx="1440" cy="780"/>
                          </a:xfrm>
                          <a:prstGeom prst="rect">
                            <a:avLst/>
                          </a:prstGeom>
                          <a:solidFill>
                            <a:srgbClr val="00CCFF">
                              <a:alpha val="22000"/>
                            </a:srgbClr>
                          </a:solidFill>
                          <a:ln w="19050" cap="flat" cmpd="sng">
                            <a:solidFill>
                              <a:srgbClr val="000000"/>
                            </a:solidFill>
                            <a:prstDash val="solid"/>
                            <a:miter/>
                            <a:headEnd type="none" w="med" len="med"/>
                            <a:tailEnd type="none" w="med" len="med"/>
                          </a:ln>
                        </wps:spPr>
                        <wps:txbx>
                          <w:txbxContent>
                            <w:p>
                              <w:pPr>
                                <w:pStyle w:val="5"/>
                                <w:rPr>
                                  <w:rFonts w:hint="default"/>
                                </w:rPr>
                              </w:pPr>
                              <w:r>
                                <w:t>清运施工</w:t>
                              </w:r>
                            </w:p>
                            <w:p>
                              <w:pPr>
                                <w:pStyle w:val="5"/>
                                <w:rPr>
                                  <w:rFonts w:hint="default"/>
                                </w:rPr>
                              </w:pPr>
                              <w:r>
                                <w:t>监    控</w:t>
                              </w:r>
                            </w:p>
                          </w:txbxContent>
                        </wps:txbx>
                        <wps:bodyPr wrap="square" lIns="126000" tIns="45720" rIns="91440" bIns="45720" upright="1"/>
                      </wps:wsp>
                      <wps:wsp>
                        <wps:cNvPr id="67" name="文本框 1476"/>
                        <wps:cNvSpPr txBox="1"/>
                        <wps:spPr>
                          <a:xfrm>
                            <a:off x="8460" y="9552"/>
                            <a:ext cx="1440" cy="780"/>
                          </a:xfrm>
                          <a:prstGeom prst="rect">
                            <a:avLst/>
                          </a:prstGeom>
                          <a:solidFill>
                            <a:srgbClr val="00CCFF">
                              <a:alpha val="22000"/>
                            </a:srgbClr>
                          </a:solidFill>
                          <a:ln w="19050" cap="flat" cmpd="sng">
                            <a:solidFill>
                              <a:srgbClr val="000000"/>
                            </a:solidFill>
                            <a:prstDash val="solid"/>
                            <a:miter/>
                            <a:headEnd type="none" w="med" len="med"/>
                            <a:tailEnd type="none" w="med" len="med"/>
                          </a:ln>
                        </wps:spPr>
                        <wps:txbx>
                          <w:txbxContent>
                            <w:p>
                              <w:pPr>
                                <w:pStyle w:val="5"/>
                                <w:rPr>
                                  <w:rFonts w:hint="default"/>
                                </w:rPr>
                              </w:pPr>
                              <w:r>
                                <w:t>旧物回收监  控</w:t>
                              </w:r>
                            </w:p>
                          </w:txbxContent>
                        </wps:txbx>
                        <wps:bodyPr wrap="square" lIns="180000" tIns="45720" rIns="91440" bIns="45720" upright="1"/>
                      </wps:wsp>
                      <wps:wsp>
                        <wps:cNvPr id="68" name="文本框 1477"/>
                        <wps:cNvSpPr txBox="1"/>
                        <wps:spPr>
                          <a:xfrm>
                            <a:off x="3420" y="13164"/>
                            <a:ext cx="1800" cy="936"/>
                          </a:xfrm>
                          <a:prstGeom prst="rect">
                            <a:avLst/>
                          </a:prstGeom>
                          <a:solidFill>
                            <a:srgbClr val="00CCFF">
                              <a:alpha val="22000"/>
                            </a:srgbClr>
                          </a:solidFill>
                          <a:ln w="19050" cap="flat" cmpd="sng">
                            <a:solidFill>
                              <a:srgbClr val="000000"/>
                            </a:solidFill>
                            <a:prstDash val="solid"/>
                            <a:miter/>
                            <a:headEnd type="none" w="med" len="med"/>
                            <a:tailEnd type="none" w="med" len="med"/>
                          </a:ln>
                        </wps:spPr>
                        <wps:txbx>
                          <w:txbxContent>
                            <w:p>
                              <w:pPr>
                                <w:pStyle w:val="5"/>
                                <w:rPr>
                                  <w:rFonts w:hint="default"/>
                                </w:rPr>
                              </w:pPr>
                              <w:r>
                                <w:t>现场作业</w:t>
                              </w:r>
                            </w:p>
                          </w:txbxContent>
                        </wps:txbx>
                        <wps:bodyPr wrap="square" lIns="252000" tIns="180000" rIns="91440" bIns="45720" upright="1"/>
                      </wps:wsp>
                      <wps:wsp>
                        <wps:cNvPr id="69" name="文本框 1478"/>
                        <wps:cNvSpPr txBox="1"/>
                        <wps:spPr>
                          <a:xfrm>
                            <a:off x="6660" y="13164"/>
                            <a:ext cx="1800" cy="936"/>
                          </a:xfrm>
                          <a:prstGeom prst="rect">
                            <a:avLst/>
                          </a:prstGeom>
                          <a:solidFill>
                            <a:srgbClr val="00CCFF">
                              <a:alpha val="22000"/>
                            </a:srgbClr>
                          </a:solidFill>
                          <a:ln w="19050" cap="flat" cmpd="sng">
                            <a:solidFill>
                              <a:srgbClr val="000000"/>
                            </a:solidFill>
                            <a:prstDash val="solid"/>
                            <a:miter/>
                            <a:headEnd type="none" w="med" len="med"/>
                            <a:tailEnd type="none" w="med" len="med"/>
                          </a:ln>
                        </wps:spPr>
                        <wps:txbx>
                          <w:txbxContent>
                            <w:p>
                              <w:pPr>
                                <w:pStyle w:val="5"/>
                                <w:rPr>
                                  <w:rFonts w:hint="default"/>
                                </w:rPr>
                              </w:pPr>
                              <w:r>
                                <w:t>现场防护</w:t>
                              </w:r>
                            </w:p>
                          </w:txbxContent>
                        </wps:txbx>
                        <wps:bodyPr wrap="square" lIns="252000" tIns="180000" rIns="91440" bIns="45720" upright="1"/>
                      </wps:wsp>
                      <wps:wsp>
                        <wps:cNvPr id="70" name="直线 1479"/>
                        <wps:cNvCnPr/>
                        <wps:spPr>
                          <a:xfrm>
                            <a:off x="3057" y="4092"/>
                            <a:ext cx="0" cy="1092"/>
                          </a:xfrm>
                          <a:prstGeom prst="line">
                            <a:avLst/>
                          </a:prstGeom>
                          <a:ln w="19050" cap="flat" cmpd="sng">
                            <a:solidFill>
                              <a:srgbClr val="000000"/>
                            </a:solidFill>
                            <a:prstDash val="solid"/>
                            <a:headEnd type="none" w="med" len="med"/>
                            <a:tailEnd type="triangle" w="sm" len="lg"/>
                          </a:ln>
                        </wps:spPr>
                        <wps:bodyPr/>
                      </wps:wsp>
                      <wps:wsp>
                        <wps:cNvPr id="71" name="直线 1480"/>
                        <wps:cNvCnPr/>
                        <wps:spPr>
                          <a:xfrm>
                            <a:off x="8820" y="4092"/>
                            <a:ext cx="0" cy="1092"/>
                          </a:xfrm>
                          <a:prstGeom prst="line">
                            <a:avLst/>
                          </a:prstGeom>
                          <a:ln w="19050" cap="flat" cmpd="sng">
                            <a:solidFill>
                              <a:srgbClr val="000000"/>
                            </a:solidFill>
                            <a:prstDash val="solid"/>
                            <a:headEnd type="none" w="med" len="med"/>
                            <a:tailEnd type="triangle" w="sm" len="lg"/>
                          </a:ln>
                        </wps:spPr>
                        <wps:bodyPr/>
                      </wps:wsp>
                      <wps:wsp>
                        <wps:cNvPr id="72" name="直线 1481"/>
                        <wps:cNvCnPr/>
                        <wps:spPr>
                          <a:xfrm>
                            <a:off x="5940" y="4092"/>
                            <a:ext cx="0" cy="780"/>
                          </a:xfrm>
                          <a:prstGeom prst="line">
                            <a:avLst/>
                          </a:prstGeom>
                          <a:ln w="19050" cap="flat" cmpd="sng">
                            <a:solidFill>
                              <a:srgbClr val="000000"/>
                            </a:solidFill>
                            <a:prstDash val="solid"/>
                            <a:headEnd type="none" w="med" len="med"/>
                            <a:tailEnd type="triangle" w="sm" len="lg"/>
                          </a:ln>
                        </wps:spPr>
                        <wps:bodyPr/>
                      </wps:wsp>
                      <wps:wsp>
                        <wps:cNvPr id="73" name="椭圆 1482"/>
                        <wps:cNvSpPr/>
                        <wps:spPr>
                          <a:xfrm>
                            <a:off x="4860" y="4872"/>
                            <a:ext cx="2160" cy="2184"/>
                          </a:xfrm>
                          <a:prstGeom prst="ellipse">
                            <a:avLst/>
                          </a:prstGeom>
                          <a:solidFill>
                            <a:srgbClr val="00CCFF">
                              <a:alpha val="22000"/>
                            </a:srgbClr>
                          </a:solidFill>
                          <a:ln w="19050" cap="flat" cmpd="sng">
                            <a:solidFill>
                              <a:srgbClr val="000000"/>
                            </a:solidFill>
                            <a:prstDash val="solid"/>
                            <a:headEnd type="none" w="med" len="med"/>
                            <a:tailEnd type="none" w="med" len="med"/>
                          </a:ln>
                        </wps:spPr>
                        <wps:txbx>
                          <w:txbxContent>
                            <w:p>
                              <w:pPr>
                                <w:pStyle w:val="5"/>
                                <w:rPr>
                                  <w:rFonts w:hint="default"/>
                                </w:rPr>
                              </w:pPr>
                              <w:r>
                                <w:t>安全生产</w:t>
                              </w:r>
                            </w:p>
                            <w:p>
                              <w:pPr>
                                <w:pStyle w:val="5"/>
                                <w:rPr>
                                  <w:rFonts w:hint="default"/>
                                </w:rPr>
                              </w:pPr>
                              <w:r>
                                <w:t>管  理</w:t>
                              </w:r>
                            </w:p>
                          </w:txbxContent>
                        </wps:txbx>
                        <wps:bodyPr wrap="square" lIns="252000" tIns="45720" rIns="91440" bIns="45720" upright="1"/>
                      </wps:wsp>
                      <wps:wsp>
                        <wps:cNvPr id="74" name="直线 1483"/>
                        <wps:cNvCnPr/>
                        <wps:spPr>
                          <a:xfrm>
                            <a:off x="5940" y="7056"/>
                            <a:ext cx="0" cy="468"/>
                          </a:xfrm>
                          <a:prstGeom prst="line">
                            <a:avLst/>
                          </a:prstGeom>
                          <a:ln w="19050" cap="flat" cmpd="sng">
                            <a:solidFill>
                              <a:srgbClr val="000000"/>
                            </a:solidFill>
                            <a:prstDash val="solid"/>
                            <a:headEnd type="none" w="med" len="med"/>
                            <a:tailEnd type="triangle" w="sm" len="lg"/>
                          </a:ln>
                        </wps:spPr>
                        <wps:bodyPr/>
                      </wps:wsp>
                      <wps:wsp>
                        <wps:cNvPr id="75" name="直线 1484"/>
                        <wps:cNvCnPr/>
                        <wps:spPr>
                          <a:xfrm>
                            <a:off x="5940" y="8460"/>
                            <a:ext cx="0" cy="1092"/>
                          </a:xfrm>
                          <a:prstGeom prst="line">
                            <a:avLst/>
                          </a:prstGeom>
                          <a:ln w="19050" cap="flat" cmpd="sng">
                            <a:solidFill>
                              <a:srgbClr val="000000"/>
                            </a:solidFill>
                            <a:prstDash val="solid"/>
                            <a:headEnd type="none" w="med" len="med"/>
                            <a:tailEnd type="triangle" w="sm" len="lg"/>
                          </a:ln>
                        </wps:spPr>
                        <wps:bodyPr/>
                      </wps:wsp>
                      <wps:wsp>
                        <wps:cNvPr id="76" name="直线 1485"/>
                        <wps:cNvCnPr/>
                        <wps:spPr>
                          <a:xfrm>
                            <a:off x="5940" y="10332"/>
                            <a:ext cx="0" cy="1092"/>
                          </a:xfrm>
                          <a:prstGeom prst="line">
                            <a:avLst/>
                          </a:prstGeom>
                          <a:ln w="19050" cap="flat" cmpd="sng">
                            <a:solidFill>
                              <a:srgbClr val="000000"/>
                            </a:solidFill>
                            <a:prstDash val="solid"/>
                            <a:headEnd type="none" w="med" len="med"/>
                            <a:tailEnd type="triangle" w="sm" len="lg"/>
                          </a:ln>
                        </wps:spPr>
                        <wps:bodyPr/>
                      </wps:wsp>
                      <wps:wsp>
                        <wps:cNvPr id="77" name="直线 1486"/>
                        <wps:cNvCnPr/>
                        <wps:spPr>
                          <a:xfrm>
                            <a:off x="3057" y="4092"/>
                            <a:ext cx="2700" cy="780"/>
                          </a:xfrm>
                          <a:prstGeom prst="line">
                            <a:avLst/>
                          </a:prstGeom>
                          <a:ln w="19050" cap="flat" cmpd="sng">
                            <a:solidFill>
                              <a:srgbClr val="000000"/>
                            </a:solidFill>
                            <a:prstDash val="solid"/>
                            <a:headEnd type="none" w="med" len="med"/>
                            <a:tailEnd type="triangle" w="sm" len="lg"/>
                          </a:ln>
                        </wps:spPr>
                        <wps:bodyPr/>
                      </wps:wsp>
                      <wps:wsp>
                        <wps:cNvPr id="78" name="直线 1487"/>
                        <wps:cNvCnPr/>
                        <wps:spPr>
                          <a:xfrm>
                            <a:off x="4500" y="4092"/>
                            <a:ext cx="1440" cy="780"/>
                          </a:xfrm>
                          <a:prstGeom prst="line">
                            <a:avLst/>
                          </a:prstGeom>
                          <a:ln w="19050" cap="flat" cmpd="sng">
                            <a:solidFill>
                              <a:srgbClr val="000000"/>
                            </a:solidFill>
                            <a:prstDash val="solid"/>
                            <a:headEnd type="none" w="med" len="med"/>
                            <a:tailEnd type="triangle" w="sm" len="lg"/>
                          </a:ln>
                        </wps:spPr>
                        <wps:bodyPr/>
                      </wps:wsp>
                      <wps:wsp>
                        <wps:cNvPr id="79" name="直线 1488"/>
                        <wps:cNvCnPr/>
                        <wps:spPr>
                          <a:xfrm flipH="1">
                            <a:off x="6120" y="4092"/>
                            <a:ext cx="2700" cy="780"/>
                          </a:xfrm>
                          <a:prstGeom prst="line">
                            <a:avLst/>
                          </a:prstGeom>
                          <a:ln w="19050" cap="flat" cmpd="sng">
                            <a:solidFill>
                              <a:srgbClr val="000000"/>
                            </a:solidFill>
                            <a:prstDash val="solid"/>
                            <a:headEnd type="none" w="med" len="med"/>
                            <a:tailEnd type="triangle" w="sm" len="lg"/>
                          </a:ln>
                        </wps:spPr>
                        <wps:bodyPr/>
                      </wps:wsp>
                      <wps:wsp>
                        <wps:cNvPr id="80" name="直线 1489"/>
                        <wps:cNvCnPr/>
                        <wps:spPr>
                          <a:xfrm flipH="1">
                            <a:off x="5940" y="4092"/>
                            <a:ext cx="1440" cy="780"/>
                          </a:xfrm>
                          <a:prstGeom prst="line">
                            <a:avLst/>
                          </a:prstGeom>
                          <a:ln w="19050" cap="flat" cmpd="sng">
                            <a:solidFill>
                              <a:srgbClr val="000000"/>
                            </a:solidFill>
                            <a:prstDash val="solid"/>
                            <a:headEnd type="none" w="med" len="med"/>
                            <a:tailEnd type="triangle" w="sm" len="lg"/>
                          </a:ln>
                        </wps:spPr>
                        <wps:bodyPr/>
                      </wps:wsp>
                      <wps:wsp>
                        <wps:cNvPr id="81" name="直线 1490"/>
                        <wps:cNvCnPr/>
                        <wps:spPr>
                          <a:xfrm flipH="1">
                            <a:off x="2700" y="8460"/>
                            <a:ext cx="3240" cy="1092"/>
                          </a:xfrm>
                          <a:prstGeom prst="line">
                            <a:avLst/>
                          </a:prstGeom>
                          <a:ln w="19050" cap="flat" cmpd="sng">
                            <a:solidFill>
                              <a:srgbClr val="000000"/>
                            </a:solidFill>
                            <a:prstDash val="solid"/>
                            <a:headEnd type="none" w="med" len="med"/>
                            <a:tailEnd type="triangle" w="sm" len="lg"/>
                          </a:ln>
                        </wps:spPr>
                        <wps:bodyPr/>
                      </wps:wsp>
                      <wps:wsp>
                        <wps:cNvPr id="83" name="直线 1492"/>
                        <wps:cNvCnPr/>
                        <wps:spPr>
                          <a:xfrm>
                            <a:off x="5940" y="8460"/>
                            <a:ext cx="3240" cy="1092"/>
                          </a:xfrm>
                          <a:prstGeom prst="line">
                            <a:avLst/>
                          </a:prstGeom>
                          <a:ln w="19050" cap="flat" cmpd="sng">
                            <a:solidFill>
                              <a:srgbClr val="000000"/>
                            </a:solidFill>
                            <a:prstDash val="solid"/>
                            <a:headEnd type="none" w="med" len="med"/>
                            <a:tailEnd type="triangle" w="sm" len="lg"/>
                          </a:ln>
                        </wps:spPr>
                        <wps:bodyPr/>
                      </wps:wsp>
                      <wps:wsp>
                        <wps:cNvPr id="85" name="直线 1494"/>
                        <wps:cNvCnPr/>
                        <wps:spPr>
                          <a:xfrm flipH="1">
                            <a:off x="2700" y="10332"/>
                            <a:ext cx="3240" cy="1092"/>
                          </a:xfrm>
                          <a:prstGeom prst="line">
                            <a:avLst/>
                          </a:prstGeom>
                          <a:ln w="19050" cap="flat" cmpd="sng">
                            <a:solidFill>
                              <a:srgbClr val="000000"/>
                            </a:solidFill>
                            <a:prstDash val="solid"/>
                            <a:headEnd type="none" w="med" len="med"/>
                            <a:tailEnd type="triangle" w="sm" len="lg"/>
                          </a:ln>
                        </wps:spPr>
                        <wps:bodyPr/>
                      </wps:wsp>
                      <wps:wsp>
                        <wps:cNvPr id="86" name="直线 1495"/>
                        <wps:cNvCnPr/>
                        <wps:spPr>
                          <a:xfrm flipH="1">
                            <a:off x="4320" y="10332"/>
                            <a:ext cx="1620" cy="1092"/>
                          </a:xfrm>
                          <a:prstGeom prst="line">
                            <a:avLst/>
                          </a:prstGeom>
                          <a:ln w="19050" cap="flat" cmpd="sng">
                            <a:solidFill>
                              <a:srgbClr val="000000"/>
                            </a:solidFill>
                            <a:prstDash val="solid"/>
                            <a:headEnd type="none" w="med" len="med"/>
                            <a:tailEnd type="triangle" w="sm" len="lg"/>
                          </a:ln>
                        </wps:spPr>
                        <wps:bodyPr/>
                      </wps:wsp>
                      <wps:wsp>
                        <wps:cNvPr id="87" name="直线 1496"/>
                        <wps:cNvCnPr/>
                        <wps:spPr>
                          <a:xfrm>
                            <a:off x="5940" y="10332"/>
                            <a:ext cx="3240" cy="1092"/>
                          </a:xfrm>
                          <a:prstGeom prst="line">
                            <a:avLst/>
                          </a:prstGeom>
                          <a:ln w="19050" cap="flat" cmpd="sng">
                            <a:solidFill>
                              <a:srgbClr val="000000"/>
                            </a:solidFill>
                            <a:prstDash val="solid"/>
                            <a:headEnd type="none" w="med" len="med"/>
                            <a:tailEnd type="triangle" w="sm" len="lg"/>
                          </a:ln>
                        </wps:spPr>
                        <wps:bodyPr/>
                      </wps:wsp>
                      <wps:wsp>
                        <wps:cNvPr id="88" name="直线 1497"/>
                        <wps:cNvCnPr/>
                        <wps:spPr>
                          <a:xfrm>
                            <a:off x="5940" y="10332"/>
                            <a:ext cx="1620" cy="1092"/>
                          </a:xfrm>
                          <a:prstGeom prst="line">
                            <a:avLst/>
                          </a:prstGeom>
                          <a:ln w="19050" cap="flat" cmpd="sng">
                            <a:solidFill>
                              <a:srgbClr val="000000"/>
                            </a:solidFill>
                            <a:prstDash val="solid"/>
                            <a:headEnd type="none" w="med" len="med"/>
                            <a:tailEnd type="triangle" w="sm" len="lg"/>
                          </a:ln>
                        </wps:spPr>
                        <wps:bodyPr/>
                      </wps:wsp>
                      <wps:wsp>
                        <wps:cNvPr id="89" name="直线 1498"/>
                        <wps:cNvCnPr/>
                        <wps:spPr>
                          <a:xfrm>
                            <a:off x="4320" y="12852"/>
                            <a:ext cx="0" cy="312"/>
                          </a:xfrm>
                          <a:prstGeom prst="line">
                            <a:avLst/>
                          </a:prstGeom>
                          <a:ln w="19050" cap="flat" cmpd="sng">
                            <a:solidFill>
                              <a:srgbClr val="000000"/>
                            </a:solidFill>
                            <a:prstDash val="solid"/>
                            <a:headEnd type="none" w="med" len="med"/>
                            <a:tailEnd type="none" w="med" len="med"/>
                          </a:ln>
                        </wps:spPr>
                        <wps:bodyPr/>
                      </wps:wsp>
                      <wps:wsp>
                        <wps:cNvPr id="90" name="直线 1499"/>
                        <wps:cNvCnPr/>
                        <wps:spPr>
                          <a:xfrm>
                            <a:off x="7560" y="12852"/>
                            <a:ext cx="0" cy="312"/>
                          </a:xfrm>
                          <a:prstGeom prst="line">
                            <a:avLst/>
                          </a:prstGeom>
                          <a:ln w="19050" cap="flat" cmpd="sng">
                            <a:solidFill>
                              <a:srgbClr val="000000"/>
                            </a:solidFill>
                            <a:prstDash val="solid"/>
                            <a:headEnd type="none" w="med" len="med"/>
                            <a:tailEnd type="none" w="med" len="med"/>
                          </a:ln>
                        </wps:spPr>
                        <wps:bodyPr/>
                      </wps:wsp>
                      <wps:wsp>
                        <wps:cNvPr id="91" name="直线 1500"/>
                        <wps:cNvCnPr/>
                        <wps:spPr>
                          <a:xfrm>
                            <a:off x="4320" y="12852"/>
                            <a:ext cx="3240" cy="0"/>
                          </a:xfrm>
                          <a:prstGeom prst="line">
                            <a:avLst/>
                          </a:prstGeom>
                          <a:ln w="19050" cap="flat" cmpd="sng">
                            <a:solidFill>
                              <a:srgbClr val="000000"/>
                            </a:solidFill>
                            <a:prstDash val="solid"/>
                            <a:headEnd type="none" w="med" len="med"/>
                            <a:tailEnd type="none" w="med" len="med"/>
                          </a:ln>
                        </wps:spPr>
                        <wps:bodyPr/>
                      </wps:wsp>
                      <wps:wsp>
                        <wps:cNvPr id="92" name="直线 1501"/>
                        <wps:cNvCnPr/>
                        <wps:spPr>
                          <a:xfrm>
                            <a:off x="4320" y="12236"/>
                            <a:ext cx="1620" cy="592"/>
                          </a:xfrm>
                          <a:prstGeom prst="line">
                            <a:avLst/>
                          </a:prstGeom>
                          <a:ln w="19050" cap="flat" cmpd="sng">
                            <a:solidFill>
                              <a:srgbClr val="000000"/>
                            </a:solidFill>
                            <a:prstDash val="solid"/>
                            <a:headEnd type="none" w="med" len="med"/>
                            <a:tailEnd type="triangle" w="sm" len="lg"/>
                          </a:ln>
                        </wps:spPr>
                        <wps:bodyPr/>
                      </wps:wsp>
                      <wps:wsp>
                        <wps:cNvPr id="93" name="直线 1502"/>
                        <wps:cNvCnPr/>
                        <wps:spPr>
                          <a:xfrm>
                            <a:off x="2676" y="12236"/>
                            <a:ext cx="1644" cy="904"/>
                          </a:xfrm>
                          <a:prstGeom prst="line">
                            <a:avLst/>
                          </a:prstGeom>
                          <a:ln w="19050" cap="flat" cmpd="sng">
                            <a:solidFill>
                              <a:srgbClr val="000000"/>
                            </a:solidFill>
                            <a:prstDash val="solid"/>
                            <a:headEnd type="none" w="med" len="med"/>
                            <a:tailEnd type="triangle" w="sm" len="lg"/>
                          </a:ln>
                        </wps:spPr>
                        <wps:bodyPr/>
                      </wps:wsp>
                      <wps:wsp>
                        <wps:cNvPr id="94" name="直线 1503"/>
                        <wps:cNvCnPr/>
                        <wps:spPr>
                          <a:xfrm>
                            <a:off x="5940" y="12234"/>
                            <a:ext cx="0" cy="624"/>
                          </a:xfrm>
                          <a:prstGeom prst="line">
                            <a:avLst/>
                          </a:prstGeom>
                          <a:ln w="19050" cap="flat" cmpd="sng">
                            <a:solidFill>
                              <a:srgbClr val="000000"/>
                            </a:solidFill>
                            <a:prstDash val="solid"/>
                            <a:headEnd type="none" w="med" len="med"/>
                            <a:tailEnd type="triangle" w="sm" len="lg"/>
                          </a:ln>
                        </wps:spPr>
                        <wps:bodyPr/>
                      </wps:wsp>
                      <wps:wsp>
                        <wps:cNvPr id="95" name="直线 1504"/>
                        <wps:cNvCnPr/>
                        <wps:spPr>
                          <a:xfrm flipH="1">
                            <a:off x="5940" y="12228"/>
                            <a:ext cx="1620" cy="600"/>
                          </a:xfrm>
                          <a:prstGeom prst="line">
                            <a:avLst/>
                          </a:prstGeom>
                          <a:ln w="19050" cap="flat" cmpd="sng">
                            <a:solidFill>
                              <a:srgbClr val="000000"/>
                            </a:solidFill>
                            <a:prstDash val="solid"/>
                            <a:headEnd type="none" w="med" len="med"/>
                            <a:tailEnd type="triangle" w="sm" len="lg"/>
                          </a:ln>
                        </wps:spPr>
                        <wps:bodyPr/>
                      </wps:wsp>
                      <wps:wsp>
                        <wps:cNvPr id="96" name="直线 1505"/>
                        <wps:cNvCnPr/>
                        <wps:spPr>
                          <a:xfrm flipH="1">
                            <a:off x="7560" y="12228"/>
                            <a:ext cx="1620" cy="912"/>
                          </a:xfrm>
                          <a:prstGeom prst="line">
                            <a:avLst/>
                          </a:prstGeom>
                          <a:ln w="19050" cap="flat" cmpd="sng">
                            <a:solidFill>
                              <a:srgbClr val="000000"/>
                            </a:solidFill>
                            <a:prstDash val="solid"/>
                            <a:headEnd type="none" w="med" len="med"/>
                            <a:tailEnd type="triangle" w="sm" len="lg"/>
                          </a:ln>
                        </wps:spPr>
                        <wps:bodyPr/>
                      </wps:wsp>
                      <wps:wsp>
                        <wps:cNvPr id="97" name="文本框 1506"/>
                        <wps:cNvSpPr txBox="1"/>
                        <wps:spPr>
                          <a:xfrm>
                            <a:off x="8100" y="5184"/>
                            <a:ext cx="1440" cy="1404"/>
                          </a:xfrm>
                          <a:prstGeom prst="rect">
                            <a:avLst/>
                          </a:prstGeom>
                          <a:solidFill>
                            <a:srgbClr val="00CCFF">
                              <a:alpha val="22000"/>
                            </a:srgbClr>
                          </a:solidFill>
                          <a:ln w="19050" cap="flat" cmpd="sng">
                            <a:solidFill>
                              <a:srgbClr val="000000"/>
                            </a:solidFill>
                            <a:prstDash val="solid"/>
                            <a:miter/>
                            <a:headEnd type="none" w="med" len="med"/>
                            <a:tailEnd type="none" w="med" len="med"/>
                          </a:ln>
                        </wps:spPr>
                        <wps:txbx>
                          <w:txbxContent>
                            <w:p>
                              <w:pPr>
                                <w:pStyle w:val="5"/>
                                <w:rPr>
                                  <w:rFonts w:hint="default"/>
                                </w:rPr>
                              </w:pPr>
                              <w:r>
                                <w:t>安全竞赛</w:t>
                              </w:r>
                            </w:p>
                            <w:p>
                              <w:pPr>
                                <w:pStyle w:val="5"/>
                                <w:rPr>
                                  <w:rFonts w:hint="default"/>
                                </w:rPr>
                              </w:pPr>
                              <w:r>
                                <w:t>评比活动</w:t>
                              </w:r>
                            </w:p>
                          </w:txbxContent>
                        </wps:txbx>
                        <wps:bodyPr wrap="square" lIns="162000" tIns="45720" rIns="91440" bIns="45720" upright="1"/>
                      </wps:wsp>
                    </wpg:wgp>
                  </a:graphicData>
                </a:graphic>
              </wp:inline>
            </w:drawing>
          </mc:Choice>
          <mc:Fallback>
            <w:pict>
              <v:group id="组合 1458" o:spid="_x0000_s1026" o:spt="203" style="height:547.15pt;width:395.55pt;" coordorigin="1800,2688" coordsize="8100,11412" o:gfxdata="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">
                <o:lock v:ext="edit" aspectratio="f"/>
                <v:shape id="文本框 1459" o:spid="_x0000_s1026" o:spt="202" type="#_x0000_t202" style="position:absolute;left:2520;top:2688;height:1404;width:1080;" fillcolor="#00CCFF" filled="t" stroked="t" coordsize="21600,21600" o:gfxdata="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PCHMLsAAADb&#10;AAAADwAAAAAAAAABACAAAAAiAAAAZHJzL2Rvd25yZXYueG1sUEsBAhQAFAAAAAgAh07iQDMvBZ47&#10;AAAAOQAAABAAAAAAAAAAAQAgAAAACgEAAGRycy9zaGFwZXhtbC54bWxQSwUGAAAAAAYABgBbAQAA&#10;tAMAAAAA&#10;">
                  <v:fill on="t" opacity="14417f" focussize="0,0"/>
                  <v:stroke weight="1.5pt" color="#000000" joinstyle="miter"/>
                  <v:imagedata o:title=""/>
                  <o:lock v:ext="edit" aspectratio="f"/>
                  <v:textbox inset="4mm,1.27mm,2.54mm,1.27mm">
                    <w:txbxContent>
                      <w:p>
                        <w:pPr>
                          <w:pStyle w:val="5"/>
                          <w:rPr>
                            <w:rFonts w:hint="default"/>
                          </w:rPr>
                        </w:pPr>
                        <w:r>
                          <w:t>群众</w:t>
                        </w:r>
                      </w:p>
                      <w:p>
                        <w:pPr>
                          <w:pStyle w:val="5"/>
                          <w:rPr>
                            <w:rFonts w:hint="default"/>
                          </w:rPr>
                        </w:pPr>
                        <w:r>
                          <w:t>监督</w:t>
                        </w:r>
                      </w:p>
                    </w:txbxContent>
                  </v:textbox>
                </v:shape>
                <v:shape id="文本框 1460" o:spid="_x0000_s1026" o:spt="202" type="#_x0000_t202" style="position:absolute;left:3960;top:2688;height:1404;width:1080;" fillcolor="#00CCFF" filled="t" stroked="t" coordsize="21600,21600" o:gfxdata="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O8Iqu/&#10;AAAA2wAAAA8AAAAAAAAAAQAgAAAAIgAAAGRycy9kb3ducmV2LnhtbFBLAQIUABQAAAAIAIdO4kAz&#10;LwWeOwAAADkAAAAQAAAAAAAAAAEAIAAAAA4BAABkcnMvc2hhcGV4bWwueG1sUEsFBgAAAAAGAAYA&#10;WwEAALgDAAAAAA==&#10;">
                  <v:fill on="t" opacity="14417f" focussize="0,0"/>
                  <v:stroke weight="1.5pt" color="#000000" joinstyle="miter"/>
                  <v:imagedata o:title=""/>
                  <o:lock v:ext="edit" aspectratio="f"/>
                  <v:textbox inset="4mm,1.27mm,2.54mm,1.27mm">
                    <w:txbxContent>
                      <w:p>
                        <w:pPr>
                          <w:pStyle w:val="5"/>
                          <w:rPr>
                            <w:rFonts w:hint="default"/>
                          </w:rPr>
                        </w:pPr>
                        <w:r>
                          <w:t>安全</w:t>
                        </w:r>
                      </w:p>
                      <w:p>
                        <w:pPr>
                          <w:pStyle w:val="5"/>
                          <w:rPr>
                            <w:rFonts w:hint="default"/>
                          </w:rPr>
                        </w:pPr>
                        <w:r>
                          <w:t>教育</w:t>
                        </w:r>
                      </w:p>
                    </w:txbxContent>
                  </v:textbox>
                </v:shape>
                <v:shape id="文本框 1461" o:spid="_x0000_s1026" o:spt="202" type="#_x0000_t202" style="position:absolute;left:5400;top:2688;height:1404;width:1080;" fillcolor="#00CCFF" filled="t" stroked="t" coordsize="21600,21600" o:gfxdata="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NuvNy/&#10;AAAA2wAAAA8AAAAAAAAAAQAgAAAAIgAAAGRycy9kb3ducmV2LnhtbFBLAQIUABQAAAAIAIdO4kAz&#10;LwWeOwAAADkAAAAQAAAAAAAAAAEAIAAAAA4BAABkcnMvc2hhcGV4bWwueG1sUEsFBgAAAAAGAAYA&#10;WwEAALgDAAAAAA==&#10;">
                  <v:fill on="t" opacity="14417f" focussize="0,0"/>
                  <v:stroke weight="1.5pt" color="#000000" joinstyle="miter"/>
                  <v:imagedata o:title=""/>
                  <o:lock v:ext="edit" aspectratio="f"/>
                  <v:textbox inset="4mm,1.27mm,2.54mm,1.27mm">
                    <w:txbxContent>
                      <w:p>
                        <w:pPr>
                          <w:pStyle w:val="5"/>
                          <w:rPr>
                            <w:rFonts w:hint="default"/>
                          </w:rPr>
                        </w:pPr>
                        <w:r>
                          <w:t>生产</w:t>
                        </w:r>
                      </w:p>
                      <w:p>
                        <w:pPr>
                          <w:pStyle w:val="5"/>
                          <w:rPr>
                            <w:rFonts w:hint="default"/>
                          </w:rPr>
                        </w:pPr>
                        <w:r>
                          <w:t>指挥</w:t>
                        </w:r>
                      </w:p>
                    </w:txbxContent>
                  </v:textbox>
                </v:shape>
                <v:shape id="文本框 1462" o:spid="_x0000_s1026" o:spt="202" type="#_x0000_t202" style="position:absolute;left:6840;top:2688;height:1404;width:1080;" fillcolor="#00CCFF" filled="t" stroked="t" coordsize="21600,21600" o:gfxdata="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wiGUe/&#10;AAAA2wAAAA8AAAAAAAAAAQAgAAAAIgAAAGRycy9kb3ducmV2LnhtbFBLAQIUABQAAAAIAIdO4kAz&#10;LwWeOwAAADkAAAAQAAAAAAAAAAEAIAAAAA4BAABkcnMvc2hhcGV4bWwueG1sUEsFBgAAAAAGAAYA&#10;WwEAALgDAAAAAA==&#10;">
                  <v:fill on="t" opacity="14417f" focussize="0,0"/>
                  <v:stroke weight="1.5pt" color="#000000" joinstyle="miter"/>
                  <v:imagedata o:title=""/>
                  <o:lock v:ext="edit" aspectratio="f"/>
                  <v:textbox inset="4mm,1.27mm,2.54mm,1.27mm">
                    <w:txbxContent>
                      <w:p>
                        <w:pPr>
                          <w:pStyle w:val="5"/>
                          <w:rPr>
                            <w:rFonts w:hint="default"/>
                          </w:rPr>
                        </w:pPr>
                        <w:r>
                          <w:t>技术</w:t>
                        </w:r>
                      </w:p>
                      <w:p>
                        <w:pPr>
                          <w:pStyle w:val="5"/>
                          <w:rPr>
                            <w:rFonts w:hint="default"/>
                          </w:rPr>
                        </w:pPr>
                        <w:r>
                          <w:t>安全</w:t>
                        </w:r>
                      </w:p>
                    </w:txbxContent>
                  </v:textbox>
                </v:shape>
                <v:shape id="文本框 1463" o:spid="_x0000_s1026" o:spt="202" type="#_x0000_t202" style="position:absolute;left:8280;top:2688;height:1404;width:1080;" fillcolor="#00CCFF" filled="t" stroked="t" coordsize="21600,21600" o:gfxdata="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IPaW28AAAA&#10;2wAAAA8AAAAAAAAAAQAgAAAAIgAAAGRycy9kb3ducmV2LnhtbFBLAQIUABQAAAAIAIdO4kAzLwWe&#10;OwAAADkAAAAQAAAAAAAAAAEAIAAAAAsBAABkcnMvc2hhcGV4bWwueG1sUEsFBgAAAAAGAAYAWwEA&#10;ALUDAAAAAA==&#10;">
                  <v:fill on="t" opacity="14417f" focussize="0,0"/>
                  <v:stroke weight="1.5pt" color="#000000" joinstyle="miter"/>
                  <v:imagedata o:title=""/>
                  <o:lock v:ext="edit" aspectratio="f"/>
                  <v:textbox inset="4mm,4mm,2.54mm,1.27mm">
                    <w:txbxContent>
                      <w:p>
                        <w:pPr>
                          <w:pStyle w:val="5"/>
                          <w:rPr>
                            <w:rFonts w:hint="default"/>
                          </w:rPr>
                        </w:pPr>
                        <w:r>
                          <w:t>安 全</w:t>
                        </w:r>
                      </w:p>
                      <w:p>
                        <w:pPr>
                          <w:pStyle w:val="5"/>
                          <w:rPr>
                            <w:rFonts w:hint="default"/>
                          </w:rPr>
                        </w:pPr>
                        <w:r>
                          <w:t>生 产</w:t>
                        </w:r>
                      </w:p>
                      <w:p>
                        <w:pPr>
                          <w:pStyle w:val="5"/>
                          <w:rPr>
                            <w:rFonts w:hint="default"/>
                          </w:rPr>
                        </w:pPr>
                        <w:r>
                          <w:t>竞 赛</w:t>
                        </w:r>
                      </w:p>
                    </w:txbxContent>
                  </v:textbox>
                </v:shape>
                <v:shape id="文本框 1464" o:spid="_x0000_s1026" o:spt="202" type="#_x0000_t202" style="position:absolute;left:2340;top:5184;height:1404;width:1440;" fillcolor="#00CCFF" filled="t" stroked="t" coordsize="21600,21600" o:gfxdata="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Yrx9r4A&#10;AADbAAAADwAAAAAAAAABACAAAAAiAAAAZHJzL2Rvd25yZXYueG1sUEsBAhQAFAAAAAgAh07iQDMv&#10;BZ47AAAAOQAAABAAAAAAAAAAAQAgAAAADQEAAGRycy9zaGFwZXhtbC54bWxQSwUGAAAAAAYABgBb&#10;AQAAtwMAAAAA&#10;">
                  <v:fill on="t" opacity="14417f" focussize="0,0"/>
                  <v:stroke weight="1.5pt" color="#000000" joinstyle="miter"/>
                  <v:imagedata o:title=""/>
                  <o:lock v:ext="edit" aspectratio="f"/>
                  <v:textbox inset="6mm,1.27mm,2.54mm,1.27mm">
                    <w:txbxContent>
                      <w:p>
                        <w:pPr>
                          <w:pStyle w:val="5"/>
                          <w:rPr>
                            <w:rFonts w:hint="default"/>
                          </w:rPr>
                        </w:pPr>
                        <w:r>
                          <w:t>安全班组</w:t>
                        </w:r>
                      </w:p>
                      <w:p>
                        <w:pPr>
                          <w:pStyle w:val="5"/>
                          <w:rPr>
                            <w:rFonts w:hint="default"/>
                          </w:rPr>
                        </w:pPr>
                        <w:r>
                          <w:t>活    动</w:t>
                        </w:r>
                      </w:p>
                    </w:txbxContent>
                  </v:textbox>
                </v:shape>
                <v:shape id="文本框 1465" o:spid="_x0000_s1026" o:spt="202" type="#_x0000_t202" style="position:absolute;left:4777;top:7524;height:936;width:2340;" fillcolor="#00CCFF" filled="t" stroked="t" coordsize="21600,21600" o:gfxdata="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wswA74A&#10;AADbAAAADwAAAAAAAAABACAAAAAiAAAAZHJzL2Rvd25yZXYueG1sUEsBAhQAFAAAAAgAh07iQDMv&#10;BZ47AAAAOQAAABAAAAAAAAAAAQAgAAAADQEAAGRycy9zaGFwZXhtbC54bWxQSwUGAAAAAAYABgBb&#10;AQAAtwMAAAAA&#10;">
                  <v:fill on="t" opacity="14417f" focussize="0,0"/>
                  <v:stroke weight="1.5pt" color="#000000" joinstyle="miter"/>
                  <v:imagedata o:title=""/>
                  <o:lock v:ext="edit" aspectratio="f"/>
                  <v:textbox inset="8mm,5mm,2.54mm,1.27mm">
                    <w:txbxContent>
                      <w:p>
                        <w:pPr>
                          <w:pStyle w:val="5"/>
                          <w:rPr>
                            <w:rFonts w:hint="default"/>
                          </w:rPr>
                        </w:pPr>
                        <w:r>
                          <w:t>安全监理部门</w:t>
                        </w:r>
                      </w:p>
                    </w:txbxContent>
                  </v:textbox>
                </v:shape>
                <v:shape id="文本框 1466" o:spid="_x0000_s1026" o:spt="202" type="#_x0000_t202" style="position:absolute;left:7120;top:7524;height:936;width:1800;" fillcolor="#00CCFF" filled="t" stroked="t" coordsize="21600,21600" o:gfxdata="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bmYGvQAA&#10;ANsAAAAPAAAAAAAAAAEAIAAAACIAAABkcnMvZG93bnJldi54bWxQSwECFAAUAAAACACHTuJAMy8F&#10;njsAAAA5AAAAEAAAAAAAAAABACAAAAAMAQAAZHJzL3NoYXBleG1sLnhtbFBLBQYAAAAABgAGAFsB&#10;AAC2AwAAAAA=&#10;">
                  <v:fill on="t" opacity="14417f" focussize="0,0"/>
                  <v:stroke weight="1.5pt" color="#000000" joinstyle="miter"/>
                  <v:imagedata o:title=""/>
                  <o:lock v:ext="edit" aspectratio="f"/>
                  <v:textbox inset="4.5mm,2.3mm,2.54mm,1.27mm">
                    <w:txbxContent>
                      <w:p>
                        <w:pPr>
                          <w:pStyle w:val="5"/>
                          <w:rPr>
                            <w:rFonts w:hint="default"/>
                          </w:rPr>
                        </w:pPr>
                        <w:r>
                          <w:t>专业安全检查</w:t>
                        </w:r>
                      </w:p>
                    </w:txbxContent>
                  </v:textbox>
                </v:shape>
                <v:shape id="文本框 1467" o:spid="_x0000_s1026" o:spt="202" type="#_x0000_t202" style="position:absolute;left:1800;top:11454;height:780;width:1620;" fillcolor="#00CCFF" filled="t" stroked="t" coordsize="21600,21600" o:gfxdata="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GmRN7sAAADb&#10;AAAADwAAAAAAAAABACAAAAAiAAAAZHJzL2Rvd25yZXYueG1sUEsBAhQAFAAAAAgAh07iQDMvBZ47&#10;AAAAOQAAABAAAAAAAAAAAQAgAAAACgEAAGRycy9zaGFwZXhtbC54bWxQSwUGAAAAAAYABgBbAQAA&#10;tAMAAAAA&#10;">
                  <v:fill on="t" opacity="14417f" focussize="0,0"/>
                  <v:stroke weight="1.5pt" color="#000000" joinstyle="miter"/>
                  <v:imagedata o:title=""/>
                  <o:lock v:ext="edit" aspectratio="f"/>
                  <v:textbox>
                    <w:txbxContent>
                      <w:p>
                        <w:pPr>
                          <w:pStyle w:val="5"/>
                          <w:rPr>
                            <w:rFonts w:hint="default"/>
                          </w:rPr>
                        </w:pPr>
                        <w:r>
                          <w:t>人的意识与行为控制</w:t>
                        </w:r>
                      </w:p>
                    </w:txbxContent>
                  </v:textbox>
                </v:shape>
                <v:shape id="文本框 1468" o:spid="_x0000_s1026" o:spt="202" type="#_x0000_t202" style="position:absolute;left:3600;top:11454;height:780;width:1440;" fillcolor="#00CCFF" filled="t" stroked="t" coordsize="21600,21600" o:gfxdata="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yU0rL4A&#10;AADbAAAADwAAAAAAAAABACAAAAAiAAAAZHJzL2Rvd25yZXYueG1sUEsBAhQAFAAAAAgAh07iQDMv&#10;BZ47AAAAOQAAABAAAAAAAAAAAQAgAAAADQEAAGRycy9zaGFwZXhtbC54bWxQSwUGAAAAAAYABgBb&#10;AQAAtwMAAAAA&#10;">
                  <v:fill on="t" opacity="14417f" focussize="0,0"/>
                  <v:stroke weight="1.5pt" color="#000000" joinstyle="miter"/>
                  <v:imagedata o:title=""/>
                  <o:lock v:ext="edit" aspectratio="f"/>
                  <v:textbox>
                    <w:txbxContent>
                      <w:p>
                        <w:pPr>
                          <w:pStyle w:val="5"/>
                          <w:rPr>
                            <w:rFonts w:hint="default"/>
                          </w:rPr>
                        </w:pPr>
                        <w:r>
                          <w:t>联保互保</w:t>
                        </w:r>
                      </w:p>
                      <w:p>
                        <w:pPr>
                          <w:pStyle w:val="5"/>
                          <w:rPr>
                            <w:rFonts w:hint="default"/>
                          </w:rPr>
                        </w:pPr>
                        <w:r>
                          <w:t>责任制</w:t>
                        </w:r>
                      </w:p>
                    </w:txbxContent>
                  </v:textbox>
                </v:shape>
                <v:shape id="文本框 1469" o:spid="_x0000_s1026" o:spt="202" type="#_x0000_t202" style="position:absolute;left:5220;top:11454;height:780;width:1440;" fillcolor="#00CCFF" filled="t" stroked="t" coordsize="21600,21600" o:gfxdata="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8c1eMugAAANsA&#10;AAAPAAAAAAAAAAEAIAAAACIAAABkcnMvZG93bnJldi54bWxQSwECFAAUAAAACACHTuJAMy8FnjsA&#10;AAA5AAAAEAAAAAAAAAABACAAAAAJAQAAZHJzL3NoYXBleG1sLnhtbFBLBQYAAAAABgAGAFsBAACz&#10;AwAAAAA=&#10;">
                  <v:fill on="t" opacity="14417f" focussize="0,0"/>
                  <v:stroke weight="1.5pt" color="#000000" joinstyle="miter"/>
                  <v:imagedata o:title=""/>
                  <o:lock v:ext="edit" aspectratio="f"/>
                  <v:textbox>
                    <w:txbxContent>
                      <w:p>
                        <w:pPr>
                          <w:pStyle w:val="5"/>
                          <w:rPr>
                            <w:rFonts w:hint="default"/>
                          </w:rPr>
                        </w:pPr>
                        <w:r>
                          <w:t>专职安全员责任制</w:t>
                        </w:r>
                      </w:p>
                    </w:txbxContent>
                  </v:textbox>
                </v:shape>
                <v:shape id="文本框 1470" o:spid="_x0000_s1026" o:spt="202" type="#_x0000_t202" style="position:absolute;left:6840;top:11454;height:780;width:1440;" fillcolor="#00CCFF" filled="t" stroked="t" coordsize="21600,21600" o:gfxdata="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M/8he8AAAA&#10;2wAAAA8AAAAAAAAAAQAgAAAAIgAAAGRycy9kb3ducmV2LnhtbFBLAQIUABQAAAAIAIdO4kAzLwWe&#10;OwAAADkAAAAQAAAAAAAAAAEAIAAAAAsBAABkcnMvc2hhcGV4bWwueG1sUEsFBgAAAAAGAAYAWwEA&#10;ALUDAAAAAA==&#10;">
                  <v:fill on="t" opacity="14417f" focussize="0,0"/>
                  <v:stroke weight="1.5pt" color="#000000" joinstyle="miter"/>
                  <v:imagedata o:title=""/>
                  <o:lock v:ext="edit" aspectratio="f"/>
                  <v:textbox>
                    <w:txbxContent>
                      <w:p>
                        <w:pPr>
                          <w:pStyle w:val="5"/>
                          <w:rPr>
                            <w:rFonts w:hint="default"/>
                          </w:rPr>
                        </w:pPr>
                        <w:r>
                          <w:t>班组班前</w:t>
                        </w:r>
                      </w:p>
                      <w:p>
                        <w:pPr>
                          <w:pStyle w:val="5"/>
                          <w:rPr>
                            <w:rFonts w:hint="default"/>
                          </w:rPr>
                        </w:pPr>
                        <w:r>
                          <w:t>安全交底</w:t>
                        </w:r>
                      </w:p>
                    </w:txbxContent>
                  </v:textbox>
                </v:shape>
                <v:shape id="文本框 1471" o:spid="_x0000_s1026" o:spt="202" type="#_x0000_t202" style="position:absolute;left:8460;top:11454;height:780;width:1440;" fillcolor="#00CCFF" filled="t" stroked="t" coordsize="21600,21600" o:gfxdata="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7WxgvQAA&#10;ANsAAAAPAAAAAAAAAAEAIAAAACIAAABkcnMvZG93bnJldi54bWxQSwECFAAUAAAACACHTuJAMy8F&#10;njsAAAA5AAAAEAAAAAAAAAABACAAAAAMAQAAZHJzL3NoYXBleG1sLnhtbFBLBQYAAAAABgAGAFsB&#10;AAC2AwAAAAA=&#10;">
                  <v:fill on="t" opacity="14417f" focussize="0,0"/>
                  <v:stroke weight="1.5pt" color="#000000" joinstyle="miter"/>
                  <v:imagedata o:title=""/>
                  <o:lock v:ext="edit" aspectratio="f"/>
                  <v:textbox>
                    <w:txbxContent>
                      <w:p>
                        <w:pPr>
                          <w:pStyle w:val="5"/>
                          <w:rPr>
                            <w:rFonts w:hint="default"/>
                          </w:rPr>
                        </w:pPr>
                        <w:r>
                          <w:t>安全技术</w:t>
                        </w:r>
                      </w:p>
                      <w:p>
                        <w:pPr>
                          <w:pStyle w:val="5"/>
                          <w:rPr>
                            <w:rFonts w:hint="default"/>
                          </w:rPr>
                        </w:pPr>
                        <w:r>
                          <w:t>劳动保护</w:t>
                        </w:r>
                      </w:p>
                    </w:txbxContent>
                  </v:textbox>
                </v:shape>
                <v:shape id="文本框 1472" o:spid="_x0000_s1026" o:spt="202" type="#_x0000_t202" style="position:absolute;left:1980;top:9552;height:780;width:1440;" fillcolor="#00CCFF" filled="t" stroked="t" coordsize="21600,21600" o:gfxdata="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Zz4ivQAA&#10;ANsAAAAPAAAAAAAAAAEAIAAAACIAAABkcnMvZG93bnJldi54bWxQSwECFAAUAAAACACHTuJAMy8F&#10;njsAAAA5AAAAEAAAAAAAAAABACAAAAAMAQAAZHJzL3NoYXBleG1sLnhtbFBLBQYAAAAABgAGAFsB&#10;AAC2AwAAAAA=&#10;">
                  <v:fill on="t" opacity="14417f" focussize="0,0"/>
                  <v:stroke weight="1.5pt" color="#000000" joinstyle="miter"/>
                  <v:imagedata o:title=""/>
                  <o:lock v:ext="edit" aspectratio="f"/>
                  <v:textbox inset="3.5mm,1.27mm,2.54mm,1.27mm">
                    <w:txbxContent>
                      <w:p>
                        <w:pPr>
                          <w:pStyle w:val="5"/>
                          <w:rPr>
                            <w:rFonts w:hint="default"/>
                          </w:rPr>
                        </w:pPr>
                        <w:r>
                          <w:t>拆除施工</w:t>
                        </w:r>
                      </w:p>
                      <w:p>
                        <w:pPr>
                          <w:pStyle w:val="5"/>
                          <w:rPr>
                            <w:rFonts w:hint="default"/>
                          </w:rPr>
                        </w:pPr>
                        <w:r>
                          <w:t>监    控</w:t>
                        </w:r>
                      </w:p>
                    </w:txbxContent>
                  </v:textbox>
                </v:shape>
                <v:shape id="文本框 1474" o:spid="_x0000_s1026" o:spt="202" type="#_x0000_t202" style="position:absolute;left:5220;top:9552;height:780;width:1440;" fillcolor="#00CCFF" filled="t" stroked="t" coordsize="21600,21600" o:gfxdata="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wgPNvQAA&#10;ANsAAAAPAAAAAAAAAAEAIAAAACIAAABkcnMvZG93bnJldi54bWxQSwECFAAUAAAACACHTuJAMy8F&#10;njsAAAA5AAAAEAAAAAAAAAABACAAAAAMAQAAZHJzL3NoYXBleG1sLnhtbFBLBQYAAAAABgAGAFsB&#10;AAC2AwAAAAA=&#10;">
                  <v:fill on="t" opacity="14417f" focussize="0,0"/>
                  <v:stroke weight="1.5pt" color="#000000" joinstyle="miter"/>
                  <v:imagedata o:title=""/>
                  <o:lock v:ext="edit" aspectratio="f"/>
                  <v:textbox inset="3.5mm,1.27mm,2.54mm,1.27mm">
                    <w:txbxContent>
                      <w:p>
                        <w:pPr>
                          <w:pStyle w:val="5"/>
                          <w:rPr>
                            <w:rFonts w:hint="default"/>
                          </w:rPr>
                        </w:pPr>
                        <w:r>
                          <w:t>清运施工</w:t>
                        </w:r>
                      </w:p>
                      <w:p>
                        <w:pPr>
                          <w:pStyle w:val="5"/>
                          <w:rPr>
                            <w:rFonts w:hint="default"/>
                          </w:rPr>
                        </w:pPr>
                        <w:r>
                          <w:t>监    控</w:t>
                        </w:r>
                      </w:p>
                    </w:txbxContent>
                  </v:textbox>
                </v:shape>
                <v:shape id="文本框 1476" o:spid="_x0000_s1026" o:spt="202" type="#_x0000_t202" style="position:absolute;left:8460;top:9552;height:780;width:1440;" fillcolor="#00CCFF" filled="t" stroked="t" coordsize="21600,21600" o:gfxdata="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Ow0pb4A&#10;AADbAAAADwAAAAAAAAABACAAAAAiAAAAZHJzL2Rvd25yZXYueG1sUEsBAhQAFAAAAAgAh07iQDMv&#10;BZ47AAAAOQAAABAAAAAAAAAAAQAgAAAADQEAAGRycy9zaGFwZXhtbC54bWxQSwUGAAAAAAYABgBb&#10;AQAAtwMAAAAA&#10;">
                  <v:fill on="t" opacity="14417f" focussize="0,0"/>
                  <v:stroke weight="1.5pt" color="#000000" joinstyle="miter"/>
                  <v:imagedata o:title=""/>
                  <o:lock v:ext="edit" aspectratio="f"/>
                  <v:textbox inset="5mm,1.27mm,2.54mm,1.27mm">
                    <w:txbxContent>
                      <w:p>
                        <w:pPr>
                          <w:pStyle w:val="5"/>
                          <w:rPr>
                            <w:rFonts w:hint="default"/>
                          </w:rPr>
                        </w:pPr>
                        <w:r>
                          <w:t>旧物回收监  控</w:t>
                        </w:r>
                      </w:p>
                    </w:txbxContent>
                  </v:textbox>
                </v:shape>
                <v:shape id="文本框 1477" o:spid="_x0000_s1026" o:spt="202" type="#_x0000_t202" style="position:absolute;left:3420;top:13164;height:936;width:1800;" fillcolor="#00CCFF" filled="t" stroked="t" coordsize="21600,21600" o:gfxdata="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Bz+eugAAANsA&#10;AAAPAAAAAAAAAAEAIAAAACIAAABkcnMvZG93bnJldi54bWxQSwECFAAUAAAACACHTuJAMy8FnjsA&#10;AAA5AAAAEAAAAAAAAAABACAAAAAJAQAAZHJzL3NoYXBleG1sLnhtbFBLBQYAAAAABgAGAFsBAACz&#10;AwAAAAA=&#10;">
                  <v:fill on="t" opacity="14417f" focussize="0,0"/>
                  <v:stroke weight="1.5pt" color="#000000" joinstyle="miter"/>
                  <v:imagedata o:title=""/>
                  <o:lock v:ext="edit" aspectratio="f"/>
                  <v:textbox inset="7mm,5mm,2.54mm,1.27mm">
                    <w:txbxContent>
                      <w:p>
                        <w:pPr>
                          <w:pStyle w:val="5"/>
                          <w:rPr>
                            <w:rFonts w:hint="default"/>
                          </w:rPr>
                        </w:pPr>
                        <w:r>
                          <w:t>现场作业</w:t>
                        </w:r>
                      </w:p>
                    </w:txbxContent>
                  </v:textbox>
                </v:shape>
                <v:shape id="文本框 1478" o:spid="_x0000_s1026" o:spt="202" type="#_x0000_t202" style="position:absolute;left:6660;top:13164;height:936;width:1800;" fillcolor="#00CCFF" filled="t" stroked="t" coordsize="21600,21600" o:gfxdata="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S5oFvQAA&#10;ANsAAAAPAAAAAAAAAAEAIAAAACIAAABkcnMvZG93bnJldi54bWxQSwECFAAUAAAACACHTuJAMy8F&#10;njsAAAA5AAAAEAAAAAAAAAABACAAAAAMAQAAZHJzL3NoYXBleG1sLnhtbFBLBQYAAAAABgAGAFsB&#10;AAC2AwAAAAA=&#10;">
                  <v:fill on="t" opacity="14417f" focussize="0,0"/>
                  <v:stroke weight="1.5pt" color="#000000" joinstyle="miter"/>
                  <v:imagedata o:title=""/>
                  <o:lock v:ext="edit" aspectratio="f"/>
                  <v:textbox inset="7mm,5mm,2.54mm,1.27mm">
                    <w:txbxContent>
                      <w:p>
                        <w:pPr>
                          <w:pStyle w:val="5"/>
                          <w:rPr>
                            <w:rFonts w:hint="default"/>
                          </w:rPr>
                        </w:pPr>
                        <w:r>
                          <w:t>现场防护</w:t>
                        </w:r>
                      </w:p>
                    </w:txbxContent>
                  </v:textbox>
                </v:shape>
                <v:line id="直线 1479" o:spid="_x0000_s1026" o:spt="20" style="position:absolute;left:3057;top:4092;height:1092;width:0;" filled="f" stroked="t" coordsize="21600,21600" o:gfxdata="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6t6LsAAADb&#10;AAAADwAAAAAAAAABACAAAAAiAAAAZHJzL2Rvd25yZXYueG1sUEsBAhQAFAAAAAgAh07iQDMvBZ47&#10;AAAAOQAAABAAAAAAAAAAAQAgAAAACgEAAGRycy9zaGFwZXhtbC54bWxQSwUGAAAAAAYABgBbAQAA&#10;tAMAAAAA&#10;">
                  <v:fill on="f" focussize="0,0"/>
                  <v:stroke weight="1.5pt" color="#000000" joinstyle="round" endarrow="block" endarrowwidth="narrow" endarrowlength="long"/>
                  <v:imagedata o:title=""/>
                  <o:lock v:ext="edit" aspectratio="f"/>
                </v:line>
                <v:line id="直线 1480" o:spid="_x0000_s1026" o:spt="20" style="position:absolute;left:8820;top:4092;height:1092;width:0;" filled="f" stroked="t" coordsize="21600,21600" o:gfxdata="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nIIc74A&#10;AADbAAAADwAAAAAAAAABACAAAAAiAAAAZHJzL2Rvd25yZXYueG1sUEsBAhQAFAAAAAgAh07iQDMv&#10;BZ47AAAAOQAAABAAAAAAAAAAAQAgAAAADQEAAGRycy9zaGFwZXhtbC54bWxQSwUGAAAAAAYABgBb&#10;AQAAtwMAAAAA&#10;">
                  <v:fill on="f" focussize="0,0"/>
                  <v:stroke weight="1.5pt" color="#000000" joinstyle="round" endarrow="block" endarrowwidth="narrow" endarrowlength="long"/>
                  <v:imagedata o:title=""/>
                  <o:lock v:ext="edit" aspectratio="f"/>
                </v:line>
                <v:line id="直线 1481" o:spid="_x0000_s1026" o:spt="20" style="position:absolute;left:5940;top:4092;height:780;width:0;" filled="f" stroked="t" coordsize="21600,21600" o:gfxdata="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KglgS/&#10;AAAA2wAAAA8AAAAAAAAAAQAgAAAAIgAAAGRycy9kb3ducmV2LnhtbFBLAQIUABQAAAAIAIdO4kAz&#10;LwWeOwAAADkAAAAQAAAAAAAAAAEAIAAAAA4BAABkcnMvc2hhcGV4bWwueG1sUEsFBgAAAAAGAAYA&#10;WwEAALgDAAAAAA==&#10;">
                  <v:fill on="f" focussize="0,0"/>
                  <v:stroke weight="1.5pt" color="#000000" joinstyle="round" endarrow="block" endarrowwidth="narrow" endarrowlength="long"/>
                  <v:imagedata o:title=""/>
                  <o:lock v:ext="edit" aspectratio="f"/>
                </v:line>
                <v:shape id="椭圆 1482" o:spid="_x0000_s1026" o:spt="3" type="#_x0000_t3" style="position:absolute;left:4860;top:4872;height:2184;width:2160;" fillcolor="#00CCFF" filled="t" stroked="t" coordsize="21600,21600" o:gfxdata="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dIFNvQAA&#10;ANsAAAAPAAAAAAAAAAEAIAAAACIAAABkcnMvZG93bnJldi54bWxQSwECFAAUAAAACACHTuJAMy8F&#10;njsAAAA5AAAAEAAAAAAAAAABACAAAAAMAQAAZHJzL3NoYXBleG1sLnhtbFBLBQYAAAAABgAGAFsB&#10;AAC2AwAAAAA=&#10;">
                  <v:fill on="t" opacity="14417f" focussize="0,0"/>
                  <v:stroke weight="1.5pt" color="#000000" joinstyle="round"/>
                  <v:imagedata o:title=""/>
                  <o:lock v:ext="edit" aspectratio="f"/>
                  <v:textbox inset="7mm,1.27mm,2.54mm,1.27mm">
                    <w:txbxContent>
                      <w:p>
                        <w:pPr>
                          <w:pStyle w:val="5"/>
                          <w:rPr>
                            <w:rFonts w:hint="default"/>
                          </w:rPr>
                        </w:pPr>
                        <w:r>
                          <w:t>安全生产</w:t>
                        </w:r>
                      </w:p>
                      <w:p>
                        <w:pPr>
                          <w:pStyle w:val="5"/>
                          <w:rPr>
                            <w:rFonts w:hint="default"/>
                          </w:rPr>
                        </w:pPr>
                        <w:r>
                          <w:t>管  理</w:t>
                        </w:r>
                      </w:p>
                    </w:txbxContent>
                  </v:textbox>
                </v:shape>
                <v:line id="直线 1483" o:spid="_x0000_s1026" o:spt="20" style="position:absolute;left:5940;top:7056;height:468;width:0;" filled="f" stroked="t" coordsize="21600,21600" o:gfxdata="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gWr674A&#10;AADbAAAADwAAAAAAAAABACAAAAAiAAAAZHJzL2Rvd25yZXYueG1sUEsBAhQAFAAAAAgAh07iQDMv&#10;BZ47AAAAOQAAABAAAAAAAAAAAQAgAAAADQEAAGRycy9zaGFwZXhtbC54bWxQSwUGAAAAAAYABgBb&#10;AQAAtwMAAAAA&#10;">
                  <v:fill on="f" focussize="0,0"/>
                  <v:stroke weight="1.5pt" color="#000000" joinstyle="round" endarrow="block" endarrowwidth="narrow" endarrowlength="long"/>
                  <v:imagedata o:title=""/>
                  <o:lock v:ext="edit" aspectratio="f"/>
                </v:line>
                <v:line id="直线 1484" o:spid="_x0000_s1026" o:spt="20" style="position:absolute;left:5940;top:8460;height:1092;width:0;" filled="f" stroked="t" coordsize="21600,21600" o:gfxdata="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UkOcL4A&#10;AADbAAAADwAAAAAAAAABACAAAAAiAAAAZHJzL2Rvd25yZXYueG1sUEsBAhQAFAAAAAgAh07iQDMv&#10;BZ47AAAAOQAAABAAAAAAAAAAAQAgAAAADQEAAGRycy9zaGFwZXhtbC54bWxQSwUGAAAAAAYABgBb&#10;AQAAtwMAAAAA&#10;">
                  <v:fill on="f" focussize="0,0"/>
                  <v:stroke weight="1.5pt" color="#000000" joinstyle="round" endarrow="block" endarrowwidth="narrow" endarrowlength="long"/>
                  <v:imagedata o:title=""/>
                  <o:lock v:ext="edit" aspectratio="f"/>
                </v:line>
                <v:line id="直线 1485" o:spid="_x0000_s1026" o:spt="20" style="position:absolute;left:5940;top:10332;height:1092;width:0;" filled="f" stroked="t" coordsize="21600,21600" o:gfxdata="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2bkAe/&#10;AAAA2wAAAA8AAAAAAAAAAQAgAAAAIgAAAGRycy9kb3ducmV2LnhtbFBLAQIUABQAAAAIAIdO4kAz&#10;LwWeOwAAADkAAAAQAAAAAAAAAAEAIAAAAA4BAABkcnMvc2hhcGV4bWwueG1sUEsFBgAAAAAGAAYA&#10;WwEAALgDAAAAAA==&#10;">
                  <v:fill on="f" focussize="0,0"/>
                  <v:stroke weight="1.5pt" color="#000000" joinstyle="round" endarrow="block" endarrowwidth="narrow" endarrowlength="long"/>
                  <v:imagedata o:title=""/>
                  <o:lock v:ext="edit" aspectratio="f"/>
                </v:line>
                <v:line id="直线 1486" o:spid="_x0000_s1026" o:spt="20" style="position:absolute;left:3057;top:4092;height:780;width:2700;" filled="f" stroked="t" coordsize="21600,21600" o:gfxdata="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XNZy/&#10;AAAA2wAAAA8AAAAAAAAAAQAgAAAAIgAAAGRycy9kb3ducmV2LnhtbFBLAQIUABQAAAAIAIdO4kAz&#10;LwWeOwAAADkAAAAQAAAAAAAAAAEAIAAAAA4BAABkcnMvc2hhcGV4bWwueG1sUEsFBgAAAAAGAAYA&#10;WwEAALgDAAAAAA==&#10;">
                  <v:fill on="f" focussize="0,0"/>
                  <v:stroke weight="1.5pt" color="#000000" joinstyle="round" endarrow="block" endarrowwidth="narrow" endarrowlength="long"/>
                  <v:imagedata o:title=""/>
                  <o:lock v:ext="edit" aspectratio="f"/>
                </v:line>
                <v:line id="直线 1487" o:spid="_x0000_s1026" o:spt="20" style="position:absolute;left:4500;top:4092;height:780;width:1440;" filled="f" stroked="t" coordsize="21600,21600" o:gfxdata="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0ih7rsAAADb&#10;AAAADwAAAAAAAAABACAAAAAiAAAAZHJzL2Rvd25yZXYueG1sUEsBAhQAFAAAAAgAh07iQDMvBZ47&#10;AAAAOQAAABAAAAAAAAAAAQAgAAAACgEAAGRycy9zaGFwZXhtbC54bWxQSwUGAAAAAAYABgBbAQAA&#10;tAMAAAAA&#10;">
                  <v:fill on="f" focussize="0,0"/>
                  <v:stroke weight="1.5pt" color="#000000" joinstyle="round" endarrow="block" endarrowwidth="narrow" endarrowlength="long"/>
                  <v:imagedata o:title=""/>
                  <o:lock v:ext="edit" aspectratio="f"/>
                </v:line>
                <v:line id="直线 1488" o:spid="_x0000_s1026" o:spt="20" style="position:absolute;left:6120;top:4092;flip:x;height:780;width:2700;" filled="f" stroked="t" coordsize="21600,21600" o:gfxdata="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Bz4e7sAAADb&#10;AAAADwAAAAAAAAABACAAAAAiAAAAZHJzL2Rvd25yZXYueG1sUEsBAhQAFAAAAAgAh07iQDMvBZ47&#10;AAAAOQAAABAAAAAAAAAAAQAgAAAACgEAAGRycy9zaGFwZXhtbC54bWxQSwUGAAAAAAYABgBbAQAA&#10;tAMAAAAA&#10;">
                  <v:fill on="f" focussize="0,0"/>
                  <v:stroke weight="1.5pt" color="#000000" joinstyle="round" endarrow="block" endarrowwidth="narrow" endarrowlength="long"/>
                  <v:imagedata o:title=""/>
                  <o:lock v:ext="edit" aspectratio="f"/>
                </v:line>
                <v:line id="直线 1489" o:spid="_x0000_s1026" o:spt="20" style="position:absolute;left:5940;top:4092;flip:x;height:780;width:1440;" filled="f" stroked="t" coordsize="21600,21600" o:gfxdata="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PMhwbgAAADbAAAA&#10;DwAAAAAAAAABACAAAAAiAAAAZHJzL2Rvd25yZXYueG1sUEsBAhQAFAAAAAgAh07iQDMvBZ47AAAA&#10;OQAAABAAAAAAAAAAAQAgAAAABwEAAGRycy9zaGFwZXhtbC54bWxQSwUGAAAAAAYABgBbAQAAsQMA&#10;AAAA&#10;">
                  <v:fill on="f" focussize="0,0"/>
                  <v:stroke weight="1.5pt" color="#000000" joinstyle="round" endarrow="block" endarrowwidth="narrow" endarrowlength="long"/>
                  <v:imagedata o:title=""/>
                  <o:lock v:ext="edit" aspectratio="f"/>
                </v:line>
                <v:line id="直线 1490" o:spid="_x0000_s1026" o:spt="20" style="position:absolute;left:2700;top:8460;flip:x;height:1092;width:3240;" filled="f" stroked="t" coordsize="21600,21600" o:gfxdata="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7+EWrsAAADb&#10;AAAADwAAAAAAAAABACAAAAAiAAAAZHJzL2Rvd25yZXYueG1sUEsBAhQAFAAAAAgAh07iQDMvBZ47&#10;AAAAOQAAABAAAAAAAAAAAQAgAAAACgEAAGRycy9zaGFwZXhtbC54bWxQSwUGAAAAAAYABgBbAQAA&#10;tAMAAAAA&#10;">
                  <v:fill on="f" focussize="0,0"/>
                  <v:stroke weight="1.5pt" color="#000000" joinstyle="round" endarrow="block" endarrowwidth="narrow" endarrowlength="long"/>
                  <v:imagedata o:title=""/>
                  <o:lock v:ext="edit" aspectratio="f"/>
                </v:line>
                <v:line id="直线 1492" o:spid="_x0000_s1026" o:spt="20" style="position:absolute;left:5940;top:8460;height:1092;width:3240;" filled="f" stroked="t" coordsize="21600,21600" o:gfxdata="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g5Q7i/&#10;AAAA2wAAAA8AAAAAAAAAAQAgAAAAIgAAAGRycy9kb3ducmV2LnhtbFBLAQIUABQAAAAIAIdO4kAz&#10;LwWeOwAAADkAAAAQAAAAAAAAAAEAIAAAAA4BAABkcnMvc2hhcGV4bWwueG1sUEsFBgAAAAAGAAYA&#10;WwEAALgDAAAAAA==&#10;">
                  <v:fill on="f" focussize="0,0"/>
                  <v:stroke weight="1.5pt" color="#000000" joinstyle="round" endarrow="block" endarrowwidth="narrow" endarrowlength="long"/>
                  <v:imagedata o:title=""/>
                  <o:lock v:ext="edit" aspectratio="f"/>
                </v:line>
                <v:line id="直线 1494" o:spid="_x0000_s1026" o:spt="20" style="position:absolute;left:2700;top:10332;flip:x;height:1092;width:3240;" filled="f" stroked="t" coordsize="21600,21600" o:gfxdata="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ISCWbsAAADb&#10;AAAADwAAAAAAAAABACAAAAAiAAAAZHJzL2Rvd25yZXYueG1sUEsBAhQAFAAAAAgAh07iQDMvBZ47&#10;AAAAOQAAABAAAAAAAAAAAQAgAAAACgEAAGRycy9zaGFwZXhtbC54bWxQSwUGAAAAAAYABgBbAQAA&#10;tAMAAAAA&#10;">
                  <v:fill on="f" focussize="0,0"/>
                  <v:stroke weight="1.5pt" color="#000000" joinstyle="round" endarrow="block" endarrowwidth="narrow" endarrowlength="long"/>
                  <v:imagedata o:title=""/>
                  <o:lock v:ext="edit" aspectratio="f"/>
                </v:line>
                <v:line id="直线 1495" o:spid="_x0000_s1026" o:spt="20" style="position:absolute;left:4320;top:10332;flip:x;height:1092;width:1620;" filled="f" stroked="t" coordsize="21600,21600" o:gfxdata="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FYcLrsAAADb&#10;AAAADwAAAAAAAAABACAAAAAiAAAAZHJzL2Rvd25yZXYueG1sUEsBAhQAFAAAAAgAh07iQDMvBZ47&#10;AAAAOQAAABAAAAAAAAAAAQAgAAAACgEAAGRycy9zaGFwZXhtbC54bWxQSwUGAAAAAAYABgBbAQAA&#10;tAMAAAAA&#10;">
                  <v:fill on="f" focussize="0,0"/>
                  <v:stroke weight="1.5pt" color="#000000" joinstyle="round" endarrow="block" endarrowwidth="narrow" endarrowlength="long"/>
                  <v:imagedata o:title=""/>
                  <o:lock v:ext="edit" aspectratio="f"/>
                </v:line>
                <v:line id="直线 1496" o:spid="_x0000_s1026" o:spt="20" style="position:absolute;left:5940;top:10332;height:1092;width:3240;" filled="f" stroked="t" coordsize="21600,21600" o:gfxdata="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wJFu74A&#10;AADbAAAADwAAAAAAAAABACAAAAAiAAAAZHJzL2Rvd25yZXYueG1sUEsBAhQAFAAAAAgAh07iQDMv&#10;BZ47AAAAOQAAABAAAAAAAAAAAQAgAAAADQEAAGRycy9zaGFwZXhtbC54bWxQSwUGAAAAAAYABgBb&#10;AQAAtwMAAAAA&#10;">
                  <v:fill on="f" focussize="0,0"/>
                  <v:stroke weight="1.5pt" color="#000000" joinstyle="round" endarrow="block" endarrowwidth="narrow" endarrowlength="long"/>
                  <v:imagedata o:title=""/>
                  <o:lock v:ext="edit" aspectratio="f"/>
                </v:line>
                <v:line id="直线 1497" o:spid="_x0000_s1026" o:spt="20" style="position:absolute;left:5940;top:10332;height:1092;width:1620;" filled="f" stroked="t" coordsize="21600,21600" o:gfxdata="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ad0cm5AAAA2wAA&#10;AA8AAAAAAAAAAQAgAAAAIgAAAGRycy9kb3ducmV2LnhtbFBLAQIUABQAAAAIAIdO4kAzLwWeOwAA&#10;ADkAAAAQAAAAAAAAAAEAIAAAAAgBAABkcnMvc2hhcGV4bWwueG1sUEsFBgAAAAAGAAYAWwEAALID&#10;AAAAAA==&#10;">
                  <v:fill on="f" focussize="0,0"/>
                  <v:stroke weight="1.5pt" color="#000000" joinstyle="round" endarrow="block" endarrowwidth="narrow" endarrowlength="long"/>
                  <v:imagedata o:title=""/>
                  <o:lock v:ext="edit" aspectratio="f"/>
                </v:line>
                <v:line id="直线 1498" o:spid="_x0000_s1026" o:spt="20" style="position:absolute;left:4320;top:12852;height:312;width:0;" filled="f" stroked="t" coordsize="21600,21600" o:gfxdata="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mSxS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直线 1499" o:spid="_x0000_s1026" o:spt="20" style="position:absolute;left:7560;top:12852;height:312;width:0;" filled="f" stroked="t" coordsize="21600,21600" o:gfxdata="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zFdFS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直线 1500" o:spid="_x0000_s1026" o:spt="20" style="position:absolute;left:4320;top:12852;height:0;width:3240;" filled="f" stroked="t" coordsize="21600,21600" o:gfxdata="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OJ0c+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直线 1501" o:spid="_x0000_s1026" o:spt="20" style="position:absolute;left:4320;top:12236;height:592;width:1620;" filled="f" stroked="t" coordsize="21600,21600" o:gfxdata="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KscP6/&#10;AAAA2wAAAA8AAAAAAAAAAQAgAAAAIgAAAGRycy9kb3ducmV2LnhtbFBLAQIUABQAAAAIAIdO4kAz&#10;LwWeOwAAADkAAAAQAAAAAAAAAAEAIAAAAA4BAABkcnMvc2hhcGV4bWwueG1sUEsFBgAAAAAGAAYA&#10;WwEAALgDAAAAAA==&#10;">
                  <v:fill on="f" focussize="0,0"/>
                  <v:stroke weight="1.5pt" color="#000000" joinstyle="round" endarrow="block" endarrowwidth="narrow" endarrowlength="long"/>
                  <v:imagedata o:title=""/>
                  <o:lock v:ext="edit" aspectratio="f"/>
                </v:line>
                <v:line id="直线 1502" o:spid="_x0000_s1026" o:spt="20" style="position:absolute;left:2676;top:12236;height:904;width:1644;" filled="f" stroked="t" coordsize="21600,21600" o:gfxdata="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3g1WW/&#10;AAAA2wAAAA8AAAAAAAAAAQAgAAAAIgAAAGRycy9kb3ducmV2LnhtbFBLAQIUABQAAAAIAIdO4kAz&#10;LwWeOwAAADkAAAAQAAAAAAAAAAEAIAAAAA4BAABkcnMvc2hhcGV4bWwueG1sUEsFBgAAAAAGAAYA&#10;WwEAALgDAAAAAA==&#10;">
                  <v:fill on="f" focussize="0,0"/>
                  <v:stroke weight="1.5pt" color="#000000" joinstyle="round" endarrow="block" endarrowwidth="narrow" endarrowlength="long"/>
                  <v:imagedata o:title=""/>
                  <o:lock v:ext="edit" aspectratio="f"/>
                </v:line>
                <v:line id="直线 1503" o:spid="_x0000_s1026" o:spt="20" style="position:absolute;left:5940;top:12234;height:624;width:0;" filled="f" stroked="t" coordsize="21600,21600" o:gfxdata="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glNEb4A&#10;AADbAAAADwAAAAAAAAABACAAAAAiAAAAZHJzL2Rvd25yZXYueG1sUEsBAhQAFAAAAAgAh07iQDMv&#10;BZ47AAAAOQAAABAAAAAAAAAAAQAgAAAADQEAAGRycy9zaGFwZXhtbC54bWxQSwUGAAAAAAYABgBb&#10;AQAAtwMAAAAA&#10;">
                  <v:fill on="f" focussize="0,0"/>
                  <v:stroke weight="1.5pt" color="#000000" joinstyle="round" endarrow="block" endarrowwidth="narrow" endarrowlength="long"/>
                  <v:imagedata o:title=""/>
                  <o:lock v:ext="edit" aspectratio="f"/>
                </v:line>
                <v:line id="直线 1504" o:spid="_x0000_s1026" o:spt="20" style="position:absolute;left:5940;top:12228;flip:x;height:600;width:1620;" filled="f" stroked="t" coordsize="21600,21600" o:gfxdata="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V0UhLsAAADb&#10;AAAADwAAAAAAAAABACAAAAAiAAAAZHJzL2Rvd25yZXYueG1sUEsBAhQAFAAAAAgAh07iQDMvBZ47&#10;AAAAOQAAABAAAAAAAAAAAQAgAAAACgEAAGRycy9zaGFwZXhtbC54bWxQSwUGAAAAAAYABgBbAQAA&#10;tAMAAAAA&#10;">
                  <v:fill on="f" focussize="0,0"/>
                  <v:stroke weight="1.5pt" color="#000000" joinstyle="round" endarrow="block" endarrowwidth="narrow" endarrowlength="long"/>
                  <v:imagedata o:title=""/>
                  <o:lock v:ext="edit" aspectratio="f"/>
                </v:line>
                <v:line id="直线 1505" o:spid="_x0000_s1026" o:spt="20" style="position:absolute;left:7560;top:12228;flip:x;height:912;width:1620;" filled="f" stroked="t" coordsize="21600,21600" o:gfxdata="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Y+K87sAAADb&#10;AAAADwAAAAAAAAABACAAAAAiAAAAZHJzL2Rvd25yZXYueG1sUEsBAhQAFAAAAAgAh07iQDMvBZ47&#10;AAAAOQAAABAAAAAAAAAAAQAgAAAACgEAAGRycy9zaGFwZXhtbC54bWxQSwUGAAAAAAYABgBbAQAA&#10;tAMAAAAA&#10;">
                  <v:fill on="f" focussize="0,0"/>
                  <v:stroke weight="1.5pt" color="#000000" joinstyle="round" endarrow="block" endarrowwidth="narrow" endarrowlength="long"/>
                  <v:imagedata o:title=""/>
                  <o:lock v:ext="edit" aspectratio="f"/>
                </v:line>
                <v:shape id="文本框 1506" o:spid="_x0000_s1026" o:spt="202" type="#_x0000_t202" style="position:absolute;left:8100;top:5184;height:1404;width:1440;" fillcolor="#00CCFF" filled="t" stroked="t" coordsize="21600,21600" o:gfxdata="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niTX&#10;wAAAANsAAAAPAAAAAAAAAAEAIAAAACIAAABkcnMvZG93bnJldi54bWxQSwECFAAUAAAACACHTuJA&#10;My8FnjsAAAA5AAAAEAAAAAAAAAABACAAAAAPAQAAZHJzL3NoYXBleG1sLnhtbFBLBQYAAAAABgAG&#10;AFsBAAC5AwAAAAA=&#10;">
                  <v:fill on="t" opacity="14417f" focussize="0,0"/>
                  <v:stroke weight="1.5pt" color="#000000" joinstyle="miter"/>
                  <v:imagedata o:title=""/>
                  <o:lock v:ext="edit" aspectratio="f"/>
                  <v:textbox inset="4.5mm,1.27mm,2.54mm,1.27mm">
                    <w:txbxContent>
                      <w:p>
                        <w:pPr>
                          <w:pStyle w:val="5"/>
                          <w:rPr>
                            <w:rFonts w:hint="default"/>
                          </w:rPr>
                        </w:pPr>
                        <w:r>
                          <w:t>安全竞赛</w:t>
                        </w:r>
                      </w:p>
                      <w:p>
                        <w:pPr>
                          <w:pStyle w:val="5"/>
                          <w:rPr>
                            <w:rFonts w:hint="default"/>
                          </w:rPr>
                        </w:pPr>
                        <w:r>
                          <w:t>评比活动</w:t>
                        </w:r>
                      </w:p>
                    </w:txbxContent>
                  </v:textbox>
                </v:shape>
                <w10:wrap type="none"/>
                <w10:anchorlock/>
              </v:group>
            </w:pict>
          </mc:Fallback>
        </mc:AlternateContent>
      </w:r>
    </w:p>
    <w:p>
      <w:pPr>
        <w:ind w:firstLine="643"/>
        <w:jc w:val="center"/>
        <w:rPr>
          <w:b/>
          <w:sz w:val="32"/>
          <w:szCs w:val="32"/>
        </w:rPr>
      </w:pPr>
    </w:p>
    <w:p>
      <w:pPr>
        <w:ind w:firstLine="643"/>
        <w:jc w:val="center"/>
        <w:rPr>
          <w:b/>
          <w:sz w:val="32"/>
          <w:szCs w:val="32"/>
        </w:rPr>
      </w:pPr>
    </w:p>
    <w:p>
      <w:pPr>
        <w:ind w:firstLine="643"/>
        <w:jc w:val="center"/>
        <w:rPr>
          <w:b/>
          <w:sz w:val="32"/>
          <w:szCs w:val="32"/>
        </w:rPr>
      </w:pPr>
    </w:p>
    <w:p>
      <w:pPr>
        <w:ind w:firstLine="643"/>
        <w:jc w:val="center"/>
        <w:rPr>
          <w:b/>
          <w:sz w:val="32"/>
          <w:szCs w:val="32"/>
        </w:rPr>
      </w:pPr>
    </w:p>
    <w:p>
      <w:pPr>
        <w:ind w:firstLine="480"/>
      </w:pPr>
      <w:r>
        <w:rPr>
          <w:rFonts w:hint="eastAsia"/>
        </w:rPr>
        <w:t>4.3安全活动制度</w:t>
      </w:r>
    </w:p>
    <w:p>
      <w:pPr>
        <w:ind w:firstLine="480"/>
      </w:pPr>
      <w:r>
        <w:rPr>
          <w:rFonts w:hint="eastAsia"/>
        </w:rPr>
        <w:t>经理部每周一要组织全体工人进行安全教育，对上一周安全方面的问题进行总结，对本周的安全重点和注意事项做必要的交底，使广大工人能心中有数，从意识上时刻绷紧安全这根线。</w:t>
      </w:r>
    </w:p>
    <w:p>
      <w:pPr>
        <w:ind w:firstLine="480"/>
      </w:pPr>
      <w:r>
        <w:rPr>
          <w:rFonts w:hint="eastAsia"/>
        </w:rPr>
        <w:t>4.4定期检查与隐患整改制度</w:t>
      </w:r>
    </w:p>
    <w:p>
      <w:pPr>
        <w:ind w:firstLine="480"/>
      </w:pPr>
      <w:r>
        <w:rPr>
          <w:rFonts w:hint="eastAsia"/>
        </w:rPr>
        <w:t>经理部每周组织一次安全生产检查，对查处的安全隐患必须定措施、定时间、定人员整改，并做好安全隐患、整改记录。</w:t>
      </w:r>
    </w:p>
    <w:p>
      <w:pPr>
        <w:ind w:firstLine="480"/>
      </w:pPr>
      <w:r>
        <w:rPr>
          <w:rFonts w:hint="eastAsia"/>
        </w:rPr>
        <w:t>4.5管理人员实行年审制度</w:t>
      </w:r>
    </w:p>
    <w:p>
      <w:pPr>
        <w:ind w:firstLine="480"/>
      </w:pPr>
      <w:r>
        <w:rPr>
          <w:rFonts w:hint="eastAsia"/>
        </w:rPr>
        <w:t>每年由单位统一组织进行，加强施工管理人员的安全考核，增强安全意识，避免违章指挥。</w:t>
      </w:r>
    </w:p>
    <w:p>
      <w:pPr>
        <w:ind w:firstLine="480"/>
      </w:pPr>
      <w:r>
        <w:rPr>
          <w:rFonts w:hint="eastAsia"/>
        </w:rPr>
        <w:t>4.6实行安全生产奖罚制度与事故报告制度</w:t>
      </w:r>
    </w:p>
    <w:p>
      <w:pPr>
        <w:ind w:firstLine="480"/>
      </w:pPr>
      <w:r>
        <w:rPr>
          <w:rFonts w:hint="eastAsia"/>
        </w:rPr>
        <w:t xml:space="preserve">  危机情况停工制：一旦出现危及职工生命财产安全的险情，要立即停工，同时立即报告有关部门，及时采取措施排除险情。</w:t>
      </w:r>
    </w:p>
    <w:p>
      <w:pPr>
        <w:ind w:firstLine="480"/>
      </w:pPr>
      <w:r>
        <w:rPr>
          <w:rFonts w:hint="eastAsia"/>
        </w:rPr>
        <w:t>4.7持证上岗制度</w:t>
      </w:r>
    </w:p>
    <w:p>
      <w:pPr>
        <w:ind w:firstLine="480"/>
      </w:pPr>
      <w:r>
        <w:rPr>
          <w:rFonts w:hint="eastAsia"/>
        </w:rPr>
        <w:t xml:space="preserve">  特殊工种必须持有上岗操作证，严禁无证操作。</w:t>
      </w:r>
    </w:p>
    <w:p>
      <w:pPr>
        <w:ind w:firstLine="480"/>
      </w:pPr>
      <w:r>
        <w:rPr>
          <w:rFonts w:hint="eastAsia"/>
        </w:rPr>
        <w:t>4.8安全培训制度</w:t>
      </w:r>
    </w:p>
    <w:p>
      <w:pPr>
        <w:ind w:firstLine="480"/>
      </w:pPr>
      <w:r>
        <w:rPr>
          <w:rFonts w:hint="eastAsia"/>
        </w:rPr>
        <w:t xml:space="preserve">  关键技术岗位的特种作业人员，必须参加由政府有关部门组织的安全作业培训，经考试合格并取得特种作业资格证书，才能上岗作业。</w:t>
      </w:r>
    </w:p>
    <w:p>
      <w:pPr>
        <w:ind w:firstLine="480"/>
      </w:pPr>
      <w:r>
        <w:rPr>
          <w:rFonts w:hint="eastAsia"/>
        </w:rPr>
        <w:t>4.9工伤保险制度</w:t>
      </w:r>
    </w:p>
    <w:p>
      <w:pPr>
        <w:ind w:firstLine="480"/>
      </w:pPr>
      <w:r>
        <w:rPr>
          <w:rFonts w:hint="eastAsia"/>
        </w:rPr>
        <w:t xml:space="preserve">  参加工伤社会保险，为从业人员缴纳保险费。</w:t>
      </w:r>
    </w:p>
    <w:p>
      <w:pPr>
        <w:ind w:firstLine="480"/>
      </w:pPr>
      <w:r>
        <w:rPr>
          <w:rFonts w:hint="eastAsia"/>
        </w:rPr>
        <w:t>4.10注册安全工程师制度</w:t>
      </w:r>
    </w:p>
    <w:p>
      <w:pPr>
        <w:ind w:firstLine="480"/>
      </w:pPr>
      <w:r>
        <w:rPr>
          <w:rFonts w:hint="eastAsia"/>
        </w:rPr>
        <w:t xml:space="preserve">  注册安全工程师制度是依据《安全生产法》建立的一项重要制度。人事部和国家安全生产监督管理局已联合颁布《注册安全工程师执业资格制度暂行规定》。注册安全工程师的主要职责是向企业提供安全生产管理服务，协助企业主要负责人做好安全生产工作。在生产活动中推行注册安全工程师制度。</w:t>
      </w:r>
    </w:p>
    <w:p>
      <w:pPr>
        <w:ind w:firstLine="480"/>
      </w:pPr>
      <w:r>
        <w:rPr>
          <w:rFonts w:hint="eastAsia"/>
        </w:rPr>
        <w:t>4.11安全教育制度</w:t>
      </w:r>
    </w:p>
    <w:p>
      <w:pPr>
        <w:ind w:firstLine="480"/>
      </w:pPr>
      <w:r>
        <w:rPr>
          <w:rFonts w:hint="eastAsia"/>
        </w:rPr>
        <w:t xml:space="preserve">  安全教育既是施工企业安全管理工作的重要组成部分，也是施工现场安全生产的一个重要工作方面，安全教育必须贯穿工程施工的全过程。</w:t>
      </w:r>
    </w:p>
    <w:p>
      <w:pPr>
        <w:ind w:firstLine="480"/>
      </w:pPr>
      <w:r>
        <w:rPr>
          <w:rFonts w:hint="eastAsia"/>
        </w:rPr>
        <w:t>4.11.1 安全思想教育：是保证安全生产的思想基础。</w:t>
      </w:r>
    </w:p>
    <w:p>
      <w:pPr>
        <w:ind w:firstLine="480"/>
      </w:pPr>
      <w:r>
        <w:rPr>
          <w:rFonts w:hint="eastAsia"/>
        </w:rPr>
        <w:t>4.11.2 安全知识教育：是安全生产的重点，教育内容有：施工生产一般流程；环境、区域概括介绍，安全生产一般注意事项；企业内外典型事故案例介绍与分析；工种岗位安全生产知识；安全生产技术，安全技术操作规程。</w:t>
      </w:r>
    </w:p>
    <w:p>
      <w:pPr>
        <w:ind w:firstLine="480"/>
      </w:pPr>
      <w:r>
        <w:rPr>
          <w:rFonts w:hint="eastAsia"/>
        </w:rPr>
        <w:t>4.11.3 安全生产法制教育：包括安全生产法规和责任制度；法规和有关条文；安全生产规章制度；摘要介绍受处分的先例。</w:t>
      </w:r>
    </w:p>
    <w:p>
      <w:pPr>
        <w:ind w:firstLine="480"/>
      </w:pPr>
      <w:r>
        <w:rPr>
          <w:rFonts w:hint="eastAsia"/>
        </w:rPr>
        <w:t>4.11.4安全纪律教育：厂规厂纪；职工守则；劳动纪律；安全生产奖惩制度。</w:t>
      </w:r>
    </w:p>
    <w:p>
      <w:pPr>
        <w:ind w:firstLine="480"/>
      </w:pPr>
      <w:r>
        <w:rPr>
          <w:rFonts w:hint="eastAsia"/>
        </w:rPr>
        <w:t>5、施工安全防护措施安全保证措施</w:t>
      </w:r>
    </w:p>
    <w:p>
      <w:pPr>
        <w:ind w:firstLine="480"/>
      </w:pPr>
      <w:r>
        <w:rPr>
          <w:rFonts w:hint="eastAsia"/>
        </w:rPr>
        <w:t>5.1脚手架搭设</w:t>
      </w:r>
    </w:p>
    <w:p>
      <w:pPr>
        <w:ind w:firstLine="480"/>
      </w:pPr>
      <w:r>
        <w:rPr>
          <w:rFonts w:hint="eastAsia"/>
        </w:rPr>
        <w:t>5.1.1 脚手架搭设与临边防护均采用Φ48×3.5钢管作为基材，以扣件固定。搭设前钢管油漆成红白色标杆。</w:t>
      </w:r>
    </w:p>
    <w:p>
      <w:pPr>
        <w:ind w:firstLine="480"/>
      </w:pPr>
      <w:r>
        <w:rPr>
          <w:rFonts w:hint="eastAsia"/>
        </w:rPr>
        <w:t>5.1.2 脚手架钢管搭接长度不小于40cm，不少于2个扣件，扣件设置钢管未端不少于5cm，各类扣件必须紧固，使之扭力距达到4.5～56kN·m。</w:t>
      </w:r>
    </w:p>
    <w:p>
      <w:pPr>
        <w:ind w:firstLine="480"/>
      </w:pPr>
      <w:r>
        <w:rPr>
          <w:rFonts w:hint="eastAsia"/>
        </w:rPr>
        <w:t>5.1.3 脚手架施工完毕经验收合格后挂牌施工，架件外侧设置醒目的安全标志，夜间施工配足照明灯光。</w:t>
      </w:r>
    </w:p>
    <w:p>
      <w:pPr>
        <w:ind w:firstLine="480"/>
      </w:pPr>
      <w:r>
        <w:rPr>
          <w:rFonts w:hint="eastAsia"/>
        </w:rPr>
        <w:t>5.1.4 脚手架拆除，按后搭先拆、先搭后拆，自上而下逐步下降的原则进行，并设专人看管，在拆除时禁止向下乱抛物件，做好落手清。</w:t>
      </w:r>
    </w:p>
    <w:p>
      <w:pPr>
        <w:ind w:firstLine="480"/>
      </w:pPr>
      <w:r>
        <w:rPr>
          <w:rFonts w:hint="eastAsia"/>
        </w:rPr>
        <w:t>5.1.5 施工人员在脚手架上进行施工时，根据高度和建筑物类型的不同，根据实际情况配置相应防护用品。</w:t>
      </w:r>
    </w:p>
    <w:p>
      <w:pPr>
        <w:ind w:firstLine="480"/>
      </w:pPr>
      <w:r>
        <w:rPr>
          <w:rFonts w:hint="eastAsia"/>
        </w:rPr>
        <w:t>5.2夜间施工措施</w:t>
      </w:r>
    </w:p>
    <w:p>
      <w:pPr>
        <w:ind w:firstLine="480"/>
      </w:pPr>
      <w:r>
        <w:rPr>
          <w:rFonts w:hint="eastAsia"/>
        </w:rPr>
        <w:t>由于该工程工作量大，工期紧，整个工程施工期间必须安排夜间施工，因此应做好夜间施工准备工作。</w:t>
      </w:r>
    </w:p>
    <w:p>
      <w:pPr>
        <w:ind w:firstLine="480"/>
      </w:pPr>
      <w:r>
        <w:rPr>
          <w:rFonts w:hint="eastAsia"/>
        </w:rPr>
        <w:t>5.2.1 首先从工序及工艺要求上选择安排适于夜间施工的工作，夜间主要安排回填土压实、土方外排、钢筋加工、沟槽下管等。</w:t>
      </w:r>
    </w:p>
    <w:p>
      <w:pPr>
        <w:ind w:firstLine="480"/>
      </w:pPr>
      <w:r>
        <w:rPr>
          <w:rFonts w:hint="eastAsia"/>
        </w:rPr>
        <w:t>5.2.2 设专职夜间施工安全员4名，确保夜间施工安全并对夜间施工人员、司机等进行专项安全培训。</w:t>
      </w:r>
    </w:p>
    <w:p>
      <w:pPr>
        <w:ind w:firstLine="480"/>
      </w:pPr>
      <w:r>
        <w:rPr>
          <w:rFonts w:hint="eastAsia"/>
        </w:rPr>
        <w:t>5.2.3 各夜间施工段设专人负责，确保施工质量及安全。项目部安排好夜间施工值班表，项目成员通讯工具夜间正常运行，以便及时处理问题。</w:t>
      </w:r>
    </w:p>
    <w:p>
      <w:pPr>
        <w:ind w:firstLine="480"/>
      </w:pPr>
      <w:r>
        <w:rPr>
          <w:rFonts w:hint="eastAsia"/>
        </w:rPr>
        <w:t>5.2.4 施工中产生的沟、井、槽、坑应设置分隔设施和警示标志及夜间警示灯，分隔设施做到连续、稳固。如遇恶劣天气应设专人值班，确保夜间施工安全。</w:t>
      </w:r>
    </w:p>
    <w:p>
      <w:pPr>
        <w:ind w:firstLine="480"/>
      </w:pPr>
      <w:r>
        <w:rPr>
          <w:rFonts w:hint="eastAsia"/>
        </w:rPr>
        <w:t>5.2.5 控制使用强噪声、强振动的施工机具，防止扰民。22点以后禁止使用电锯、电刨、混凝土振捣器等强噪声施工机具。如确因工期或施工技术要求夜间施工的，施工单位会同建设单位办理有关许可手续，并告知周边单位、居民。</w:t>
      </w:r>
    </w:p>
    <w:p>
      <w:pPr>
        <w:ind w:firstLine="480"/>
      </w:pPr>
      <w:r>
        <w:rPr>
          <w:rFonts w:hint="eastAsia"/>
        </w:rPr>
        <w:t>5.3其它安全措施</w:t>
      </w:r>
    </w:p>
    <w:p>
      <w:pPr>
        <w:ind w:firstLine="480"/>
      </w:pPr>
      <w:r>
        <w:rPr>
          <w:rFonts w:hint="eastAsia"/>
        </w:rPr>
        <w:t>5.3.1 凡进入现场的人员，均要服从值班员指挥，遵守各项安全生产管理制度，正确使用个人防护用品。操作人员必须配戴安全帽，无安全帽者不得进入施工现场进行施工。禁止穿拖鞋、高跟鞋或光脚进入施工现场。</w:t>
      </w:r>
    </w:p>
    <w:p>
      <w:pPr>
        <w:ind w:firstLine="480"/>
      </w:pPr>
      <w:r>
        <w:rPr>
          <w:rFonts w:hint="eastAsia"/>
        </w:rPr>
        <w:t>5.3.2 抓好现场管理，搞好文明施工，经常保持现场管线整齐。灯明、路平、无积水。易燃、易爆物品仓库要设专人防守，危险区要设有栏杆和标志，备齐消防器材，并能防盗。</w:t>
      </w:r>
    </w:p>
    <w:p>
      <w:pPr>
        <w:ind w:firstLine="480"/>
      </w:pPr>
      <w:r>
        <w:rPr>
          <w:rFonts w:hint="eastAsia"/>
        </w:rPr>
        <w:t>5.3.3 生活区、拌和站、加工场，要符合防水要求，切实做好防洪、防火、防中毒、防淹等工作。杜绝重大伤亡事故，减少一般性事故。</w:t>
      </w:r>
    </w:p>
    <w:p>
      <w:pPr>
        <w:ind w:firstLine="480"/>
      </w:pPr>
      <w:r>
        <w:rPr>
          <w:rFonts w:hint="eastAsia"/>
        </w:rPr>
        <w:t>5.3.4 施工场地的油库、料库、拌和站、变压器等临时设施，设置防雷装置，防止雷击。</w:t>
      </w:r>
    </w:p>
    <w:p>
      <w:pPr>
        <w:ind w:firstLine="480"/>
      </w:pPr>
      <w:r>
        <w:rPr>
          <w:rFonts w:hint="eastAsia"/>
        </w:rPr>
        <w:t>5.3.5 经常与当地政府及厂区负责人联系，密切同当地群众的关系，征求意见，改进工作，严肃群众纪律，搞好工农联防，共同做好施工期间的安全工作。</w:t>
      </w:r>
    </w:p>
    <w:p>
      <w:pPr>
        <w:ind w:firstLine="480"/>
      </w:pPr>
      <w:r>
        <w:rPr>
          <w:rFonts w:hint="eastAsia"/>
        </w:rPr>
        <w:t>5.4、既有构筑物及线杆拆除施工</w:t>
      </w:r>
    </w:p>
    <w:p>
      <w:pPr>
        <w:ind w:firstLine="480"/>
      </w:pPr>
      <w:r>
        <w:rPr>
          <w:rFonts w:hint="eastAsia"/>
        </w:rPr>
        <w:t>5.4.1、施工机械应设专人指挥，</w:t>
      </w:r>
    </w:p>
    <w:p>
      <w:pPr>
        <w:ind w:firstLine="480"/>
      </w:pPr>
      <w:r>
        <w:rPr>
          <w:rFonts w:hint="eastAsia"/>
        </w:rPr>
        <w:t>5.4.2、施工区域内设置警示标牌，无关人员禁止入内</w:t>
      </w:r>
    </w:p>
    <w:p>
      <w:pPr>
        <w:ind w:firstLine="480"/>
      </w:pPr>
      <w:r>
        <w:rPr>
          <w:rFonts w:hint="eastAsia"/>
        </w:rPr>
        <w:t>5.4.3、拆除施工应由上向下进行，施工人员施工时应佩戴安全帽防治高空坠物</w:t>
      </w:r>
    </w:p>
    <w:p>
      <w:pPr>
        <w:ind w:firstLine="480"/>
      </w:pPr>
      <w:r>
        <w:rPr>
          <w:rFonts w:hint="eastAsia"/>
        </w:rPr>
        <w:t>6、防火措施</w:t>
      </w:r>
    </w:p>
    <w:p>
      <w:pPr>
        <w:ind w:firstLine="480"/>
      </w:pPr>
      <w:r>
        <w:rPr>
          <w:rFonts w:hint="eastAsia"/>
        </w:rPr>
        <w:t>6.1 对全体施工人员进行防火教育，培训兼职消防员，建立健全防火组织机构及防火规章制度。</w:t>
      </w:r>
    </w:p>
    <w:p>
      <w:pPr>
        <w:ind w:firstLine="480"/>
      </w:pPr>
      <w:r>
        <w:rPr>
          <w:rFonts w:hint="eastAsia"/>
        </w:rPr>
        <w:t>6.2 施工现场配备充足的消防器材，设立防火警示标志。</w:t>
      </w:r>
    </w:p>
    <w:p>
      <w:pPr>
        <w:ind w:firstLine="480"/>
      </w:pPr>
      <w:r>
        <w:rPr>
          <w:rFonts w:hint="eastAsia"/>
        </w:rPr>
        <w:t>6.3 用火地区要采取一定隔离防火措施，生活区及工地重要电器设施周围，设置接地或避雷装置，防止雷击起火。</w:t>
      </w:r>
    </w:p>
    <w:p>
      <w:pPr>
        <w:ind w:firstLine="480"/>
      </w:pPr>
      <w:r>
        <w:rPr>
          <w:rFonts w:hint="eastAsia"/>
        </w:rPr>
        <w:t>6.4 仓库及料场配置灭火器，并设置醒目的禁止烟火标志。油罐等易然危险品储存处严禁带火种入内，并安排专人值班。</w:t>
      </w:r>
    </w:p>
    <w:p>
      <w:pPr>
        <w:ind w:firstLine="480"/>
      </w:pPr>
      <w:r>
        <w:rPr>
          <w:rFonts w:hint="eastAsia"/>
        </w:rPr>
        <w:t>6.5 设专职防火检查员巡查，发现火患及时采取措施灭火，对违反防火规章制度的人员进行严厉处罚。</w:t>
      </w:r>
    </w:p>
    <w:p>
      <w:pPr>
        <w:ind w:firstLine="480"/>
      </w:pPr>
      <w:r>
        <w:rPr>
          <w:rFonts w:hint="eastAsia"/>
        </w:rPr>
        <w:t>7、施工现场临时用电安全措施</w:t>
      </w:r>
    </w:p>
    <w:p>
      <w:pPr>
        <w:ind w:firstLine="480"/>
      </w:pPr>
      <w:r>
        <w:rPr>
          <w:rFonts w:hint="eastAsia"/>
        </w:rPr>
        <w:t>对全体施工人员进行安全用电教育，建立健全安全用电规章制度。在施工现场临时电源、配电箱等电源搭设装置周围设立警示标志。</w:t>
      </w:r>
    </w:p>
    <w:p>
      <w:pPr>
        <w:ind w:firstLine="480"/>
      </w:pPr>
      <w:r>
        <w:rPr>
          <w:rFonts w:hint="eastAsia"/>
        </w:rPr>
        <w:t>7.1 支线架设</w:t>
      </w:r>
      <w:r>
        <w:rPr>
          <w:rFonts w:hint="eastAsia"/>
        </w:rPr>
        <w:tab/>
      </w:r>
    </w:p>
    <w:p>
      <w:pPr>
        <w:ind w:firstLine="480"/>
      </w:pPr>
      <w:r>
        <w:rPr>
          <w:rFonts w:hint="eastAsia"/>
        </w:rPr>
        <w:t>7.1.1 配电箱的电缆线应有套管，电线进出不混乱，大容量电箱上进线加滴水弯。</w:t>
      </w:r>
    </w:p>
    <w:p>
      <w:pPr>
        <w:ind w:firstLine="480"/>
      </w:pPr>
      <w:r>
        <w:rPr>
          <w:rFonts w:hint="eastAsia"/>
        </w:rPr>
        <w:t>7.1.2 支线绝缘好，无老化、破损和漏电。</w:t>
      </w:r>
    </w:p>
    <w:p>
      <w:pPr>
        <w:ind w:firstLine="480"/>
      </w:pPr>
      <w:r>
        <w:rPr>
          <w:rFonts w:hint="eastAsia"/>
        </w:rPr>
        <w:t>7.1.3 支线应沿墙或电杆架空敷设，并用绝缘子固定。</w:t>
      </w:r>
    </w:p>
    <w:p>
      <w:pPr>
        <w:ind w:firstLine="480"/>
      </w:pPr>
      <w:r>
        <w:rPr>
          <w:rFonts w:hint="eastAsia"/>
        </w:rPr>
        <w:t>7.1.4 过道电线采用硬质护套管理地并作标记。</w:t>
      </w:r>
    </w:p>
    <w:p>
      <w:pPr>
        <w:ind w:firstLine="480"/>
      </w:pPr>
      <w:r>
        <w:rPr>
          <w:rFonts w:hint="eastAsia"/>
        </w:rPr>
        <w:t>7.1.5 室外支线用橡皮线架空，接头不受拉力并符合绝缘要求。</w:t>
      </w:r>
    </w:p>
    <w:p>
      <w:pPr>
        <w:ind w:firstLine="480"/>
      </w:pPr>
      <w:r>
        <w:rPr>
          <w:rFonts w:hint="eastAsia"/>
        </w:rPr>
        <w:t>7.2 现场照明</w:t>
      </w:r>
    </w:p>
    <w:p>
      <w:pPr>
        <w:ind w:firstLine="480"/>
      </w:pPr>
      <w:r>
        <w:rPr>
          <w:rFonts w:hint="eastAsia"/>
        </w:rPr>
        <w:t>7.2.1 危险、潮湿场所和手持照明灯具采用符合要求的安全电压。</w:t>
      </w:r>
    </w:p>
    <w:p>
      <w:pPr>
        <w:ind w:firstLine="480"/>
      </w:pPr>
      <w:r>
        <w:rPr>
          <w:rFonts w:hint="eastAsia"/>
        </w:rPr>
        <w:t>7.2.2 照明导线有绝缘子固定。严禁使用花线或塑料胶质线。导线不得随地拖拉或绑在脚手架上。</w:t>
      </w:r>
    </w:p>
    <w:p>
      <w:pPr>
        <w:ind w:firstLine="480"/>
      </w:pPr>
      <w:r>
        <w:rPr>
          <w:rFonts w:hint="eastAsia"/>
        </w:rPr>
        <w:t>7.2.3 照明灯具的金属外壳必须接地或接零。单相回路内的照明开关箱必须装设漏电保护器。</w:t>
      </w:r>
    </w:p>
    <w:p>
      <w:pPr>
        <w:ind w:firstLine="480"/>
      </w:pPr>
      <w:r>
        <w:rPr>
          <w:rFonts w:hint="eastAsia"/>
        </w:rPr>
        <w:t>7.2.4 室外照明灯具距地面不得低于3m；室内距地面不得低于2.4m。</w:t>
      </w:r>
    </w:p>
    <w:p>
      <w:pPr>
        <w:ind w:firstLine="480"/>
      </w:pPr>
      <w:r>
        <w:rPr>
          <w:rFonts w:hint="eastAsia"/>
        </w:rPr>
        <w:t>7.3 架空线</w:t>
      </w:r>
    </w:p>
    <w:p>
      <w:pPr>
        <w:ind w:firstLine="480"/>
      </w:pPr>
      <w:r>
        <w:rPr>
          <w:rFonts w:hint="eastAsia"/>
        </w:rPr>
        <w:t>7.3.1 架空线必须设在专用电杆上，严禁架设在树或脚手架上。</w:t>
      </w:r>
    </w:p>
    <w:p>
      <w:pPr>
        <w:ind w:firstLine="480"/>
      </w:pPr>
      <w:r>
        <w:rPr>
          <w:rFonts w:hint="eastAsia"/>
        </w:rPr>
        <w:t>7.3.2 架空线装设横担和绝缘子，其规格、线间距离、档距离等符合架空线路要求，其电板线离地2.5m以上应加绝缘子。</w:t>
      </w:r>
    </w:p>
    <w:p>
      <w:pPr>
        <w:ind w:firstLine="480"/>
      </w:pPr>
      <w:r>
        <w:rPr>
          <w:rFonts w:hint="eastAsia"/>
        </w:rPr>
        <w:t>7.3.3 架空线离地4m以上，机动车道为6m以上。</w:t>
      </w:r>
    </w:p>
    <w:p>
      <w:pPr>
        <w:ind w:firstLine="480"/>
      </w:pPr>
      <w:r>
        <w:rPr>
          <w:rFonts w:hint="eastAsia"/>
        </w:rPr>
        <w:t>7.4 用电设备</w:t>
      </w:r>
    </w:p>
    <w:p>
      <w:pPr>
        <w:ind w:firstLine="480"/>
      </w:pPr>
      <w:r>
        <w:rPr>
          <w:rFonts w:hint="eastAsia"/>
        </w:rPr>
        <w:t>7.4.1 施工用电设施投入运行前，明确管理及维修人员的职责和管理范围。电力施工人员必须持证上岗、有处理触电者的紧急救护的能力。</w:t>
      </w:r>
    </w:p>
    <w:p>
      <w:pPr>
        <w:ind w:firstLine="480"/>
      </w:pPr>
      <w:r>
        <w:rPr>
          <w:rFonts w:hint="eastAsia"/>
        </w:rPr>
        <w:t>7.4.2 使用电动工具的人员，要戴绝缘手套。在潮湿现场作业，要穿绝缘鞋。电动工具要装安全防护罩。使用时不得用手触刃具、模具、砂轮等，要按国家规定进行定期检查和维修。</w:t>
      </w:r>
    </w:p>
    <w:p>
      <w:pPr>
        <w:ind w:firstLine="480"/>
      </w:pPr>
      <w:r>
        <w:rPr>
          <w:rFonts w:hint="eastAsia"/>
        </w:rPr>
        <w:t>7.4.3 加强用电管理，严格执行“三相五线制”和“一机一闸一保护”，配电箱全部采用标准规格，熔丝搭配合理，人走上锁，进出电缆整齐有序。机电设备专人管理，严禁非电工私拉、乱扯乱动机电设备。</w:t>
      </w:r>
    </w:p>
    <w:p>
      <w:pPr>
        <w:ind w:firstLine="480"/>
      </w:pPr>
      <w:r>
        <w:rPr>
          <w:rFonts w:hint="eastAsia"/>
        </w:rPr>
        <w:t>7.4.4 施工用电、管线的安装符合规定，排列整齐，禁止任意拉线、接电。夜间施工保证有充足的照明。</w:t>
      </w:r>
    </w:p>
    <w:p>
      <w:pPr>
        <w:ind w:firstLine="480"/>
      </w:pPr>
      <w:r>
        <w:rPr>
          <w:rFonts w:hint="eastAsia"/>
        </w:rPr>
        <w:t>7.4.5 雨天时，对所有用电设备进行覆盖，并安装漏电保护器。</w:t>
      </w:r>
    </w:p>
    <w:p>
      <w:pPr>
        <w:ind w:firstLine="480"/>
      </w:pPr>
      <w:r>
        <w:rPr>
          <w:rFonts w:hint="eastAsia"/>
        </w:rPr>
        <w:t>8、机械设备安全管理措施</w:t>
      </w:r>
    </w:p>
    <w:p>
      <w:pPr>
        <w:ind w:firstLine="480"/>
      </w:pPr>
      <w:r>
        <w:rPr>
          <w:rFonts w:hint="eastAsia"/>
        </w:rPr>
        <w:t>8.1 根据该项目部所需工种，制订各工种的安全操作规程，对操作人员事先进行岗位培训，做到持证上岗操作，同时对各种机械设备在使用过程中进行检查、保养，以确保人机安全，正常生产。</w:t>
      </w:r>
    </w:p>
    <w:p>
      <w:pPr>
        <w:ind w:firstLine="480"/>
      </w:pPr>
      <w:r>
        <w:rPr>
          <w:rFonts w:hint="eastAsia"/>
        </w:rPr>
        <w:t>8.2 严格要求机械操作人员一丝不苟地按操作规程操作，坚决杜绝违章驾驶和违章作业，特殊工种持证上岗，杜绝违章指挥。</w:t>
      </w:r>
    </w:p>
    <w:p>
      <w:pPr>
        <w:ind w:firstLine="480"/>
      </w:pPr>
      <w:r>
        <w:rPr>
          <w:rFonts w:hint="eastAsia"/>
        </w:rPr>
        <w:t>8.3 我公司所有机械设备在施工现场佩戴、涂刷统一VI识别标志。运行遵守交通法规，车辆在工地运输过程中，要按指定的路线行驶，在车辆交叉地点设专人负责交叉车辆的了望。</w:t>
      </w:r>
    </w:p>
    <w:p>
      <w:pPr>
        <w:ind w:firstLine="480"/>
      </w:pPr>
      <w:r>
        <w:rPr>
          <w:rFonts w:hint="eastAsia"/>
        </w:rPr>
        <w:t>8.4 加强机械养护维修，机械停止运转后，机械维护人员立即对机械进行维护保养，保证机械正常运转。</w:t>
      </w:r>
    </w:p>
    <w:p>
      <w:pPr>
        <w:ind w:firstLine="480"/>
      </w:pPr>
      <w:r>
        <w:rPr>
          <w:rFonts w:hint="eastAsia"/>
        </w:rPr>
        <w:t>8.5 安全员及机械负责人负责机械设备安全检查，组织分析事故隐患，采取预防措施，发现紧急情况，有权停止作业，并立即汇报项目经理。</w:t>
      </w:r>
    </w:p>
    <w:p>
      <w:pPr>
        <w:ind w:firstLine="480"/>
      </w:pPr>
      <w:r>
        <w:rPr>
          <w:rFonts w:hint="eastAsia"/>
        </w:rPr>
        <w:t>8.6 操作手有权拒绝违章作业的指令，对他人违章作业劝阻和制止。</w:t>
      </w:r>
    </w:p>
    <w:p>
      <w:pPr>
        <w:ind w:firstLine="480"/>
      </w:pPr>
      <w:r>
        <w:rPr>
          <w:rFonts w:hint="eastAsia"/>
        </w:rPr>
        <w:t xml:space="preserve"> 9、上岗人员安全培训计划</w:t>
      </w:r>
    </w:p>
    <w:p>
      <w:pPr>
        <w:ind w:firstLine="480"/>
      </w:pPr>
      <w:r>
        <w:rPr>
          <w:rFonts w:hint="eastAsia"/>
        </w:rPr>
        <w:t>9.1为加强和规范安全生产培训管理工作，保证安全生产特制定本计划。</w:t>
      </w:r>
    </w:p>
    <w:p>
      <w:pPr>
        <w:ind w:firstLine="480"/>
      </w:pPr>
      <w:r>
        <w:rPr>
          <w:rFonts w:hint="eastAsia"/>
        </w:rPr>
        <w:t>为保证本工程上岗人员满足安全生产技能，拟投入30万元资金，选择合适的时机，分别于开工前5天专门进行工程施工过程中的培训，培训机构选定为秦皇岛市安检局作为专门的培训机构。培训时间累计20小时以上。</w:t>
      </w:r>
    </w:p>
    <w:p>
      <w:pPr>
        <w:ind w:firstLine="480"/>
      </w:pPr>
      <w:r>
        <w:rPr>
          <w:rFonts w:hint="eastAsia"/>
        </w:rPr>
        <w:t>9.2未经安全培训合格的从业人员，不得上岗作业</w:t>
      </w:r>
    </w:p>
    <w:p>
      <w:pPr>
        <w:ind w:firstLine="480"/>
      </w:pPr>
      <w:r>
        <w:rPr>
          <w:rFonts w:hint="eastAsia"/>
        </w:rPr>
        <w:t>9.3培训内容</w:t>
      </w:r>
    </w:p>
    <w:p>
      <w:pPr>
        <w:ind w:firstLine="480"/>
      </w:pPr>
      <w:r>
        <w:rPr>
          <w:rFonts w:hint="eastAsia"/>
        </w:rPr>
        <w:t>9.3.1负责人安全培训应当包括下列内容：</w:t>
      </w:r>
    </w:p>
    <w:p>
      <w:pPr>
        <w:ind w:firstLine="480"/>
      </w:pPr>
      <w:r>
        <w:rPr>
          <w:rFonts w:hint="eastAsia"/>
        </w:rPr>
        <w:t>（1）国家安全生产方针、政策和有关安全生产的法律、法规、规章及标准；</w:t>
      </w:r>
    </w:p>
    <w:p>
      <w:pPr>
        <w:ind w:firstLine="480"/>
      </w:pPr>
      <w:r>
        <w:rPr>
          <w:rFonts w:hint="eastAsia"/>
        </w:rPr>
        <w:t>（2）安全生产管理基本知识、安全生产技术、安全生产专业知识；</w:t>
      </w:r>
    </w:p>
    <w:p>
      <w:pPr>
        <w:ind w:firstLine="480"/>
      </w:pPr>
      <w:r>
        <w:rPr>
          <w:rFonts w:hint="eastAsia"/>
        </w:rPr>
        <w:t>（3）重大危险源管理、重大事故防范、应急管理和救援组织以及事故调查处理的有关规定；</w:t>
      </w:r>
    </w:p>
    <w:p>
      <w:pPr>
        <w:ind w:firstLine="480"/>
      </w:pPr>
      <w:r>
        <w:rPr>
          <w:rFonts w:hint="eastAsia"/>
        </w:rPr>
        <w:t>（4）职业危害及其预防措施；</w:t>
      </w:r>
    </w:p>
    <w:p>
      <w:pPr>
        <w:ind w:firstLine="480"/>
      </w:pPr>
      <w:r>
        <w:rPr>
          <w:rFonts w:hint="eastAsia"/>
        </w:rPr>
        <w:t>（5）国内外先进的安全生产管理经验；</w:t>
      </w:r>
    </w:p>
    <w:p>
      <w:pPr>
        <w:ind w:firstLine="480"/>
      </w:pPr>
      <w:r>
        <w:rPr>
          <w:rFonts w:hint="eastAsia"/>
        </w:rPr>
        <w:t>（6）典型事故和应急救援案例分析；</w:t>
      </w:r>
    </w:p>
    <w:p>
      <w:pPr>
        <w:ind w:firstLine="480"/>
      </w:pPr>
      <w:r>
        <w:rPr>
          <w:rFonts w:hint="eastAsia"/>
        </w:rPr>
        <w:t>（7）其他需要培训的内容。</w:t>
      </w:r>
    </w:p>
    <w:p>
      <w:pPr>
        <w:ind w:firstLine="480"/>
      </w:pPr>
      <w:r>
        <w:rPr>
          <w:rFonts w:hint="eastAsia"/>
        </w:rPr>
        <w:t>9.3.2安全生产管理人员安全培训应当包括下列内容：</w:t>
      </w:r>
    </w:p>
    <w:p>
      <w:pPr>
        <w:ind w:firstLine="480"/>
      </w:pPr>
      <w:r>
        <w:rPr>
          <w:rFonts w:hint="eastAsia"/>
        </w:rPr>
        <w:t>（1）国家安全生产方针、政策和有关安全生产的法律、法规、规章及标准；</w:t>
      </w:r>
    </w:p>
    <w:p>
      <w:pPr>
        <w:ind w:firstLine="480"/>
      </w:pPr>
      <w:r>
        <w:rPr>
          <w:rFonts w:hint="eastAsia"/>
        </w:rPr>
        <w:t>（2）安全生产管理、安全生产技术、职业卫生等知识；</w:t>
      </w:r>
    </w:p>
    <w:p>
      <w:pPr>
        <w:ind w:firstLine="480"/>
      </w:pPr>
      <w:r>
        <w:rPr>
          <w:rFonts w:hint="eastAsia"/>
        </w:rPr>
        <w:t>（3）伤亡事故统计、报告及职业危害的调查处理方法；</w:t>
      </w:r>
    </w:p>
    <w:p>
      <w:pPr>
        <w:ind w:firstLine="480"/>
      </w:pPr>
      <w:r>
        <w:rPr>
          <w:rFonts w:hint="eastAsia"/>
        </w:rPr>
        <w:t>（4）应急管理、应急预案编制以及应急处置的内容和要求；</w:t>
      </w:r>
    </w:p>
    <w:p>
      <w:pPr>
        <w:ind w:firstLine="480"/>
      </w:pPr>
      <w:r>
        <w:rPr>
          <w:rFonts w:hint="eastAsia"/>
        </w:rPr>
        <w:t>（5）国内外先进的安全生产管理经验；</w:t>
      </w:r>
    </w:p>
    <w:p>
      <w:pPr>
        <w:ind w:firstLine="480"/>
      </w:pPr>
      <w:r>
        <w:rPr>
          <w:rFonts w:hint="eastAsia"/>
        </w:rPr>
        <w:t>（6）典型事故和应急救援案例分析；</w:t>
      </w:r>
    </w:p>
    <w:p>
      <w:pPr>
        <w:ind w:firstLine="480"/>
      </w:pPr>
      <w:r>
        <w:rPr>
          <w:rFonts w:hint="eastAsia"/>
        </w:rPr>
        <w:t>（7）其他需要培训的内容。</w:t>
      </w:r>
    </w:p>
    <w:p>
      <w:pPr>
        <w:ind w:firstLine="480"/>
      </w:pPr>
      <w:r>
        <w:rPr>
          <w:rFonts w:hint="eastAsia"/>
        </w:rPr>
        <w:t>9.3.3其他从业人员安全培训包括以下内容：</w:t>
      </w:r>
    </w:p>
    <w:p>
      <w:pPr>
        <w:ind w:firstLine="480"/>
      </w:pPr>
      <w:r>
        <w:rPr>
          <w:rFonts w:hint="eastAsia"/>
        </w:rPr>
        <w:t>（1）本单位安全生产情况及安全生产基本知识；</w:t>
      </w:r>
    </w:p>
    <w:p>
      <w:pPr>
        <w:ind w:firstLine="480"/>
      </w:pPr>
      <w:r>
        <w:rPr>
          <w:rFonts w:hint="eastAsia"/>
        </w:rPr>
        <w:t>（2）本单位安全生产规章制度和劳动纪律；</w:t>
      </w:r>
    </w:p>
    <w:p>
      <w:pPr>
        <w:ind w:firstLine="480"/>
      </w:pPr>
      <w:r>
        <w:rPr>
          <w:rFonts w:hint="eastAsia"/>
        </w:rPr>
        <w:t>（3）工作岗位环境及危险因素；</w:t>
      </w:r>
    </w:p>
    <w:p>
      <w:pPr>
        <w:ind w:firstLine="480"/>
      </w:pPr>
      <w:r>
        <w:rPr>
          <w:rFonts w:hint="eastAsia"/>
        </w:rPr>
        <w:t>（4）所从事工种预防事故和职业危害的措施及应注意的安全事项；</w:t>
      </w:r>
    </w:p>
    <w:p>
      <w:pPr>
        <w:ind w:firstLine="480"/>
      </w:pPr>
      <w:r>
        <w:rPr>
          <w:rFonts w:hint="eastAsia"/>
        </w:rPr>
        <w:t>（5）所从事工种的安全职责、操作技能及强制性标准；</w:t>
      </w:r>
    </w:p>
    <w:p>
      <w:pPr>
        <w:ind w:firstLine="480"/>
      </w:pPr>
      <w:r>
        <w:rPr>
          <w:rFonts w:hint="eastAsia"/>
        </w:rPr>
        <w:t>（6）自救互救、急救方法、疏散和现场紧急情况的处理；</w:t>
      </w:r>
    </w:p>
    <w:p>
      <w:pPr>
        <w:ind w:firstLine="480"/>
      </w:pPr>
      <w:r>
        <w:rPr>
          <w:rFonts w:hint="eastAsia"/>
        </w:rPr>
        <w:t>（7）事故应急救援、事故应急预案演练及防范措施；</w:t>
      </w:r>
    </w:p>
    <w:p>
      <w:pPr>
        <w:ind w:firstLine="480"/>
      </w:pPr>
      <w:r>
        <w:rPr>
          <w:rFonts w:hint="eastAsia"/>
        </w:rPr>
        <w:t>（8）安全设备设施、个人防护用品的使用和维护；</w:t>
      </w:r>
    </w:p>
    <w:p>
      <w:pPr>
        <w:ind w:firstLine="480"/>
      </w:pPr>
      <w:r>
        <w:rPr>
          <w:rFonts w:hint="eastAsia"/>
        </w:rPr>
        <w:t>（9）9从业人员安全生产权利和义务；</w:t>
      </w:r>
    </w:p>
    <w:p>
      <w:pPr>
        <w:ind w:firstLine="480"/>
      </w:pPr>
      <w:r>
        <w:rPr>
          <w:rFonts w:hint="eastAsia"/>
        </w:rPr>
        <w:t>（10）有关事故案例及其他需要培训的内容。</w:t>
      </w:r>
    </w:p>
    <w:p>
      <w:pPr>
        <w:ind w:firstLine="480"/>
      </w:pPr>
      <w:r>
        <w:rPr>
          <w:rFonts w:hint="eastAsia"/>
        </w:rPr>
        <w:t>9.4安全培训达到的目标性</w:t>
      </w:r>
    </w:p>
    <w:p>
      <w:pPr>
        <w:ind w:firstLine="480"/>
      </w:pPr>
      <w:r>
        <w:rPr>
          <w:rFonts w:hint="eastAsia"/>
        </w:rPr>
        <w:t>9.4.1负责人和安全生产管理人员、特种作业人员安全培训工作，必须由省以上安监部门认定的具备相应资质的安全培训机构实施。</w:t>
      </w:r>
    </w:p>
    <w:p>
      <w:pPr>
        <w:ind w:firstLine="480"/>
      </w:pPr>
      <w:r>
        <w:rPr>
          <w:rFonts w:hint="eastAsia"/>
        </w:rPr>
        <w:t>9.4.2其他从业人员必须经安全培训合格，具备安全操作、自救互救以及应急处置所需的知识和技能，方可安排上岗作业。</w:t>
      </w:r>
    </w:p>
    <w:p>
      <w:pPr>
        <w:ind w:firstLine="480"/>
      </w:pPr>
      <w:r>
        <w:rPr>
          <w:rFonts w:hint="eastAsia"/>
        </w:rPr>
        <w:t>9.5培训效果的检验</w:t>
      </w:r>
    </w:p>
    <w:p>
      <w:pPr>
        <w:ind w:firstLine="480"/>
      </w:pPr>
      <w:r>
        <w:rPr>
          <w:rFonts w:hint="eastAsia"/>
        </w:rPr>
        <w:t>通过生产实践检验培训效果。</w:t>
      </w:r>
    </w:p>
    <w:p>
      <w:pPr>
        <w:ind w:firstLine="480"/>
      </w:pPr>
      <w:bookmarkStart w:id="340" w:name="_Toc212799467"/>
      <w:bookmarkStart w:id="341" w:name="_Toc212890536"/>
      <w:bookmarkStart w:id="342" w:name="_Toc209779298"/>
      <w:bookmarkStart w:id="343" w:name="_Toc209926880"/>
      <w:bookmarkStart w:id="344" w:name="_Toc206234112"/>
      <w:bookmarkStart w:id="345" w:name="_Toc210121772"/>
      <w:bookmarkStart w:id="346" w:name="_Toc210121989"/>
      <w:bookmarkStart w:id="347" w:name="_Toc212633801"/>
      <w:bookmarkStart w:id="348" w:name="_Toc212954896"/>
      <w:bookmarkStart w:id="349" w:name="_Toc212961669"/>
      <w:bookmarkStart w:id="350" w:name="_Toc212962480"/>
      <w:bookmarkStart w:id="351" w:name="_Toc210121539"/>
      <w:bookmarkStart w:id="352" w:name="_Toc211223815"/>
      <w:bookmarkStart w:id="353" w:name="_Toc210965808"/>
      <w:bookmarkStart w:id="354" w:name="_Toc210782809"/>
      <w:bookmarkStart w:id="355" w:name="_Toc210279032"/>
      <w:bookmarkStart w:id="356" w:name="_Toc211134846"/>
      <w:bookmarkStart w:id="357" w:name="_Toc211239579"/>
      <w:bookmarkStart w:id="358" w:name="_Toc212710141"/>
      <w:bookmarkStart w:id="359" w:name="_Toc211239477"/>
      <w:bookmarkStart w:id="360" w:name="_Toc206230041"/>
      <w:bookmarkStart w:id="361" w:name="_Toc210146990"/>
      <w:r>
        <w:rPr>
          <w:rFonts w:hint="eastAsia"/>
        </w:rPr>
        <w:t>10、应急预案</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pPr>
        <w:ind w:firstLine="480"/>
      </w:pPr>
      <w:bookmarkStart w:id="362" w:name="_Toc212962481"/>
      <w:bookmarkStart w:id="363" w:name="_Toc212890537"/>
      <w:bookmarkStart w:id="364" w:name="_Toc212633802"/>
      <w:bookmarkStart w:id="365" w:name="_Toc211223816"/>
      <w:bookmarkStart w:id="366" w:name="_Toc212799468"/>
      <w:bookmarkStart w:id="367" w:name="_Toc212954897"/>
      <w:bookmarkStart w:id="368" w:name="_Toc210965809"/>
      <w:bookmarkStart w:id="369" w:name="_Toc210121990"/>
      <w:bookmarkStart w:id="370" w:name="_Toc212961670"/>
      <w:bookmarkStart w:id="371" w:name="_Toc210121540"/>
      <w:bookmarkStart w:id="372" w:name="_Toc210146991"/>
      <w:bookmarkStart w:id="373" w:name="_Toc210782810"/>
      <w:bookmarkStart w:id="374" w:name="_Toc211239580"/>
      <w:bookmarkStart w:id="375" w:name="_Toc210121773"/>
      <w:bookmarkStart w:id="376" w:name="_Toc210279033"/>
      <w:bookmarkStart w:id="377" w:name="_Toc211134847"/>
      <w:bookmarkStart w:id="378" w:name="_Toc211239478"/>
      <w:bookmarkStart w:id="379" w:name="_Toc212710142"/>
      <w:r>
        <w:rPr>
          <w:rFonts w:hint="eastAsia"/>
        </w:rPr>
        <w:t>10.1成立应急组织机构</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pPr>
        <w:ind w:firstLine="480"/>
      </w:pPr>
      <w:r>
        <w:rPr>
          <w:rFonts w:hint="eastAsia"/>
        </w:rPr>
        <w:t>项目部成立应急工作小组，负责项目部突发事件的组织和指挥。工作小组分工明确，当事件发生时，不需要指示，立即进入工作状态。</w:t>
      </w:r>
      <w:bookmarkStart w:id="380" w:name="_Toc211223817"/>
      <w:bookmarkStart w:id="381" w:name="_Toc210279034"/>
      <w:bookmarkStart w:id="382" w:name="_Toc212710143"/>
      <w:bookmarkStart w:id="383" w:name="_Toc210782811"/>
      <w:bookmarkStart w:id="384" w:name="_Toc211239479"/>
      <w:bookmarkStart w:id="385" w:name="_Toc212890538"/>
      <w:bookmarkStart w:id="386" w:name="_Toc210121541"/>
      <w:bookmarkStart w:id="387" w:name="_Toc210121774"/>
      <w:bookmarkStart w:id="388" w:name="_Toc212954898"/>
      <w:bookmarkStart w:id="389" w:name="_Toc210121991"/>
      <w:bookmarkStart w:id="390" w:name="_Toc212799469"/>
      <w:bookmarkStart w:id="391" w:name="_Toc211239581"/>
      <w:bookmarkStart w:id="392" w:name="_Toc212961671"/>
      <w:bookmarkStart w:id="393" w:name="_Toc212962482"/>
      <w:bookmarkStart w:id="394" w:name="_Toc210146992"/>
      <w:bookmarkStart w:id="395" w:name="_Toc210965810"/>
      <w:bookmarkStart w:id="396" w:name="_Toc212633803"/>
      <w:bookmarkStart w:id="397" w:name="_Toc211134848"/>
    </w:p>
    <w:p>
      <w:pPr>
        <w:ind w:firstLine="480"/>
      </w:pPr>
      <w:r>
        <w:rPr>
          <w:rFonts w:hint="eastAsia"/>
        </w:rPr>
        <w:t>10.2成员职责分工</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pPr>
        <w:ind w:firstLine="480"/>
      </w:pPr>
      <w:r>
        <w:rPr>
          <w:rFonts w:hint="eastAsia"/>
        </w:rPr>
        <w:t>10.2.1组长：当发生突发事件时，负责组织指挥应急队伍、机械实施救援行动；向上级汇报和有关单位通报事故情况，必要时向有关单位发出救援请求；组织事故调查，总结应急救援经验教训等。</w:t>
      </w:r>
    </w:p>
    <w:p>
      <w:pPr>
        <w:ind w:firstLine="480"/>
      </w:pPr>
      <w:r>
        <w:rPr>
          <w:rFonts w:hint="eastAsia"/>
        </w:rPr>
        <w:t>10.2.2副组长：负责协助组长应急救援的具体工作。</w:t>
      </w:r>
    </w:p>
    <w:p>
      <w:pPr>
        <w:ind w:firstLine="480"/>
      </w:pPr>
      <w:r>
        <w:rPr>
          <w:rFonts w:hint="eastAsia"/>
        </w:rPr>
        <w:t>10.2.3现场工作小组成员：协助做好事故报警、情况通报及事故处置；负责灭火、警戒、治安保卫、疏散、道路管制工作；负责协助抢险机械设备的调转；负责现场医疗救护指挥及中毒、受伤人员分类抢救和护送转院工作；负责抢险救援物资的供应和运输工作。</w:t>
      </w:r>
    </w:p>
    <w:p>
      <w:pPr>
        <w:ind w:firstLine="480"/>
      </w:pPr>
      <w:bookmarkStart w:id="398" w:name="_Toc211239582"/>
      <w:bookmarkStart w:id="399" w:name="_Toc212962483"/>
      <w:bookmarkStart w:id="400" w:name="_Toc211239480"/>
      <w:bookmarkStart w:id="401" w:name="_Toc212890539"/>
      <w:bookmarkStart w:id="402" w:name="_Toc212961672"/>
      <w:bookmarkStart w:id="403" w:name="_Toc211223818"/>
      <w:bookmarkStart w:id="404" w:name="_Toc210121775"/>
      <w:bookmarkStart w:id="405" w:name="_Toc212799470"/>
      <w:bookmarkStart w:id="406" w:name="_Toc210121992"/>
      <w:bookmarkStart w:id="407" w:name="_Toc210965811"/>
      <w:bookmarkStart w:id="408" w:name="_Toc210146993"/>
      <w:bookmarkStart w:id="409" w:name="_Toc212633804"/>
      <w:bookmarkStart w:id="410" w:name="_Toc212954899"/>
      <w:bookmarkStart w:id="411" w:name="_Toc212710144"/>
      <w:bookmarkStart w:id="412" w:name="_Toc210279035"/>
      <w:bookmarkStart w:id="413" w:name="_Toc210121542"/>
      <w:bookmarkStart w:id="414" w:name="_Toc210782812"/>
      <w:bookmarkStart w:id="415" w:name="_Toc211134849"/>
      <w:r>
        <w:rPr>
          <w:rFonts w:hint="eastAsia"/>
        </w:rPr>
        <w:t>10.3应急措施</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pPr>
        <w:ind w:firstLine="480"/>
      </w:pPr>
      <w:bookmarkStart w:id="416" w:name="_Toc210121543"/>
      <w:bookmarkStart w:id="417" w:name="_Toc210121993"/>
      <w:bookmarkStart w:id="418" w:name="_Toc212890540"/>
      <w:bookmarkStart w:id="419" w:name="_Toc212710145"/>
      <w:bookmarkStart w:id="420" w:name="_Toc210121776"/>
      <w:r>
        <w:rPr>
          <w:rFonts w:hint="eastAsia"/>
        </w:rPr>
        <w:t>10.3.1防汛应急措施</w:t>
      </w:r>
      <w:bookmarkEnd w:id="416"/>
      <w:bookmarkEnd w:id="417"/>
      <w:bookmarkEnd w:id="418"/>
      <w:bookmarkEnd w:id="419"/>
      <w:bookmarkEnd w:id="420"/>
    </w:p>
    <w:p>
      <w:pPr>
        <w:ind w:firstLine="480"/>
      </w:pPr>
      <w:r>
        <w:rPr>
          <w:rFonts w:hint="eastAsia"/>
        </w:rPr>
        <w:t>（1）汛期来临之前，到市气象局了解年、月的降雨趋势。派专人及时收听天气预报，以便安排施工及抢险。</w:t>
      </w:r>
    </w:p>
    <w:p>
      <w:pPr>
        <w:ind w:firstLine="480"/>
      </w:pPr>
      <w:r>
        <w:rPr>
          <w:rFonts w:hint="eastAsia"/>
        </w:rPr>
        <w:t>（2）组建应急抢险队，配备抢险车辆、机材、编织袋、铁锨、发电机、水泵等抢险物资，随时参加应急抢险工作。</w:t>
      </w:r>
    </w:p>
    <w:p>
      <w:pPr>
        <w:ind w:firstLine="480"/>
      </w:pPr>
      <w:r>
        <w:rPr>
          <w:rFonts w:hint="eastAsia"/>
        </w:rPr>
        <w:t>（3）项目部根据本工程的地理环境、工程计划作业面、建设单位要求等，分析找出本合同段的防汛薄弱环节及易产生积水、冲毁的地段部位，事先进行预防性修缮。</w:t>
      </w:r>
    </w:p>
    <w:p>
      <w:pPr>
        <w:ind w:firstLine="480"/>
      </w:pPr>
      <w:r>
        <w:rPr>
          <w:rFonts w:hint="eastAsia"/>
        </w:rPr>
        <w:t>（4）对施工便道、临时排水设施进行加固和清淤，制定断道绕行方案，配备备用水泵及发电机，保持性能良好，在出现洪水或大面积积水情况发生时，由项目部统一调配使用。</w:t>
      </w:r>
    </w:p>
    <w:p>
      <w:pPr>
        <w:ind w:firstLine="480"/>
      </w:pPr>
      <w:r>
        <w:rPr>
          <w:rFonts w:hint="eastAsia"/>
        </w:rPr>
        <w:t>（5）认真做好临设、大型搅拌站的接地保护和避雷设施的检查与测试工作，及时维修、更新或停用。</w:t>
      </w:r>
    </w:p>
    <w:p>
      <w:pPr>
        <w:ind w:firstLine="480"/>
      </w:pPr>
      <w:r>
        <w:rPr>
          <w:rFonts w:hint="eastAsia"/>
        </w:rPr>
        <w:t>（6）汛期期间，项目部加强值班巡逻，领导带班，值班人员必须坚守岗位，尽职尽责，保持24小时通讯畅通。</w:t>
      </w:r>
    </w:p>
    <w:p>
      <w:pPr>
        <w:ind w:firstLine="480"/>
      </w:pPr>
      <w:r>
        <w:rPr>
          <w:rFonts w:hint="eastAsia"/>
        </w:rPr>
        <w:t>（7）初起水灾，安全疏散人员，转移重要物品，阻止水位的漫延，防止水灾的扩大，减少水灾损失的人员伤亡和财产安全。</w:t>
      </w:r>
    </w:p>
    <w:p>
      <w:pPr>
        <w:ind w:firstLine="480"/>
      </w:pPr>
      <w:bookmarkStart w:id="421" w:name="_Toc212710146"/>
      <w:bookmarkStart w:id="422" w:name="_Toc210121544"/>
      <w:bookmarkStart w:id="423" w:name="_Toc210121994"/>
      <w:bookmarkStart w:id="424" w:name="_Toc212890541"/>
      <w:bookmarkStart w:id="425" w:name="_Toc210121777"/>
      <w:r>
        <w:rPr>
          <w:rFonts w:hint="eastAsia"/>
        </w:rPr>
        <w:t>10.3.2火灾应急措施</w:t>
      </w:r>
      <w:bookmarkEnd w:id="421"/>
      <w:bookmarkEnd w:id="422"/>
      <w:bookmarkEnd w:id="423"/>
      <w:bookmarkEnd w:id="424"/>
      <w:bookmarkEnd w:id="425"/>
    </w:p>
    <w:p>
      <w:pPr>
        <w:ind w:firstLine="480"/>
      </w:pPr>
      <w:r>
        <w:rPr>
          <w:rFonts w:hint="eastAsia"/>
        </w:rPr>
        <w:t>（1）初起火灾，现场人员就近取材，进行现场自救、扑救；控制火势蔓延。切断电源，防止触电。</w:t>
      </w:r>
    </w:p>
    <w:p>
      <w:pPr>
        <w:ind w:firstLine="480"/>
      </w:pPr>
      <w:r>
        <w:rPr>
          <w:rFonts w:hint="eastAsia"/>
        </w:rPr>
        <w:t>（2）自救、扑救火灾时，区别不同情况、场所，使用不同的灭火器材。</w:t>
      </w:r>
    </w:p>
    <w:p>
      <w:pPr>
        <w:ind w:firstLine="480"/>
      </w:pPr>
      <w:r>
        <w:rPr>
          <w:rFonts w:hint="eastAsia"/>
        </w:rPr>
        <w:t>扑灭电器火灾时，使用干粉灭火器、二氧化碳灭火器，严禁用水或泡沫灭火器，防止触电。扑灭油类火灾时，使用干粉灭火器、二氧化碳灭火器或泡沫灭火器。</w:t>
      </w:r>
    </w:p>
    <w:p>
      <w:pPr>
        <w:ind w:firstLine="480"/>
      </w:pPr>
      <w:r>
        <w:rPr>
          <w:rFonts w:hint="eastAsia"/>
        </w:rPr>
        <w:t>（3） 施工现场(如：现浇混凝土池、模板加工厂等)易发生火灾处配备足够的消防器材，并设置醒目的禁止烟火标志。</w:t>
      </w:r>
    </w:p>
    <w:p>
      <w:pPr>
        <w:ind w:firstLine="480"/>
      </w:pPr>
      <w:r>
        <w:rPr>
          <w:rFonts w:hint="eastAsia"/>
        </w:rPr>
        <w:t>（4） 遇有火势较大或人员受伤时，现场人员在组织自救的同时，及时拔打火警电话“119”、急救中心电话“120”或公安指挥中心电话“110”求得外部支援；求援时必须讲明地点、火势大小、起火物资、联系电话等详细情况，并派人到路上接警。</w:t>
      </w:r>
    </w:p>
    <w:p>
      <w:pPr>
        <w:ind w:firstLine="480"/>
      </w:pPr>
      <w:r>
        <w:rPr>
          <w:rFonts w:hint="eastAsia"/>
        </w:rPr>
        <w:t>（5） 火灾的自救与逃生：火灾最初五分钟是最佳逃生时机，躲避浓烟，能向下跑的决不能向上跑；其次是躲避大火，然后撤离到安全地带。</w:t>
      </w:r>
    </w:p>
    <w:p>
      <w:pPr>
        <w:ind w:firstLine="480"/>
      </w:pPr>
      <w:r>
        <w:rPr>
          <w:rFonts w:hint="eastAsia"/>
        </w:rPr>
        <w:t>（6） 将受伤人员及时转送医院进行紧急救护。</w:t>
      </w:r>
    </w:p>
    <w:p>
      <w:pPr>
        <w:ind w:firstLine="480"/>
      </w:pPr>
      <w:r>
        <w:rPr>
          <w:rFonts w:hint="eastAsia"/>
        </w:rPr>
        <w:t>（7）将信息迅速传递给相关部门。传递的内容包括：事故发生的时间、地点、简要经过、伤亡人数和已采取的应急措施等。</w:t>
      </w:r>
    </w:p>
    <w:p>
      <w:pPr>
        <w:ind w:firstLine="480"/>
      </w:pPr>
      <w:r>
        <w:rPr>
          <w:rFonts w:hint="eastAsia"/>
        </w:rPr>
        <w:t>（8）应急队伍到达现场后，服从现场指挥人员的统一指挥，按分工要求进行疏散人员，抢救物质，尽可能减少生命财产损失，防止事故蔓延；可能对区域内外人群安全构成威胁时，必须对与事故应急救援无关的人员进行紧急疏散。</w:t>
      </w:r>
    </w:p>
    <w:p>
      <w:pPr>
        <w:ind w:firstLine="480"/>
      </w:pPr>
      <w:bookmarkStart w:id="426" w:name="_Toc210121995"/>
      <w:bookmarkStart w:id="427" w:name="_Toc212710147"/>
      <w:bookmarkStart w:id="428" w:name="_Toc212890542"/>
      <w:bookmarkStart w:id="429" w:name="_Toc210121545"/>
      <w:bookmarkStart w:id="430" w:name="_Toc210121778"/>
      <w:r>
        <w:rPr>
          <w:rFonts w:hint="eastAsia"/>
        </w:rPr>
        <w:t>10.3.3触电事故应急措施</w:t>
      </w:r>
      <w:bookmarkEnd w:id="426"/>
      <w:bookmarkEnd w:id="427"/>
      <w:bookmarkEnd w:id="428"/>
      <w:bookmarkEnd w:id="429"/>
      <w:bookmarkEnd w:id="430"/>
    </w:p>
    <w:p>
      <w:pPr>
        <w:ind w:firstLine="480"/>
      </w:pPr>
      <w:r>
        <w:rPr>
          <w:rFonts w:hint="eastAsia"/>
        </w:rPr>
        <w:t>（1）当发生人员触电事故时，现场人员立即对触电人员按下列要求进行紧急挽救：</w:t>
      </w:r>
    </w:p>
    <w:p>
      <w:pPr>
        <w:ind w:firstLine="480"/>
      </w:pPr>
      <w:r>
        <w:rPr>
          <w:rFonts w:hint="eastAsia"/>
        </w:rPr>
        <w:t>首先切断电源开关或用电工钳子、木把斧子将电线截断以断开电源。</w:t>
      </w:r>
    </w:p>
    <w:p>
      <w:pPr>
        <w:ind w:firstLine="480"/>
      </w:pPr>
      <w:r>
        <w:rPr>
          <w:rFonts w:hint="eastAsia"/>
        </w:rPr>
        <w:t>距电源开关较近或断开电源有困难时，可用干燥的木辊、竹竿等挑开触电者身上的电线或带电体。</w:t>
      </w:r>
    </w:p>
    <w:p>
      <w:pPr>
        <w:ind w:firstLine="480"/>
      </w:pPr>
      <w:r>
        <w:rPr>
          <w:rFonts w:hint="eastAsia"/>
        </w:rPr>
        <w:t>可用几层干燥的衣服将手裹住，或站在干燥的木板上，拉触电者的衣服，使其脱离电源。</w:t>
      </w:r>
    </w:p>
    <w:p>
      <w:pPr>
        <w:ind w:firstLine="480"/>
      </w:pPr>
      <w:r>
        <w:rPr>
          <w:rFonts w:hint="eastAsia"/>
        </w:rPr>
        <w:t>（2）当触电者脱离电源后，根据触电的轻重程度，采取不同的急救措施，同时拨打120急救电话。</w:t>
      </w:r>
    </w:p>
    <w:p>
      <w:pPr>
        <w:ind w:firstLine="480"/>
      </w:pPr>
      <w:r>
        <w:rPr>
          <w:rFonts w:hint="eastAsia"/>
        </w:rPr>
        <w:t>如果触电者受的伤害不严重，神志还清醒，或虽曾一度昏迷，但未失去知觉，要使之就地休息1-2小时，并严密注意观察。</w:t>
      </w:r>
    </w:p>
    <w:p>
      <w:pPr>
        <w:ind w:firstLine="480"/>
      </w:pPr>
      <w:r>
        <w:rPr>
          <w:rFonts w:hint="eastAsia"/>
        </w:rPr>
        <w:t>如果触电者受的伤害较严重，无知觉，无呼吸，但心脏停止跳动时，立急进行人工呼吸。如有呼吸，但心脏停止跳动，则采用胸外心脏挤压法。</w:t>
      </w:r>
    </w:p>
    <w:p>
      <w:pPr>
        <w:ind w:firstLine="480"/>
      </w:pPr>
      <w:r>
        <w:rPr>
          <w:rFonts w:hint="eastAsia"/>
        </w:rPr>
        <w:t>如果触电者的伤害很严重，心脏和呼吸都已停止跳动，瞳孔放大，失去知觉，则必须同时采取人工呼吸和胸外心脏挤压两种方法。</w:t>
      </w:r>
    </w:p>
    <w:p>
      <w:pPr>
        <w:ind w:firstLine="480"/>
      </w:pPr>
      <w:r>
        <w:rPr>
          <w:rFonts w:hint="eastAsia"/>
        </w:rPr>
        <w:t>（3）如果需要送医院抢救，在途中不能中断急救工作。</w:t>
      </w:r>
    </w:p>
    <w:p>
      <w:pPr>
        <w:ind w:firstLine="480"/>
      </w:pPr>
      <w:r>
        <w:rPr>
          <w:rFonts w:hint="eastAsia"/>
        </w:rPr>
        <w:t>（4）对于与触电同时发生的外伤，分别情况处理。对于不危及生命的轻度外伤，可以放在触电急救之后处理。对于严重的外伤，予以人工呼吸和胸外心脏挤压法同时处理。如伤口出血，予以止血。为了防止伤口感染，予以包扎。</w:t>
      </w:r>
    </w:p>
    <w:p>
      <w:pPr>
        <w:ind w:firstLine="480"/>
      </w:pPr>
      <w:r>
        <w:rPr>
          <w:rFonts w:hint="eastAsia"/>
        </w:rPr>
        <w:t>（5）可能对区域内外人群安全构成威胁时，必须对与事故救援无关的人员进行疏散。</w:t>
      </w:r>
    </w:p>
    <w:p>
      <w:pPr>
        <w:ind w:firstLine="480"/>
      </w:pPr>
      <w:r>
        <w:rPr>
          <w:rFonts w:hint="eastAsia"/>
        </w:rPr>
        <w:t>（6）事故发生后，立即上报有关部门。事故报告内容包括：事故发生的时间、地点、简要经过、伤亡人数和已采取的应急措施等。</w:t>
      </w:r>
    </w:p>
    <w:p>
      <w:pPr>
        <w:ind w:firstLine="480"/>
      </w:pPr>
      <w:bookmarkStart w:id="431" w:name="_Toc210121546"/>
      <w:bookmarkStart w:id="432" w:name="_Toc210121779"/>
      <w:bookmarkStart w:id="433" w:name="_Toc210121996"/>
      <w:bookmarkStart w:id="434" w:name="_Toc212710148"/>
      <w:bookmarkStart w:id="435" w:name="_Toc212890543"/>
      <w:r>
        <w:rPr>
          <w:rFonts w:hint="eastAsia"/>
        </w:rPr>
        <w:t>10.3.4机械事故应急措施</w:t>
      </w:r>
      <w:bookmarkEnd w:id="431"/>
      <w:bookmarkEnd w:id="432"/>
      <w:bookmarkEnd w:id="433"/>
      <w:bookmarkEnd w:id="434"/>
      <w:bookmarkEnd w:id="435"/>
    </w:p>
    <w:p>
      <w:pPr>
        <w:ind w:firstLine="480"/>
      </w:pPr>
      <w:r>
        <w:rPr>
          <w:rFonts w:hint="eastAsia"/>
        </w:rPr>
        <w:t xml:space="preserve">（1）发生机械人员伤亡时，现场人员立即对人员进行固定、包扎、止血、紧急救护等。 </w:t>
      </w:r>
    </w:p>
    <w:p>
      <w:pPr>
        <w:ind w:firstLine="480"/>
      </w:pPr>
      <w:r>
        <w:rPr>
          <w:rFonts w:hint="eastAsia"/>
        </w:rPr>
        <w:t>（2）立即同120急救中心取得联系，将伤员送往就近的医院救治。</w:t>
      </w:r>
    </w:p>
    <w:p>
      <w:pPr>
        <w:ind w:firstLine="480"/>
      </w:pPr>
      <w:r>
        <w:rPr>
          <w:rFonts w:hint="eastAsia"/>
        </w:rPr>
        <w:t>（3）事故发生后，立即上报有关部门。事故报告内容包括：事故发生的时间、地点、简要经过、伤亡人数和以采取的应急措施等。</w:t>
      </w:r>
    </w:p>
    <w:p>
      <w:pPr>
        <w:ind w:firstLine="480"/>
      </w:pPr>
      <w:bookmarkStart w:id="436" w:name="_Toc212710149"/>
      <w:bookmarkStart w:id="437" w:name="_Toc210121997"/>
      <w:bookmarkStart w:id="438" w:name="_Toc210121547"/>
      <w:bookmarkStart w:id="439" w:name="_Toc210121780"/>
      <w:bookmarkStart w:id="440" w:name="_Toc212890544"/>
      <w:r>
        <w:rPr>
          <w:rFonts w:hint="eastAsia"/>
        </w:rPr>
        <w:t>10.3.5高处坠落、物体打击事故应急措施</w:t>
      </w:r>
      <w:bookmarkEnd w:id="436"/>
      <w:bookmarkEnd w:id="437"/>
      <w:bookmarkEnd w:id="438"/>
      <w:bookmarkEnd w:id="439"/>
      <w:bookmarkEnd w:id="440"/>
    </w:p>
    <w:p>
      <w:pPr>
        <w:ind w:firstLine="480"/>
      </w:pPr>
      <w:r>
        <w:rPr>
          <w:rFonts w:hint="eastAsia"/>
        </w:rPr>
        <w:t xml:space="preserve">（1）发生高处坠落、物体打击事故有人员受伤时，现场人员立即对人员进行固定、包扎、止血、紧急救护等。 </w:t>
      </w:r>
    </w:p>
    <w:p>
      <w:pPr>
        <w:ind w:firstLine="480"/>
      </w:pPr>
      <w:r>
        <w:rPr>
          <w:rFonts w:hint="eastAsia"/>
        </w:rPr>
        <w:t>（2）立即同120急救中心取得联系，将伤员送往就近的医院救治。</w:t>
      </w:r>
    </w:p>
    <w:p>
      <w:pPr>
        <w:ind w:firstLine="480"/>
      </w:pPr>
      <w:r>
        <w:rPr>
          <w:rFonts w:hint="eastAsia"/>
        </w:rPr>
        <w:t>（3）事故发生后，立即上报有关部门。事故报告内容包括：事故发生的时间、地点、简要经过、伤亡人数和以采取的应急措施等。</w:t>
      </w:r>
    </w:p>
    <w:p>
      <w:pPr>
        <w:ind w:firstLine="480"/>
      </w:pPr>
      <w:bookmarkStart w:id="441" w:name="_Toc210121548"/>
      <w:bookmarkStart w:id="442" w:name="_Toc212710150"/>
      <w:bookmarkStart w:id="443" w:name="_Toc210121781"/>
      <w:bookmarkStart w:id="444" w:name="_Toc210121998"/>
      <w:bookmarkStart w:id="445" w:name="_Toc212890545"/>
      <w:r>
        <w:rPr>
          <w:rFonts w:hint="eastAsia"/>
        </w:rPr>
        <w:t>10.3.6食物中毒、传染性疾病事故应急措施</w:t>
      </w:r>
      <w:bookmarkEnd w:id="441"/>
      <w:bookmarkEnd w:id="442"/>
      <w:bookmarkEnd w:id="443"/>
      <w:bookmarkEnd w:id="444"/>
      <w:bookmarkEnd w:id="445"/>
    </w:p>
    <w:p>
      <w:pPr>
        <w:ind w:firstLine="480"/>
      </w:pPr>
      <w:r>
        <w:rPr>
          <w:rFonts w:hint="eastAsia"/>
        </w:rPr>
        <w:t>（1）当发生食物中毒、传染性疾病事故时，现场人员立即向有关部门报告，并同市急救中心取得联系，求得外部支援。</w:t>
      </w:r>
    </w:p>
    <w:p>
      <w:pPr>
        <w:ind w:firstLine="480"/>
      </w:pPr>
      <w:r>
        <w:rPr>
          <w:rFonts w:hint="eastAsia"/>
        </w:rPr>
        <w:t>（2） 尽快确定中毒和受传染人员的范围及相关情况，确保可能中毒、传染人员处于严密监控中。</w:t>
      </w:r>
    </w:p>
    <w:p>
      <w:pPr>
        <w:ind w:firstLine="480"/>
      </w:pPr>
      <w:bookmarkStart w:id="446" w:name="_Toc212633805"/>
      <w:bookmarkStart w:id="447" w:name="_Toc211239583"/>
      <w:bookmarkStart w:id="448" w:name="_Toc210965812"/>
      <w:bookmarkStart w:id="449" w:name="_Toc210146994"/>
      <w:bookmarkStart w:id="450" w:name="_Toc212799471"/>
      <w:bookmarkStart w:id="451" w:name="_Toc210121782"/>
      <w:bookmarkStart w:id="452" w:name="_Toc210782813"/>
      <w:bookmarkStart w:id="453" w:name="_Toc212961673"/>
      <w:bookmarkStart w:id="454" w:name="_Toc211223819"/>
      <w:bookmarkStart w:id="455" w:name="_Toc211134850"/>
      <w:bookmarkStart w:id="456" w:name="_Toc212954900"/>
      <w:bookmarkStart w:id="457" w:name="_Toc212962484"/>
      <w:bookmarkStart w:id="458" w:name="_Toc210121549"/>
      <w:bookmarkStart w:id="459" w:name="_Toc211239481"/>
      <w:bookmarkStart w:id="460" w:name="_Toc212890546"/>
      <w:bookmarkStart w:id="461" w:name="_Toc210279036"/>
      <w:bookmarkStart w:id="462" w:name="_Toc212710151"/>
      <w:bookmarkStart w:id="463" w:name="_Toc210121999"/>
      <w:r>
        <w:rPr>
          <w:rFonts w:hint="eastAsia"/>
        </w:rPr>
        <w:t>10.4应急措施的演练</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pPr>
        <w:ind w:firstLine="480"/>
      </w:pPr>
      <w:r>
        <w:rPr>
          <w:rFonts w:hint="eastAsia"/>
        </w:rPr>
        <w:t>应急措施根据实际适时组织进行演练。在确保安全的情况下，组织单项演练或综合演练，以检验和测试应急救援指挥中心的应急能力和应急措施的可行性，提高实际技能及熟练程度，通过演练后的评价、总结，纠正存在的问题，从而不断提高措施质量。</w:t>
      </w:r>
    </w:p>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Pr>
        <w:pStyle w:val="4"/>
        <w:spacing w:before="278" w:after="278"/>
        <w:ind w:firstLine="560"/>
      </w:pPr>
      <w:bookmarkStart w:id="464" w:name="_Toc525107867"/>
      <w:r>
        <w:rPr>
          <w:rFonts w:hint="eastAsia"/>
        </w:rPr>
        <w:t>第三节 防尘措施</w:t>
      </w:r>
      <w:bookmarkEnd w:id="464"/>
    </w:p>
    <w:p>
      <w:pPr>
        <w:ind w:firstLine="480"/>
      </w:pPr>
      <w:r>
        <w:rPr>
          <w:rFonts w:hint="eastAsia" w:ascii="宋体" w:hAnsi="宋体"/>
        </w:rPr>
        <w:t>1、</w:t>
      </w:r>
      <w:r>
        <w:rPr>
          <w:rFonts w:hint="eastAsia"/>
        </w:rPr>
        <w:t>施工扬尘</w:t>
      </w:r>
    </w:p>
    <w:p>
      <w:pPr>
        <w:ind w:firstLine="480"/>
      </w:pPr>
      <w:r>
        <w:rPr>
          <w:rFonts w:hint="eastAsia"/>
        </w:rPr>
        <w:t>在施工作业现场按照相关要求，对施工现场进行分隔。</w:t>
      </w:r>
    </w:p>
    <w:p>
      <w:pPr>
        <w:ind w:firstLine="480"/>
      </w:pPr>
      <w:r>
        <w:rPr>
          <w:rFonts w:hint="eastAsia"/>
        </w:rPr>
        <w:t>开挖、运输和填筑等施工过程，遇到干燥、易起尘的土方工程作业时，必须辅以洒水压尘。遇到四级或四级以上大风天气，必须停止土方作业，同时作业处覆以防尘网。</w:t>
      </w:r>
    </w:p>
    <w:p>
      <w:pPr>
        <w:ind w:firstLine="480"/>
      </w:pPr>
      <w:r>
        <w:rPr>
          <w:rFonts w:hint="eastAsia"/>
        </w:rPr>
        <w:t>加强建筑材料的存放管理，各类建材及混凝土拌合处应定点定位，禁止水泥露天堆放，并采取防尘抑尘措施，如在大风天气对散料堆放采用水喷淋防尘。</w:t>
      </w:r>
    </w:p>
    <w:p>
      <w:pPr>
        <w:ind w:firstLine="480"/>
      </w:pPr>
      <w:r>
        <w:rPr>
          <w:rFonts w:hint="eastAsia"/>
        </w:rPr>
        <w:t>施工过程中使用易产生扬尘的建筑材料，采取密闭存储、设置围挡或堆砌围墙、采用防尘布苫盖或其他有效的防尘措施。</w:t>
      </w:r>
    </w:p>
    <w:p>
      <w:pPr>
        <w:ind w:firstLine="480"/>
      </w:pPr>
      <w:r>
        <w:rPr>
          <w:rFonts w:hint="eastAsia"/>
        </w:rPr>
        <w:t>运输车辆进出的主干道应定期洒水清扫，保持车辆出入口路面清洁，以减少由于车辆行驶引起的地面扬尘污染。</w:t>
      </w:r>
    </w:p>
    <w:p>
      <w:pPr>
        <w:ind w:firstLine="480"/>
      </w:pPr>
      <w:r>
        <w:rPr>
          <w:rFonts w:hint="eastAsia"/>
        </w:rPr>
        <w:t>由于施工产生的扬尘可能影响周围正常居民生活、道路交通安全的，应设置防护网，以减少扬尘及施工渣土的影响。如防护网发生破损，应及时对其进行修补。</w:t>
      </w:r>
    </w:p>
    <w:p>
      <w:pPr>
        <w:ind w:firstLine="480"/>
      </w:pPr>
      <w:r>
        <w:rPr>
          <w:rFonts w:hint="eastAsia"/>
        </w:rPr>
        <w:t>施工现场的建筑垃圾、工程渣土临时储运场地四周设置一米以上且不低于堆土高度的遮挡围栏，并有防尘、灭蝇和防污水外流等防污染措施。</w:t>
      </w:r>
    </w:p>
    <w:p>
      <w:pPr>
        <w:ind w:firstLine="480"/>
      </w:pPr>
      <w:r>
        <w:rPr>
          <w:rFonts w:hint="eastAsia"/>
        </w:rPr>
        <w:t>禁止在人口集中地区焚烧沥青、油毡、橡胶、塑料、皮革以及其他有毒有害烟尘和恶臭气体的物资；特殊情况下需焚烧的，须报当地环境保护主管部门批准。</w:t>
      </w:r>
    </w:p>
    <w:p>
      <w:pPr>
        <w:ind w:firstLine="480"/>
      </w:pPr>
      <w:r>
        <w:rPr>
          <w:rFonts w:hint="eastAsia"/>
        </w:rPr>
        <w:t>坚持文明施工及装卸作业，避免由于野蛮作业而造成的施工扬尘。</w:t>
      </w:r>
    </w:p>
    <w:p>
      <w:pPr>
        <w:ind w:firstLine="480"/>
      </w:pPr>
      <w:r>
        <w:rPr>
          <w:rFonts w:hint="eastAsia"/>
        </w:rPr>
        <w:t>施工期间，施工工地内及工地出口至铺装道路间的车行道路，要采取铺设钢板、铺设水泥混凝土、铺设沥青混凝土等硬化。</w:t>
      </w:r>
    </w:p>
    <w:p>
      <w:pPr>
        <w:ind w:firstLine="480"/>
      </w:pPr>
      <w:r>
        <w:rPr>
          <w:rFonts w:hint="eastAsia"/>
        </w:rPr>
        <w:t>采用吸尘或水冲洗的方法清洁施工工地道路积尘，不得在未实施洒水等抑尘措施情况下进行直接清扫。</w:t>
      </w:r>
    </w:p>
    <w:p>
      <w:pPr>
        <w:ind w:firstLine="480"/>
      </w:pPr>
      <w:r>
        <w:rPr>
          <w:rFonts w:hint="eastAsia"/>
        </w:rPr>
        <w:t>施工期间，对于工地内裸露地面，要采取覆盖防尘布或防尘网等措施。</w:t>
      </w:r>
    </w:p>
    <w:p>
      <w:pPr>
        <w:pStyle w:val="3"/>
        <w:spacing w:before="278" w:after="278"/>
      </w:pPr>
      <w:bookmarkStart w:id="465" w:name="_Toc4360"/>
      <w:bookmarkStart w:id="466" w:name="_Toc481735883"/>
      <w:bookmarkStart w:id="467" w:name="_Toc525107868"/>
      <w:r>
        <w:rPr>
          <w:rFonts w:hint="eastAsia"/>
        </w:rPr>
        <w:t>第十章    施工场地治安保卫管理计划</w:t>
      </w:r>
      <w:bookmarkEnd w:id="465"/>
    </w:p>
    <w:p>
      <w:pPr>
        <w:ind w:firstLine="482"/>
      </w:pPr>
      <w:bookmarkStart w:id="468" w:name="_Hlk523337387"/>
      <w:r>
        <w:rPr>
          <w:rFonts w:hint="eastAsia"/>
          <w:b/>
          <w:szCs w:val="32"/>
        </w:rPr>
        <w:t xml:space="preserve">   </w:t>
      </w:r>
      <w:r>
        <w:rPr>
          <w:rFonts w:hint="eastAsia"/>
        </w:rPr>
        <w:t>我公司若有幸中标，将根据相关法律、法规和当地治安管理规定，并结合本工程的实际情况，制度施工现场治安管理制度、治安事件紧急预案，配备专门的治安保卫人员，执行完善的治安保卫管理制度，以维护正常的生产秩序和治安秩序，保障工程施工的顺利进行。</w:t>
      </w:r>
    </w:p>
    <w:p>
      <w:pPr>
        <w:ind w:firstLine="480"/>
      </w:pPr>
      <w:r>
        <w:rPr>
          <w:rFonts w:hint="eastAsia"/>
        </w:rPr>
        <w:t>一、施工现场治安管理制度</w:t>
      </w:r>
    </w:p>
    <w:p>
      <w:pPr>
        <w:ind w:firstLine="480"/>
      </w:pPr>
      <w:r>
        <w:rPr>
          <w:rFonts w:hint="eastAsia"/>
        </w:rPr>
        <w:t>1、治安保卫负责人由项目经理担任，领导施工现场治安保卫工作，并根据工程规模、性质等情况，建立施工现场治安保卫组织，具体负责施工现场治安保卫的监督管理。</w:t>
      </w:r>
    </w:p>
    <w:p>
      <w:pPr>
        <w:ind w:firstLine="480"/>
      </w:pPr>
      <w:r>
        <w:rPr>
          <w:rFonts w:hint="eastAsia"/>
        </w:rPr>
        <w:t>2、施工现场治安保卫工作应遵守下列规定：</w:t>
      </w:r>
    </w:p>
    <w:p>
      <w:pPr>
        <w:ind w:firstLine="480"/>
      </w:pPr>
      <w:r>
        <w:rPr>
          <w:rFonts w:hint="eastAsia"/>
        </w:rPr>
        <w:t>（1）为施工场地(现场)提供24h的保安保卫服务，配备足够的保安人员和保安设备，防止未经批准的任何人进入现场，控制人员、材料和设备等的进出场，防止现场材料、设备或其他任何物品的失窃，禁止任何现场内的打架斗殴事件。</w:t>
      </w:r>
    </w:p>
    <w:p>
      <w:pPr>
        <w:ind w:firstLine="480"/>
      </w:pPr>
      <w:r>
        <w:rPr>
          <w:rFonts w:hint="eastAsia"/>
        </w:rPr>
        <w:t>（2）保安人员选用训练有素的专业保安人员或雇佣专业保安公司负责现场保安和保卫；保安保卫制度除规范现场出入大门控制外，还应规定定时和不定时的施工场地(现场)周边和全现场的保安巡逻。</w:t>
      </w:r>
    </w:p>
    <w:p>
      <w:pPr>
        <w:ind w:firstLine="480"/>
      </w:pPr>
      <w:r>
        <w:rPr>
          <w:rFonts w:hint="eastAsia"/>
        </w:rPr>
        <w:t>（3）施工现场应当按规定采取围挡等安全防护措施，建立门卫制度。施工人员凭出入证件进出施工现场，门卫人员必须坚守岗位，认真查验。制定并实施严格的施工场地(现场)出入制度并报监理人审批；车辆的出入须有出入审批制度，并有指定的专人负责管理；人员进出现场应有出入证，出入证须以经过监理人批准的格式印制。</w:t>
      </w:r>
    </w:p>
    <w:p>
      <w:pPr>
        <w:ind w:firstLine="480"/>
      </w:pPr>
      <w:r>
        <w:rPr>
          <w:rFonts w:hint="eastAsia"/>
        </w:rPr>
        <w:t>（4）确保任何未经监理人同意的参观人员进入现场；准备足够数量的专门用于参观人员的安全帽并带明显标志，同时应准备一个参观人员登记簿用于记录所有参观现场人员的姓名、参观目的和参观时间等内容；确保每个参观现场的人员了解和遵守现场的安全管理规章制度，佩带安全帽，确保所有经发包人和监理人批准的参观人员的人身安全。</w:t>
      </w:r>
    </w:p>
    <w:p>
      <w:pPr>
        <w:ind w:firstLine="480"/>
      </w:pPr>
      <w:r>
        <w:rPr>
          <w:rFonts w:hint="eastAsia"/>
        </w:rPr>
        <w:t>（5）为施工场地(现场)提供和维护符合建设行政主管部门和市容管理部门规定的临时围墙和其他安全维护，并在工程进度需要时，进行必要的改造。围墙和大门的表面维护应考虑定期的修补和重新刷漆，并应保证所有的乱涂乱画或招贴广告随时被清理。临时围墙和出入大门考虑必要的照明，照明系统要满足现场安全保卫和美观的要求。</w:t>
      </w:r>
    </w:p>
    <w:p>
      <w:pPr>
        <w:ind w:firstLine="480"/>
      </w:pPr>
      <w:r>
        <w:rPr>
          <w:rFonts w:hint="eastAsia"/>
        </w:rPr>
        <w:t>（6）施工现场及周围道路应保证安全畅通，建筑材料、设备等必须按施工进度计划运入，并按规定存放；施工现场料场、库房应当加强巡逻守护，重要材料、设备，要专库专管；贵重物品、仪表和保密图纸资料以及精密小型工具的保管和使用，须有安全保卫措施，健全存放、保管、领用、回收登记制度；施工现场易燃、易爆、剧毒物品，必须专库限量储存，设置明显标志，指定专人保管，制定严格的限量领用登记制度和余料回收制度。</w:t>
      </w:r>
    </w:p>
    <w:p>
      <w:pPr>
        <w:ind w:firstLine="480"/>
      </w:pPr>
      <w:r>
        <w:rPr>
          <w:rFonts w:hint="eastAsia"/>
        </w:rPr>
        <w:t>（7）施工现场职工临时生活区与施工作业区应当采取隔离措施。施工现场所设更衣室、休息室等，应确定专人兼管；在生活区内严禁赌博、酗酒，非经批准，不许他人留宿，不得使用不符合安全要求的电器和取暖用具；施工现场内。要加强电视机、录音机等贵重物品和现金、票证的管理。</w:t>
      </w:r>
    </w:p>
    <w:p>
      <w:pPr>
        <w:ind w:firstLine="480"/>
      </w:pPr>
      <w:r>
        <w:rPr>
          <w:rFonts w:hint="eastAsia"/>
        </w:rPr>
        <w:t>（8）施工现场的要害部位，包括为施工服务的变电室、泵房、大中型机械设备，建设工程的关键部位和施工关键工序，应当制定并认真执行安全保卫措施，安装防护设施或报警装置。</w:t>
      </w:r>
    </w:p>
    <w:p>
      <w:pPr>
        <w:ind w:firstLine="480"/>
      </w:pPr>
      <w:r>
        <w:rPr>
          <w:rFonts w:hint="eastAsia"/>
        </w:rPr>
        <w:t>（9）建设工程阶段性完成后，必须制定专门保卫措施，组织专门力量，加强巡逻看护；重点工程应划定重点保卫区域，专人看守，严格验证，严防盗窃、破坏和治安灾害事故的发生。</w:t>
      </w:r>
    </w:p>
    <w:p>
      <w:pPr>
        <w:ind w:firstLine="480"/>
      </w:pPr>
      <w:r>
        <w:rPr>
          <w:rFonts w:hint="eastAsia"/>
        </w:rPr>
        <w:t>（10）施工现场发生刑事案件、治安案件和灾害事故，施工现场治安保卫组织必须保护现场，及时向上级主管部门的治安保卫组织和公安机关报告。</w:t>
      </w:r>
    </w:p>
    <w:p>
      <w:pPr>
        <w:ind w:firstLine="480"/>
      </w:pPr>
      <w:r>
        <w:rPr>
          <w:rFonts w:hint="eastAsia"/>
        </w:rPr>
        <w:t>（11）要加强对外地民工的管理，掌握人员底数，掌握每人思想动态，及时进行教育，非施工人员不得留宿，特殊情况要经保卫工作负责人批准同意；治安保卫人员应每月对职工进行一次治安教育，每月组织治安保卫检查，检查施工现场的治安情况，发现隐患及时督促整改，并记录在册；教育所属施工人员遵纪守法，施工现场不得打架斗殴，不得从事盗窃、窝脏、销脏、赌博、酗酒、传播淫秽物品等违法犯罪活动；施工现场应开展健康、有益的文娱活动，树立团结友爱、互爱的社会公德，共同建立施工现场安定的生产、生活秩序。</w:t>
      </w:r>
    </w:p>
    <w:p>
      <w:pPr>
        <w:ind w:firstLine="480"/>
      </w:pPr>
      <w:r>
        <w:rPr>
          <w:rFonts w:hint="eastAsia"/>
        </w:rPr>
        <w:t>（12）保证发包人支付的工程款项仅用于本合同目的，及时和足额地向所雇佣的人员支付劳动报酬，并制定严格的工人工资支付保障措施，确保及时支付所雇佣工人的工资，有效防止影响社会安定的群体事件发生，并保障发包人免于因我公司拖欠工人工资而可能遭受的任何处罚、索赔、损失和损害等。</w:t>
      </w:r>
    </w:p>
    <w:p>
      <w:pPr>
        <w:ind w:firstLine="480"/>
      </w:pPr>
      <w:r>
        <w:rPr>
          <w:rFonts w:hint="eastAsia"/>
        </w:rPr>
        <w:t>二、治安事件紧急预案</w:t>
      </w:r>
    </w:p>
    <w:p>
      <w:pPr>
        <w:ind w:firstLine="480"/>
      </w:pPr>
      <w:r>
        <w:rPr>
          <w:rFonts w:hint="eastAsia"/>
        </w:rPr>
        <w:t>1、应急准备</w:t>
      </w:r>
    </w:p>
    <w:p>
      <w:pPr>
        <w:ind w:firstLine="480"/>
      </w:pPr>
      <w:r>
        <w:rPr>
          <w:rFonts w:hint="eastAsia"/>
        </w:rPr>
        <w:t>1）、治安突发事件应急处理组织机构</w:t>
      </w:r>
    </w:p>
    <w:p>
      <w:pPr>
        <w:ind w:firstLine="480"/>
      </w:pPr>
      <w:r>
        <w:rPr>
          <w:rFonts w:hint="eastAsia"/>
        </w:rPr>
        <w:t>成立项目经理部治安突发事件应急指挥领导小组，项目经理任组长，技术负责人及项目副经理任副组长，组员由项目部其他管理人员担任。</w:t>
      </w:r>
    </w:p>
    <w:p>
      <w:pPr>
        <w:ind w:firstLine="480"/>
      </w:pPr>
      <w:r>
        <w:rPr>
          <w:rFonts w:hint="eastAsia"/>
        </w:rPr>
        <w:t>2）、应急指挥领导小组工作职责</w:t>
      </w:r>
    </w:p>
    <w:p>
      <w:pPr>
        <w:ind w:firstLine="480"/>
      </w:pPr>
      <w:bookmarkStart w:id="469" w:name="_Toc250969878"/>
      <w:r>
        <w:rPr>
          <w:rFonts w:hint="eastAsia"/>
        </w:rPr>
        <w:t>（1）治安突发事件应急处理指挥领导小组工作职责</w:t>
      </w:r>
      <w:bookmarkEnd w:id="469"/>
    </w:p>
    <w:p>
      <w:pPr>
        <w:ind w:firstLine="480"/>
      </w:pPr>
      <w:r>
        <w:rPr>
          <w:rFonts w:hint="eastAsia"/>
        </w:rPr>
        <w:t>a、认真贯彻执行国家、当地政府和上级领导部门制定的有关治安管理工作的法律、法规、条令和规章制度。</w:t>
      </w:r>
    </w:p>
    <w:p>
      <w:pPr>
        <w:ind w:firstLine="480"/>
      </w:pPr>
      <w:r>
        <w:rPr>
          <w:rFonts w:hint="eastAsia"/>
        </w:rPr>
        <w:t>b、应急处理小组的主要任务是提出本工程治安保卫应急工作方案，部署和督促检查项目经理部各相关部门及施工班组落实各项治安管理决策、命令的实施情况，全面了解掌握处理情况。</w:t>
      </w:r>
    </w:p>
    <w:p>
      <w:pPr>
        <w:ind w:firstLine="480"/>
      </w:pPr>
      <w:bookmarkStart w:id="470" w:name="_Toc250969879"/>
      <w:r>
        <w:rPr>
          <w:rFonts w:hint="eastAsia"/>
        </w:rPr>
        <w:t>（2）现场应急处理职能组工作职责</w:t>
      </w:r>
      <w:bookmarkEnd w:id="470"/>
    </w:p>
    <w:p>
      <w:pPr>
        <w:ind w:firstLine="480"/>
      </w:pPr>
      <w:r>
        <w:rPr>
          <w:rFonts w:hint="eastAsia"/>
        </w:rPr>
        <w:t>为保证治安管理工作能够有效应对突发事件的要求，应急处理领导小组成立治安管理职能组：调查组、救护组、防护组、抢险组、保卫组，协调领导小组处理突发事件的问题。</w:t>
      </w:r>
    </w:p>
    <w:p>
      <w:pPr>
        <w:ind w:firstLine="480"/>
      </w:pPr>
      <w:r>
        <w:rPr>
          <w:rFonts w:hint="eastAsia"/>
        </w:rPr>
        <w:t>a、调查组</w:t>
      </w:r>
    </w:p>
    <w:p>
      <w:pPr>
        <w:ind w:firstLine="480"/>
      </w:pPr>
      <w:r>
        <w:rPr>
          <w:rFonts w:hint="eastAsia"/>
        </w:rPr>
        <w:t>调查组主要负责及时了解突发事件控制情况，随时与治安保卫突发事件应急处理小组保持联系，及时反馈信息，确保上传下达，接待新闻媒体采访和信息的发布工作，保证信息通畅。</w:t>
      </w:r>
    </w:p>
    <w:p>
      <w:pPr>
        <w:ind w:firstLine="480"/>
      </w:pPr>
      <w:r>
        <w:rPr>
          <w:rFonts w:hint="eastAsia"/>
        </w:rPr>
        <w:t>b、救护组</w:t>
      </w:r>
    </w:p>
    <w:p>
      <w:pPr>
        <w:ind w:firstLine="480"/>
      </w:pPr>
      <w:r>
        <w:rPr>
          <w:rFonts w:hint="eastAsia"/>
        </w:rPr>
        <w:t>救护组主要任务是组织相应的应急救护队人员赶赴现场，设立现场临时抢救点，按程序及救护原则，及时抢救、配合转移重伤员。</w:t>
      </w:r>
    </w:p>
    <w:p>
      <w:pPr>
        <w:ind w:firstLine="480"/>
      </w:pPr>
      <w:r>
        <w:rPr>
          <w:rFonts w:hint="eastAsia"/>
        </w:rPr>
        <w:t>c、防护组</w:t>
      </w:r>
    </w:p>
    <w:p>
      <w:pPr>
        <w:ind w:firstLine="480"/>
      </w:pPr>
      <w:r>
        <w:rPr>
          <w:rFonts w:hint="eastAsia"/>
        </w:rPr>
        <w:t>防护组由工程技术部相关技术人员组成。主要任务是负责特殊突发事件中出现的有毒物品、爆炸物品、水源或需特殊性处理的危险因素的技术处理措施，及时疏散治安突发区围观群众及组织排险等提供可靠性技术意见和依据。</w:t>
      </w:r>
    </w:p>
    <w:p>
      <w:pPr>
        <w:ind w:firstLine="480"/>
      </w:pPr>
      <w:r>
        <w:rPr>
          <w:rFonts w:hint="eastAsia"/>
        </w:rPr>
        <w:t>d、抢险组</w:t>
      </w:r>
    </w:p>
    <w:p>
      <w:pPr>
        <w:ind w:firstLine="480"/>
      </w:pPr>
      <w:r>
        <w:rPr>
          <w:rFonts w:hint="eastAsia"/>
        </w:rPr>
        <w:t>抢险组由项目部及施工班组管理人员和抢险救护人员组成。主要任务是对防护组确定的有毒物品、爆炸物品、水源或需特殊性处理的危险因素实施防范措施；对已因事件造成损害的管线、设备、暂设建筑进行急救维修，若夜间发生突发事件时，负责架设现场夜间照明设备。</w:t>
      </w:r>
    </w:p>
    <w:p>
      <w:pPr>
        <w:ind w:firstLine="480"/>
      </w:pPr>
      <w:r>
        <w:rPr>
          <w:rFonts w:hint="eastAsia"/>
        </w:rPr>
        <w:t>e、保卫组</w:t>
      </w:r>
    </w:p>
    <w:p>
      <w:pPr>
        <w:ind w:firstLine="480"/>
      </w:pPr>
      <w:r>
        <w:rPr>
          <w:rFonts w:hint="eastAsia"/>
        </w:rPr>
        <w:t>保卫组由保安队人员组成。主要任务是对案发区域实施监控；协助公安机关专业人员勘察现场；会同有关部门查明事件原因，追查犯罪，及时破案；负责组织力量设立警戒线，维护现场秩序，协助救护组、抢险组对人员救护、转移疏散等。</w:t>
      </w:r>
    </w:p>
    <w:p>
      <w:pPr>
        <w:ind w:firstLine="480"/>
      </w:pPr>
      <w:r>
        <w:rPr>
          <w:rFonts w:hint="eastAsia"/>
        </w:rPr>
        <w:t>2、治安突发事件预防措施</w:t>
      </w:r>
    </w:p>
    <w:p>
      <w:pPr>
        <w:ind w:firstLine="480"/>
      </w:pPr>
      <w:bookmarkStart w:id="471" w:name="_Toc250969881"/>
      <w:r>
        <w:rPr>
          <w:rFonts w:hint="eastAsia"/>
        </w:rPr>
        <w:t>1）、加强内部防范控制</w:t>
      </w:r>
      <w:bookmarkEnd w:id="471"/>
    </w:p>
    <w:p>
      <w:pPr>
        <w:ind w:firstLine="480"/>
      </w:pPr>
      <w:r>
        <w:rPr>
          <w:rFonts w:hint="eastAsia"/>
        </w:rPr>
        <w:t>（1）加强对本项目所管辖施工区域、重点部位、要害部门实施全方位的治安防范，把责任落实到人，严格落实治安防范标准。</w:t>
      </w:r>
    </w:p>
    <w:p>
      <w:pPr>
        <w:ind w:firstLine="480"/>
      </w:pPr>
      <w:r>
        <w:rPr>
          <w:rFonts w:hint="eastAsia"/>
        </w:rPr>
        <w:t>（2）加强领导值班，充实施工现场保安力量，完善领导值班和值班人员及警卫巡查制度，明确责任有效监控。</w:t>
      </w:r>
    </w:p>
    <w:p>
      <w:pPr>
        <w:ind w:firstLine="480"/>
      </w:pPr>
      <w:r>
        <w:rPr>
          <w:rFonts w:hint="eastAsia"/>
        </w:rPr>
        <w:t>（3）各级领导、保卫干部要积极深入基层，广泛接触群众，搜集情报信息，及时掌握职工思想动态和苗头对职工关心的热点问题，要细致做工作防止矛盾激化，避免造成社会影响。</w:t>
      </w:r>
    </w:p>
    <w:p>
      <w:pPr>
        <w:ind w:firstLine="480"/>
      </w:pPr>
      <w:r>
        <w:rPr>
          <w:rFonts w:hint="eastAsia"/>
        </w:rPr>
        <w:t>（4）要提高治安管理的认识，认清形势，深入了解内外敌对势力、敌对分子对企业内部的渗透破坏，发现有异常情报及时向领导小组报告，不得延误，争取主动。</w:t>
      </w:r>
    </w:p>
    <w:p>
      <w:pPr>
        <w:ind w:firstLine="480"/>
      </w:pPr>
      <w:bookmarkStart w:id="472" w:name="_Toc250969882"/>
      <w:r>
        <w:rPr>
          <w:rFonts w:hint="eastAsia"/>
        </w:rPr>
        <w:t>2）、工程项目治安保卫工作，实行施工单位负责制</w:t>
      </w:r>
      <w:bookmarkEnd w:id="472"/>
    </w:p>
    <w:p>
      <w:pPr>
        <w:ind w:firstLine="480"/>
      </w:pPr>
      <w:r>
        <w:rPr>
          <w:rFonts w:hint="eastAsia"/>
        </w:rPr>
        <w:t>（1）项目经理部应组织做好贯彻执行国家和本市有关治安保卫工作的规定，加强本工程建设项目治安保卫共工作的领导。</w:t>
      </w:r>
    </w:p>
    <w:p>
      <w:pPr>
        <w:ind w:firstLine="480"/>
      </w:pPr>
      <w:r>
        <w:rPr>
          <w:rFonts w:hint="eastAsia"/>
        </w:rPr>
        <w:t>（2）结合本工程建设项目的特点，制定治安保卫工作方案，并督促施工班组认真落实。</w:t>
      </w:r>
    </w:p>
    <w:p>
      <w:pPr>
        <w:ind w:firstLine="480"/>
      </w:pPr>
      <w:r>
        <w:rPr>
          <w:rFonts w:hint="eastAsia"/>
        </w:rPr>
        <w:t>（3）项目经理部与施工班组制定行政保卫工作目标管理责任书。</w:t>
      </w:r>
    </w:p>
    <w:p>
      <w:pPr>
        <w:ind w:firstLine="480"/>
      </w:pPr>
      <w:r>
        <w:rPr>
          <w:rFonts w:hint="eastAsia"/>
        </w:rPr>
        <w:t>（4）组织检查昼夜值班、巡逻工作。</w:t>
      </w:r>
    </w:p>
    <w:p>
      <w:pPr>
        <w:ind w:firstLine="480"/>
      </w:pPr>
      <w:r>
        <w:rPr>
          <w:rFonts w:hint="eastAsia"/>
        </w:rPr>
        <w:t>（5）定期组织会议，协调解决施工中治安保卫工作中的重大问题。</w:t>
      </w:r>
    </w:p>
    <w:p>
      <w:pPr>
        <w:ind w:firstLine="480"/>
      </w:pPr>
      <w:r>
        <w:rPr>
          <w:rFonts w:hint="eastAsia"/>
        </w:rPr>
        <w:t>（6）配合政府有关部门处理影响施工的纠纷，协助公安机关处理治安突发事件。</w:t>
      </w:r>
    </w:p>
    <w:p>
      <w:pPr>
        <w:ind w:firstLine="480"/>
      </w:pPr>
      <w:r>
        <w:rPr>
          <w:rFonts w:hint="eastAsia"/>
        </w:rPr>
        <w:t>（7）接受公安机关对本工程建设项目治安保卫工作的监督、指导。</w:t>
      </w:r>
    </w:p>
    <w:p>
      <w:pPr>
        <w:ind w:firstLine="480"/>
      </w:pPr>
      <w:bookmarkStart w:id="473" w:name="_Toc250969883"/>
      <w:r>
        <w:rPr>
          <w:rFonts w:hint="eastAsia"/>
        </w:rPr>
        <w:t>3）、根据本工程治安防范要点，加强要害部位的防控工作</w:t>
      </w:r>
      <w:bookmarkEnd w:id="473"/>
    </w:p>
    <w:p>
      <w:pPr>
        <w:ind w:firstLine="480"/>
      </w:pPr>
      <w:r>
        <w:rPr>
          <w:rFonts w:hint="eastAsia"/>
        </w:rPr>
        <w:t>（1）治安保卫工作要纳入本工程《施工组织设计》，做到治安保卫工作与施工同步进行。</w:t>
      </w:r>
    </w:p>
    <w:p>
      <w:pPr>
        <w:ind w:firstLine="480"/>
      </w:pPr>
      <w:r>
        <w:rPr>
          <w:rFonts w:hint="eastAsia"/>
        </w:rPr>
        <w:t>（2）加强对施工人员的法制教育和自觉维护施工现场治安秩序的教育。</w:t>
      </w:r>
    </w:p>
    <w:p>
      <w:pPr>
        <w:ind w:firstLine="480"/>
      </w:pPr>
      <w:r>
        <w:rPr>
          <w:rFonts w:hint="eastAsia"/>
        </w:rPr>
        <w:t>（3）定期组织治安防范检查，落实防火灾、防盗窃、防抢劫、防爆炸等治安防范措施。</w:t>
      </w:r>
    </w:p>
    <w:p>
      <w:pPr>
        <w:ind w:firstLine="480"/>
      </w:pPr>
      <w:r>
        <w:rPr>
          <w:rFonts w:hint="eastAsia"/>
        </w:rPr>
        <w:t>（4）加强对施工队伍的治安管理，不得雇佣“三证”手续不全的外埠施工人员。</w:t>
      </w:r>
    </w:p>
    <w:p>
      <w:pPr>
        <w:ind w:firstLine="480"/>
      </w:pPr>
      <w:r>
        <w:rPr>
          <w:rFonts w:hint="eastAsia"/>
        </w:rPr>
        <w:t>（5）施工现场实行区域管理，生活区于施工区应当严格分开，区域之间应有明显标志。</w:t>
      </w:r>
    </w:p>
    <w:p>
      <w:pPr>
        <w:ind w:firstLine="480"/>
      </w:pPr>
      <w:r>
        <w:rPr>
          <w:rFonts w:hint="eastAsia"/>
        </w:rPr>
        <w:t>（6）施工现场实行出入证制度，门卫应当严格查验证件，与施工无关人员不得进入施工现场。</w:t>
      </w:r>
    </w:p>
    <w:p>
      <w:pPr>
        <w:ind w:firstLine="480"/>
      </w:pPr>
      <w:r>
        <w:rPr>
          <w:rFonts w:hint="eastAsia"/>
        </w:rPr>
        <w:t>（7）施工现场搭设的各种临时设施应当符合治安、消防的规定。</w:t>
      </w:r>
    </w:p>
    <w:p>
      <w:pPr>
        <w:ind w:firstLine="480"/>
      </w:pPr>
      <w:r>
        <w:rPr>
          <w:rFonts w:hint="eastAsia"/>
        </w:rPr>
        <w:t>（8）接受公安机关及上级业务管理部门的监督检查，并及时整改反馈。</w:t>
      </w:r>
    </w:p>
    <w:p>
      <w:pPr>
        <w:ind w:firstLine="480"/>
      </w:pPr>
      <w:bookmarkStart w:id="474" w:name="_Toc250969884"/>
      <w:r>
        <w:rPr>
          <w:rFonts w:hint="eastAsia"/>
        </w:rPr>
        <w:t>4）、加强进场施工人员的政审工作，下列人员不批准进入本工程项目</w:t>
      </w:r>
      <w:bookmarkEnd w:id="474"/>
    </w:p>
    <w:p>
      <w:pPr>
        <w:ind w:firstLine="480"/>
      </w:pPr>
      <w:r>
        <w:rPr>
          <w:rFonts w:hint="eastAsia"/>
        </w:rPr>
        <w:t>（1）被判缓刑、管制、剥夺政治权利、假释、监外执行的犯罪人员， 动教养监外执行人员。</w:t>
      </w:r>
    </w:p>
    <w:p>
      <w:pPr>
        <w:ind w:firstLine="480"/>
      </w:pPr>
      <w:r>
        <w:rPr>
          <w:rFonts w:hint="eastAsia"/>
        </w:rPr>
        <w:t>（2）被公安机关采取强制措施的人员。</w:t>
      </w:r>
    </w:p>
    <w:p>
      <w:pPr>
        <w:ind w:firstLine="480"/>
      </w:pPr>
      <w:r>
        <w:rPr>
          <w:rFonts w:hint="eastAsia"/>
        </w:rPr>
        <w:t>（3）对现实政策严重不满，有敌对情绪的人员及“法轮功”练习者、“法轮功”骨干分子。</w:t>
      </w:r>
    </w:p>
    <w:p>
      <w:pPr>
        <w:ind w:firstLine="480"/>
      </w:pPr>
      <w:r>
        <w:rPr>
          <w:rFonts w:hint="eastAsia"/>
        </w:rPr>
        <w:t>（4）精神病人、呆傻人员、及其他不能保证自身安全的人员。</w:t>
      </w:r>
    </w:p>
    <w:p>
      <w:pPr>
        <w:ind w:firstLine="480"/>
      </w:pPr>
      <w:r>
        <w:rPr>
          <w:rFonts w:hint="eastAsia"/>
        </w:rPr>
        <w:t>（5）其他有可能危害工程安全的人员。</w:t>
      </w:r>
    </w:p>
    <w:p>
      <w:pPr>
        <w:ind w:firstLine="480"/>
      </w:pPr>
      <w:bookmarkStart w:id="475" w:name="_Toc250969885"/>
      <w:r>
        <w:rPr>
          <w:rFonts w:hint="eastAsia"/>
        </w:rPr>
        <w:t>3、治安突发事件应急响应</w:t>
      </w:r>
      <w:bookmarkEnd w:id="475"/>
    </w:p>
    <w:p>
      <w:pPr>
        <w:ind w:firstLine="480"/>
      </w:pPr>
      <w:bookmarkStart w:id="476" w:name="_Toc250969886"/>
      <w:r>
        <w:rPr>
          <w:rFonts w:hint="eastAsia"/>
        </w:rPr>
        <w:t>1）、治安应急响应措施</w:t>
      </w:r>
      <w:bookmarkEnd w:id="476"/>
    </w:p>
    <w:p>
      <w:pPr>
        <w:ind w:firstLine="480"/>
      </w:pPr>
      <w:r>
        <w:rPr>
          <w:rFonts w:hint="eastAsia"/>
        </w:rPr>
        <w:t>（1）施工现场一旦发生治安突发事件后，单位领导及保卫负责人要快速反应，在迅速出动赶赴现场的同时，立即将接到的突发事件情况报告经理部治安保卫突发事件应急处理领导小组。各部门接到批示后，立即按照本预案的要求，迅速组织力量赶到制定位置，到达现场后，要按照现场应急处理领导小组的命令，各能够付其职，积极主动的投入处置工作。</w:t>
      </w:r>
    </w:p>
    <w:p>
      <w:pPr>
        <w:ind w:firstLine="480"/>
      </w:pPr>
      <w:r>
        <w:rPr>
          <w:rFonts w:hint="eastAsia"/>
        </w:rPr>
        <w:t>（2）施工现场外出现不法聚集活动等事件时，应立即部署施工现场所有入口，严格控制出入口，严格控制出入，严禁外场人员闯入施工现场。各级领导应密切注视，控制局面，做好说服劝阻工作，严格控制不法分子乘机捣乱，使矛盾激化。</w:t>
      </w:r>
    </w:p>
    <w:p>
      <w:pPr>
        <w:ind w:firstLine="480"/>
      </w:pPr>
      <w:r>
        <w:rPr>
          <w:rFonts w:hint="eastAsia"/>
        </w:rPr>
        <w:t>（3）现场外发生的民扰事件，要立即通知当地公安部门和驻地政府，协同做好说服教育工作，严防不法分子乘机捣乱破坏。</w:t>
      </w:r>
    </w:p>
    <w:p>
      <w:pPr>
        <w:ind w:firstLine="480"/>
      </w:pPr>
      <w:r>
        <w:rPr>
          <w:rFonts w:hint="eastAsia"/>
        </w:rPr>
        <w:t>（4）遇有重大活动时，要根据上级对保卫工作的具体要求，及时增加警卫、护场人员：施工现场所有大门和出入开口增加固定岗，同时现场、办公区等部位增加流动岗、保证值班养护人员24小时处于戒备状态，确保重大活动人员的绝对安全。</w:t>
      </w:r>
    </w:p>
    <w:p>
      <w:pPr>
        <w:ind w:firstLine="480"/>
      </w:pPr>
      <w:r>
        <w:rPr>
          <w:rFonts w:hint="eastAsia"/>
        </w:rPr>
        <w:t>（5）如内部员工或施工班组人员有过激言论和行为时，立即采取措施予以制止，同时通知有关责任单位做好说服教育工作，确保内部稳定。</w:t>
      </w:r>
    </w:p>
    <w:p>
      <w:pPr>
        <w:ind w:firstLine="480"/>
      </w:pPr>
      <w:r>
        <w:rPr>
          <w:rFonts w:hint="eastAsia"/>
        </w:rPr>
        <w:t>（6）施工中一旦发现和挖出危险品、文物及国家宝藏资源时应立即停止施工，划定警戒范围和区域、进行现场保护措施，安排有关领导小组和上级主管相关部门报告。若现场实际情况不明，可先按照危险品对待，待处置结束查明情况后，再按确定的案件性质进行处理。</w:t>
      </w:r>
    </w:p>
    <w:p>
      <w:pPr>
        <w:ind w:firstLine="480"/>
      </w:pPr>
      <w:r>
        <w:rPr>
          <w:rFonts w:hint="eastAsia"/>
        </w:rPr>
        <w:t>（7）若在施工现场发现有偷盗行为的人员，发现人第一时间通知他人报告给相关部门领导，并立即通知当地公安部门，采取措施进行制止。</w:t>
      </w:r>
    </w:p>
    <w:p>
      <w:pPr>
        <w:ind w:firstLine="480"/>
      </w:pPr>
      <w:r>
        <w:rPr>
          <w:rFonts w:hint="eastAsia"/>
        </w:rPr>
        <w:t>（8）若突发事件是抢劫等严重危害施工人员、破坏工程设施的刑事案件，对危害仍再继续蔓延或有可能继续蔓延的现场，要采取果断的措施，防止危险源，并主动疏散危害区内的施工人员，防止因危险源扩散而造成严重的后果：案发后，要密切配合公安机关迅速组织精干力量，深入细致的开展勘察、调查工作，力争尽快侦破：要紧密配合，深挖线索形成合力，坚持依法从重从快的方针，快审快结，严厉打击现场的破坏活动。</w:t>
      </w:r>
    </w:p>
    <w:p>
      <w:pPr>
        <w:ind w:firstLine="480"/>
      </w:pPr>
      <w:r>
        <w:rPr>
          <w:rFonts w:hint="eastAsia"/>
        </w:rPr>
        <w:t>（9）治安突发事件处理工作结束的当天，经理部应将事件发生情况，写出书面材料报告经理部治安保卫突发事件应急处理领导小组和上级主管部门。</w:t>
      </w:r>
    </w:p>
    <w:p>
      <w:pPr>
        <w:ind w:firstLine="480"/>
      </w:pPr>
      <w:bookmarkStart w:id="477" w:name="_Toc250969887"/>
      <w:r>
        <w:rPr>
          <w:rFonts w:hint="eastAsia"/>
        </w:rPr>
        <w:t>2）、突发事件书面上的上报材料应当包括一下内容</w:t>
      </w:r>
      <w:bookmarkEnd w:id="477"/>
    </w:p>
    <w:p>
      <w:pPr>
        <w:ind w:firstLine="480"/>
      </w:pPr>
      <w:r>
        <w:rPr>
          <w:rFonts w:hint="eastAsia"/>
        </w:rPr>
        <w:t>（1）突发事件书面的单位名称，单位负责人，联系电话。</w:t>
      </w:r>
    </w:p>
    <w:p>
      <w:pPr>
        <w:ind w:firstLine="480"/>
      </w:pPr>
      <w:r>
        <w:rPr>
          <w:rFonts w:hint="eastAsia"/>
        </w:rPr>
        <w:t>（2）发生突发事件的具体事件、地点。</w:t>
      </w:r>
    </w:p>
    <w:p>
      <w:pPr>
        <w:ind w:firstLine="480"/>
      </w:pPr>
      <w:r>
        <w:rPr>
          <w:rFonts w:hint="eastAsia"/>
        </w:rPr>
        <w:t>（3）发生突发事件造成伤亡人数情况、直接经济损失的初步估计情况。</w:t>
      </w:r>
    </w:p>
    <w:p>
      <w:pPr>
        <w:ind w:firstLine="480"/>
      </w:pPr>
      <w:r>
        <w:rPr>
          <w:rFonts w:hint="eastAsia"/>
        </w:rPr>
        <w:t>（4）发生突发事件原因的简要经过。</w:t>
      </w:r>
    </w:p>
    <w:p>
      <w:pPr>
        <w:ind w:firstLine="480"/>
      </w:pPr>
      <w:r>
        <w:rPr>
          <w:rFonts w:hint="eastAsia"/>
        </w:rPr>
        <w:t>（5）发生突发事件原因的初步分析判断。</w:t>
      </w:r>
    </w:p>
    <w:p>
      <w:pPr>
        <w:ind w:firstLine="480"/>
      </w:pPr>
      <w:r>
        <w:rPr>
          <w:rFonts w:hint="eastAsia"/>
        </w:rPr>
        <w:t>（6）发生突发事件后采取的应急处理措施及控制情况。</w:t>
      </w:r>
    </w:p>
    <w:p>
      <w:pPr>
        <w:ind w:firstLine="480"/>
      </w:pPr>
      <w:r>
        <w:rPr>
          <w:rFonts w:hint="eastAsia"/>
        </w:rPr>
        <w:t>（7）需要协助突发事件后采取的应急处理措施及控制情况。</w:t>
      </w:r>
    </w:p>
    <w:p>
      <w:pPr>
        <w:ind w:firstLine="480"/>
      </w:pPr>
      <w:r>
        <w:rPr>
          <w:rFonts w:hint="eastAsia"/>
        </w:rPr>
        <w:t>（8）治安突发事件处置工作结束后，单位要及时总结经验、教训，将有关情况及专业部门对突发事件认定结果等写出书面材料上报。</w:t>
      </w:r>
      <w:bookmarkEnd w:id="468"/>
    </w:p>
    <w:p>
      <w:pPr>
        <w:pStyle w:val="3"/>
        <w:spacing w:before="278" w:after="278"/>
      </w:pPr>
      <w:bookmarkStart w:id="478" w:name="_Toc25826"/>
      <w:r>
        <w:rPr>
          <w:rFonts w:hint="eastAsia"/>
        </w:rPr>
        <w:t xml:space="preserve">第十一章 </w:t>
      </w:r>
      <w:r>
        <w:t xml:space="preserve"> </w:t>
      </w:r>
      <w:r>
        <w:rPr>
          <w:rFonts w:hint="eastAsia"/>
        </w:rPr>
        <w:t>项目主要管理人员及工程技术人员组成情况</w:t>
      </w:r>
      <w:bookmarkEnd w:id="478"/>
    </w:p>
    <w:p>
      <w:pPr>
        <w:ind w:firstLine="480"/>
      </w:pPr>
      <w:r>
        <w:rPr>
          <w:rFonts w:hint="eastAsia"/>
        </w:rPr>
        <w:t>我公司近年来先后参与了多项重点工程建设，施工质量受到业主及社会各界的广泛赞誉。多年的生产实践，使我公司培养出一大批施工经验丰富、专业技术高超、管理能力极强的复合型人才。</w:t>
      </w:r>
    </w:p>
    <w:p>
      <w:pPr>
        <w:ind w:firstLine="480"/>
      </w:pPr>
      <w:r>
        <w:rPr>
          <w:rFonts w:hint="eastAsia"/>
        </w:rPr>
        <w:t>1、项目经理部</w:t>
      </w:r>
    </w:p>
    <w:p>
      <w:pPr>
        <w:ind w:firstLine="480"/>
      </w:pPr>
      <w:r>
        <w:rPr>
          <w:rFonts w:hint="eastAsia"/>
        </w:rPr>
        <w:t>组建一个由一批技术精、业务熟的同志组成的精干高效的项目经理部，在项目经理的统一领导下，形成一个科学、严密的项目管理网络。项目经理部围绕项目管理五大目标，设经理室、总师室、工程部、财务部、机料部、安全部、总务部和工地试验室，其中工程部下设合同组、工程组、测量组，总办公室下设协调组、办公室，机料部下设机务组和材料组。</w:t>
      </w:r>
    </w:p>
    <w:p>
      <w:pPr>
        <w:ind w:firstLine="480"/>
      </w:pPr>
      <w:r>
        <w:rPr>
          <w:rFonts w:hint="eastAsia"/>
        </w:rPr>
        <w:t>项目组织机构图和各科室主要职责见第一部分施工总体设想中项目组织机构部分。</w:t>
      </w:r>
    </w:p>
    <w:p>
      <w:pPr>
        <w:ind w:firstLine="480"/>
      </w:pPr>
      <w:r>
        <w:rPr>
          <w:rFonts w:hint="eastAsia"/>
        </w:rPr>
        <w:t>本工程实行项目经理负责制，各岗位按实际需要设立，各岗位主要职责如下：</w:t>
      </w:r>
    </w:p>
    <w:p>
      <w:pPr>
        <w:ind w:firstLine="480"/>
      </w:pPr>
      <w:r>
        <w:rPr>
          <w:rFonts w:hint="eastAsia"/>
        </w:rPr>
        <w:t>（1）、项目经理</w:t>
      </w:r>
    </w:p>
    <w:p>
      <w:pPr>
        <w:ind w:firstLine="480"/>
      </w:pPr>
      <w:r>
        <w:rPr>
          <w:rFonts w:hint="eastAsia"/>
        </w:rPr>
        <w:t>全面履行合同，全面控制工程的进度计划和工程质量、安全工作，明确所设部门的管理职责，决定项目资源配备。确定项目质量方针和保证质量方针和目标实现。控制工程成本，有权评审分包商和材料供应商，并向业主推荐并确定分包商和材料供应商。定期组织召开施工现场协调会。</w:t>
      </w:r>
    </w:p>
    <w:p>
      <w:pPr>
        <w:ind w:firstLine="480"/>
      </w:pPr>
      <w:r>
        <w:rPr>
          <w:rFonts w:hint="eastAsia"/>
        </w:rPr>
        <w:t>（2）、项目副经理</w:t>
      </w:r>
    </w:p>
    <w:p>
      <w:pPr>
        <w:ind w:firstLine="480"/>
      </w:pPr>
      <w:r>
        <w:rPr>
          <w:rFonts w:hint="eastAsia"/>
        </w:rPr>
        <w:t>全面组织管理施工现场的生产、材料、机械设备、劳动力调配和安全生产工作。负责与其他施工队的协调管理，对各工种、各专业之间和生产矛盾进行协调，按月、周安排生产进度计划和实施细则，并根据业主代表及监理的要求调整工作计划。</w:t>
      </w:r>
    </w:p>
    <w:p>
      <w:pPr>
        <w:ind w:firstLine="480"/>
      </w:pPr>
      <w:r>
        <w:rPr>
          <w:rFonts w:hint="eastAsia"/>
        </w:rPr>
        <w:t>（3）、专业工程师（拆除、安全）</w:t>
      </w:r>
    </w:p>
    <w:p>
      <w:pPr>
        <w:ind w:firstLine="480"/>
      </w:pPr>
      <w:r>
        <w:rPr>
          <w:rFonts w:hint="eastAsia"/>
        </w:rPr>
        <w:t>负责对工程技术、质量、安全进行全面监控，以确保合同条款中的质量等级得到实现，对技术有决定权，对质量有否决权，对安全有控制权。</w:t>
      </w:r>
    </w:p>
    <w:p>
      <w:pPr>
        <w:ind w:firstLine="480"/>
      </w:pPr>
      <w:r>
        <w:rPr>
          <w:rFonts w:hint="eastAsia"/>
        </w:rPr>
        <w:t>全面负责工种的技术、质量工作，具体协调各种工程间的技术问题，确定施工技术方案，解决生产过程的技术问题，严格控制工程质量，纠正工程质量通病，严肃工序间的质量检验。</w:t>
      </w:r>
    </w:p>
    <w:p>
      <w:pPr>
        <w:ind w:firstLine="480"/>
      </w:pPr>
      <w:r>
        <w:rPr>
          <w:rFonts w:hint="eastAsia"/>
        </w:rPr>
        <w:t>（4）、技术员</w:t>
      </w:r>
    </w:p>
    <w:p>
      <w:pPr>
        <w:ind w:firstLine="480"/>
      </w:pPr>
      <w:r>
        <w:rPr>
          <w:rFonts w:hint="eastAsia"/>
        </w:rPr>
        <w:t>负责技术管理。包括：编制施工组织设计及分项工程的施工方案，报送业主、监理单位审批后实施；负责对施工图预审、会审翻样、现场测量放线工作；现场试块的制作、养护、送试工作；现场计量器具的定期检测工作；负责编制周、月计划并报送这业主、落实生产单位；做好各种、专业之间的协调工作，定期召集生产会议，落实生计划；负责做好生产计划完成情况的统计报送工作。</w:t>
      </w:r>
    </w:p>
    <w:p>
      <w:pPr>
        <w:ind w:firstLine="480"/>
      </w:pPr>
      <w:r>
        <w:rPr>
          <w:rFonts w:hint="eastAsia"/>
        </w:rPr>
        <w:t>具体负责资料及工程技术档案保管，信函住来、强化信息传递、负责文档传递运转。对来往文件及时登记，并将所有各方的文件及时送项目经理、监理、业主及有关部门。</w:t>
      </w:r>
    </w:p>
    <w:p>
      <w:pPr>
        <w:ind w:firstLine="480"/>
      </w:pPr>
      <w:r>
        <w:rPr>
          <w:rFonts w:hint="eastAsia"/>
        </w:rPr>
        <w:t>（5）、质检及安全工程师</w:t>
      </w:r>
    </w:p>
    <w:p>
      <w:pPr>
        <w:ind w:firstLine="480"/>
      </w:pPr>
      <w:r>
        <w:rPr>
          <w:rFonts w:hint="eastAsia"/>
        </w:rPr>
        <w:t>负责质量、安全动态管理。负责对工程质量的预控、监督和检查工作；按照招标文件对工程质量的要求及国家、秦皇岛市及本企业的有关规定，对每个分项工程进行检验，并通知业主、监理单位办理验收认可手续；负责工地安全生产的预控和监控，预防事故发生。</w:t>
      </w:r>
    </w:p>
    <w:p>
      <w:pPr>
        <w:ind w:firstLine="480"/>
      </w:pPr>
      <w:r>
        <w:rPr>
          <w:rFonts w:hint="eastAsia"/>
        </w:rPr>
        <w:t>（6）、材料统计员</w:t>
      </w:r>
    </w:p>
    <w:p>
      <w:pPr>
        <w:ind w:firstLine="480"/>
      </w:pPr>
      <w:r>
        <w:rPr>
          <w:rFonts w:hint="eastAsia"/>
        </w:rPr>
        <w:t>负责材料管理，根据设计图纸所规定的材料采样，并送建设、监理单位认可填充样后进行批量采购；负责按工程分阶段材料需用计划组织供应；并对进场原材料、成品、半成品进行验收、保管、发放；负责对各种材料的计量进行监督检查，并做好记录。</w:t>
      </w:r>
    </w:p>
    <w:p>
      <w:pPr>
        <w:ind w:firstLine="480"/>
      </w:pPr>
      <w:r>
        <w:rPr>
          <w:rFonts w:hint="eastAsia"/>
        </w:rPr>
        <w:t>（7）、试验工程师</w:t>
      </w:r>
    </w:p>
    <w:p>
      <w:pPr>
        <w:ind w:firstLine="480"/>
      </w:pPr>
      <w:r>
        <w:rPr>
          <w:rFonts w:hint="eastAsia"/>
        </w:rPr>
        <w:t>负责工程项目检测、试验、交验及不合格品的检验控制，按检验评定标准对施工过程实施监督并对检验结果负责。</w:t>
      </w:r>
    </w:p>
    <w:p>
      <w:pPr>
        <w:ind w:firstLine="480"/>
      </w:pPr>
      <w:r>
        <w:rPr>
          <w:rFonts w:hint="eastAsia"/>
        </w:rPr>
        <w:t>负责现场各种原材料试件和砼试件的样品采集和测试、检验及质量记录。根据现场试验资料，提出土方施工最佳含水量等指导性试验数据，并在施工过程中提出修正意见批准后执行。</w:t>
      </w:r>
    </w:p>
    <w:p>
      <w:pPr>
        <w:ind w:firstLine="480"/>
      </w:pPr>
      <w:r>
        <w:rPr>
          <w:rFonts w:hint="eastAsia"/>
        </w:rPr>
        <w:t>负责工程项目的试验检测工作，并负责工程项目的测量、试验设备的核定、校准及使用管理工作。</w:t>
      </w:r>
    </w:p>
    <w:p>
      <w:pPr>
        <w:ind w:firstLine="480"/>
      </w:pPr>
      <w:r>
        <w:rPr>
          <w:rFonts w:hint="eastAsia"/>
        </w:rPr>
        <w:t>（8）、机械工程师</w:t>
      </w:r>
    </w:p>
    <w:p>
      <w:pPr>
        <w:ind w:firstLine="480"/>
      </w:pPr>
      <w:r>
        <w:rPr>
          <w:rFonts w:hint="eastAsia"/>
        </w:rPr>
        <w:t>负责设备管理，对大型设备进场、运输、安装、拆卸、保养、维修工作，制定具体实施方案，并予以实施；对一般施工机械的正常运转进行检查维修，以保证工程的顺利进行。</w:t>
      </w:r>
    </w:p>
    <w:p>
      <w:pPr>
        <w:ind w:firstLine="480"/>
      </w:pPr>
      <w:r>
        <w:rPr>
          <w:rFonts w:hint="eastAsia"/>
        </w:rPr>
        <w:t>（9）、后勤</w:t>
      </w:r>
    </w:p>
    <w:p>
      <w:pPr>
        <w:ind w:firstLine="480"/>
      </w:pPr>
      <w:r>
        <w:rPr>
          <w:rFonts w:hint="eastAsia"/>
        </w:rPr>
        <w:t>做好项目经理部内的生活、后勤的和管理工作。负责工地的防火、防盗等安全保卫工作；负责做好施工现场文明的监督、检查和预防工作。</w:t>
      </w:r>
    </w:p>
    <w:p>
      <w:pPr>
        <w:ind w:firstLine="480"/>
      </w:pPr>
      <w:r>
        <w:rPr>
          <w:rFonts w:hint="eastAsia"/>
        </w:rPr>
        <w:t>3、施工力量布置</w:t>
      </w:r>
    </w:p>
    <w:p>
      <w:pPr>
        <w:ind w:firstLine="480"/>
      </w:pPr>
      <w:r>
        <w:rPr>
          <w:rFonts w:hint="eastAsia"/>
        </w:rPr>
        <w:t>根据本工程的情况，各施工队伍由项目经理部统一协调，密切配合，整体联动。</w:t>
      </w:r>
    </w:p>
    <w:p>
      <w:pPr>
        <w:ind w:firstLine="480"/>
      </w:pPr>
      <w:r>
        <w:rPr>
          <w:rFonts w:hint="eastAsia"/>
        </w:rPr>
        <w:t>4、组织培训</w:t>
      </w:r>
    </w:p>
    <w:p>
      <w:pPr>
        <w:ind w:firstLine="480"/>
      </w:pPr>
      <w:r>
        <w:rPr>
          <w:rFonts w:hint="eastAsia"/>
        </w:rPr>
        <w:t>对工程所需的各技术工种进行技术培训教育，取得有关上岗证、资格证后方许其进场从事相应工种的工作。加强施工队伍的技术培训，开工前对施工队伍进行针对性的技术培训，尤其对技术工人，主要是熟悉温习施工操作规程和验收标准，对施工现场要认真踏勘、熟悉、了解，掌握吃透设计意图，抓住要点难点。施工前，为提高施工机械化程序，我们将抓好机械操作人员的培训。劳动力及技术工种人员进场后，定期对其进行劳动安全教育及施工技术总结及教育，以加强工人的劳动安全意识，不断提高施工技术，使工程顺利进展。</w:t>
      </w:r>
    </w:p>
    <w:p>
      <w:pPr>
        <w:pStyle w:val="3"/>
        <w:spacing w:before="278" w:after="278"/>
      </w:pPr>
      <w:bookmarkStart w:id="479" w:name="_Toc28196"/>
      <w:r>
        <w:rPr>
          <w:rFonts w:hint="eastAsia"/>
        </w:rPr>
        <w:t>第十二章  雨季施工方案</w:t>
      </w:r>
      <w:bookmarkEnd w:id="479"/>
    </w:p>
    <w:p>
      <w:pPr>
        <w:ind w:firstLine="480"/>
      </w:pPr>
      <w:r>
        <w:rPr>
          <w:rFonts w:hint="eastAsia"/>
        </w:rPr>
        <w:t>一、雨期施工准备</w:t>
      </w:r>
    </w:p>
    <w:p>
      <w:pPr>
        <w:ind w:firstLine="480"/>
      </w:pPr>
      <w:r>
        <w:rPr>
          <w:rFonts w:hint="eastAsia"/>
        </w:rPr>
        <w:t>1、技术准备</w:t>
      </w:r>
    </w:p>
    <w:p>
      <w:pPr>
        <w:ind w:firstLine="480"/>
      </w:pPr>
      <w:r>
        <w:rPr>
          <w:rFonts w:hint="eastAsia"/>
        </w:rPr>
        <w:t>1）施工前掌握天气变化情况，考虑与其高温季节对工程的影响，编制雨季施工方案，并逐级进行针对性的安全技术交底。</w:t>
      </w:r>
    </w:p>
    <w:p>
      <w:pPr>
        <w:ind w:firstLine="480"/>
      </w:pPr>
      <w:r>
        <w:rPr>
          <w:rFonts w:hint="eastAsia"/>
        </w:rPr>
        <w:t>2）派专人进行气温观测，做好记录并与气象部门保持联系，及时了解天气情况，防止大于、高温袭击，积极采取措施，现场布置好测温百叶箱。</w:t>
      </w:r>
    </w:p>
    <w:p>
      <w:pPr>
        <w:ind w:firstLine="480"/>
      </w:pPr>
      <w:r>
        <w:rPr>
          <w:rFonts w:hint="eastAsia"/>
        </w:rPr>
        <w:t>2、材料要求</w:t>
      </w:r>
    </w:p>
    <w:p>
      <w:pPr>
        <w:ind w:firstLine="480"/>
      </w:pPr>
      <w:r>
        <w:rPr>
          <w:rFonts w:hint="eastAsia"/>
        </w:rPr>
        <w:t>1）所需材料：雨衣、雨裤、雨鞋塑料布、编织袋及各分项工程所需材料。</w:t>
      </w:r>
    </w:p>
    <w:p>
      <w:pPr>
        <w:ind w:firstLine="480"/>
      </w:pPr>
      <w:r>
        <w:rPr>
          <w:rFonts w:hint="eastAsia"/>
        </w:rPr>
        <w:t>2）原材料存放场地保持地面干燥，周围有排水措施。</w:t>
      </w:r>
    </w:p>
    <w:p>
      <w:pPr>
        <w:ind w:firstLine="480"/>
      </w:pPr>
      <w:r>
        <w:rPr>
          <w:rFonts w:hint="eastAsia"/>
        </w:rPr>
        <w:t>二、雨季高温季节施工主要措施</w:t>
      </w:r>
    </w:p>
    <w:p>
      <w:pPr>
        <w:ind w:firstLine="480"/>
      </w:pPr>
      <w:r>
        <w:rPr>
          <w:rFonts w:hint="eastAsia"/>
        </w:rPr>
        <w:t>1、施工道路</w:t>
      </w:r>
    </w:p>
    <w:p>
      <w:pPr>
        <w:ind w:firstLine="480"/>
      </w:pPr>
      <w:r>
        <w:rPr>
          <w:rFonts w:hint="eastAsia"/>
        </w:rPr>
        <w:t>为保持雨期道路的的正常使用，对路面坑洼处应加铺炉渣、砂砾石、石面子等材料，道路两侧应做好排水，低洼处增设涵管，尽快排除积水。</w:t>
      </w:r>
    </w:p>
    <w:p>
      <w:pPr>
        <w:ind w:firstLine="480"/>
      </w:pPr>
      <w:r>
        <w:rPr>
          <w:rFonts w:hint="eastAsia"/>
        </w:rPr>
        <w:t>2、材料防护</w:t>
      </w:r>
    </w:p>
    <w:p>
      <w:pPr>
        <w:ind w:firstLine="480"/>
      </w:pPr>
      <w:r>
        <w:rPr>
          <w:rFonts w:hint="eastAsia"/>
        </w:rPr>
        <w:t>1）拆除准备再利用的材料堆放在地势较高处，并设置库房，垛底应高出地面0.5m。坚持及时收、发的原则。对易受潮设施应设金属密封料仓，如无料仓时，拆下的材料设施应放在地势高、防雨、防潮条件好的仓库内，底部铺设油毛毡，四周做好排水工作。</w:t>
      </w:r>
    </w:p>
    <w:p>
      <w:pPr>
        <w:ind w:firstLine="480"/>
      </w:pPr>
      <w:r>
        <w:rPr>
          <w:rFonts w:hint="eastAsia"/>
        </w:rPr>
        <w:t>2）钢筋堆放场地要进行夯实，并高于现场地面，用垫木将钢筋架起，以免因雨水浸泡而锈蚀。</w:t>
      </w:r>
    </w:p>
    <w:p>
      <w:pPr>
        <w:ind w:firstLine="480"/>
      </w:pPr>
      <w:r>
        <w:rPr>
          <w:rFonts w:hint="eastAsia"/>
        </w:rPr>
        <w:t>3、拆除工程施工主要措施</w:t>
      </w:r>
    </w:p>
    <w:p>
      <w:pPr>
        <w:ind w:firstLine="480"/>
      </w:pPr>
      <w:r>
        <w:rPr>
          <w:rFonts w:hint="eastAsia"/>
        </w:rPr>
        <w:t>1）拆除工程尽量避免在雨天进行，必要时要采取一定的防雨措施后方可组织施工。</w:t>
      </w:r>
    </w:p>
    <w:p>
      <w:pPr>
        <w:ind w:firstLine="480"/>
      </w:pPr>
      <w:r>
        <w:rPr>
          <w:rFonts w:hint="eastAsia"/>
        </w:rPr>
        <w:t>2）现场做好排水措施。基坑四周做好排水沟。</w:t>
      </w:r>
    </w:p>
    <w:p>
      <w:pPr>
        <w:ind w:firstLine="480"/>
      </w:pPr>
      <w:r>
        <w:rPr>
          <w:rFonts w:hint="eastAsia"/>
        </w:rPr>
        <w:t>4、拆除钢筋工程施工主要措施</w:t>
      </w:r>
    </w:p>
    <w:p>
      <w:pPr>
        <w:ind w:firstLine="480"/>
      </w:pPr>
      <w:r>
        <w:rPr>
          <w:rFonts w:hint="eastAsia"/>
        </w:rPr>
        <w:t>1）钢筋堆放场地要进行夯实，并高于现场地面，用垫木将钢筋架起250mm，避免因雨水浸泡加工好的成品、半成品，雨天应遮盖，防止锈蚀，大风雷雨天气，施工层上钢筋工程应停止作业，防止雷电伤人。</w:t>
      </w:r>
    </w:p>
    <w:p>
      <w:pPr>
        <w:ind w:firstLine="480"/>
      </w:pPr>
      <w:r>
        <w:rPr>
          <w:rFonts w:hint="eastAsia"/>
        </w:rPr>
        <w:t>三、雨季高温季节施工安全措施</w:t>
      </w:r>
    </w:p>
    <w:p>
      <w:pPr>
        <w:ind w:firstLine="480"/>
      </w:pPr>
      <w:r>
        <w:rPr>
          <w:rFonts w:hint="eastAsia"/>
        </w:rPr>
        <w:t>1）项目部后勤部门要保障操作人员的防暑、防雨、降温等劳保产品，工地要随时保证用水供应。</w:t>
      </w:r>
    </w:p>
    <w:p>
      <w:pPr>
        <w:ind w:firstLine="480"/>
      </w:pPr>
      <w:r>
        <w:rPr>
          <w:rFonts w:hint="eastAsia"/>
        </w:rPr>
        <w:t>2）加强建筑物周边的安全维护，工地内行走路线要做标记和维护畅通、水沟、坑口等要加强围栏。</w:t>
      </w:r>
    </w:p>
    <w:p>
      <w:pPr>
        <w:ind w:firstLine="480"/>
      </w:pPr>
      <w:r>
        <w:rPr>
          <w:rFonts w:hint="eastAsia"/>
        </w:rPr>
        <w:t>3）高空作业衣着要轻便，禁止穿硬底鞋和带钉易滑鞋上班。</w:t>
      </w:r>
    </w:p>
    <w:p>
      <w:pPr>
        <w:ind w:firstLine="480"/>
      </w:pPr>
      <w:r>
        <w:rPr>
          <w:rFonts w:hint="eastAsia"/>
        </w:rPr>
        <w:t>4）施工现场脚手架、防护措施、安全标志和警示牌，不得擅自拆动，须拆动应经施工负责人同意，并由专业人员加固后拆动，脚手板不得搭设在门窗、暖气片、洗脸池等非承重物上。阳台走廊部位抹灰，外侧必须挂安全网，严禁踩踏脚手架的护身栏和阳台板进行作业。</w:t>
      </w:r>
    </w:p>
    <w:p>
      <w:pPr>
        <w:ind w:firstLine="480"/>
      </w:pPr>
      <w:r>
        <w:rPr>
          <w:rFonts w:hint="eastAsia"/>
        </w:rPr>
        <w:t>5）工人宿舍要加强管理，项目部统一安排提供降温设施，工人不能私接降温设施。</w:t>
      </w:r>
    </w:p>
    <w:p>
      <w:pPr>
        <w:ind w:firstLine="480"/>
      </w:pPr>
      <w:r>
        <w:rPr>
          <w:rFonts w:hint="eastAsia"/>
        </w:rPr>
        <w:t>6）加强安全教育工作，每天上班前要做好各施工班组的安全技术交底。</w:t>
      </w:r>
    </w:p>
    <w:p>
      <w:pPr>
        <w:ind w:firstLine="480"/>
      </w:pPr>
      <w:r>
        <w:rPr>
          <w:rFonts w:hint="eastAsia"/>
        </w:rPr>
        <w:t>7）项目部安全员、施工管理员要勤于上工地检查，随时检查工地内各个施工部位和环节，发现有安全隐患的立即加以整改。</w:t>
      </w:r>
    </w:p>
    <w:p>
      <w:pPr>
        <w:ind w:firstLine="480"/>
      </w:pPr>
      <w:r>
        <w:rPr>
          <w:rFonts w:hint="eastAsia"/>
        </w:rPr>
        <w:t>8)夏天雨天多，加强对工地内各种用电设施的管理和维护，加强漏电保护措施。</w:t>
      </w:r>
    </w:p>
    <w:p>
      <w:pPr>
        <w:ind w:firstLine="480"/>
        <w:rPr>
          <w:rFonts w:ascii="宋体" w:hAnsi="宋体"/>
        </w:rPr>
      </w:pPr>
    </w:p>
    <w:p>
      <w:pPr>
        <w:pStyle w:val="3"/>
        <w:spacing w:before="278" w:after="278"/>
      </w:pPr>
      <w:bookmarkStart w:id="480" w:name="_Toc22371"/>
      <w:r>
        <w:rPr>
          <w:rFonts w:hint="eastAsia"/>
        </w:rPr>
        <w:t>第十三章  环境保护管理体系及措施</w:t>
      </w:r>
      <w:bookmarkEnd w:id="466"/>
      <w:bookmarkEnd w:id="467"/>
      <w:bookmarkEnd w:id="480"/>
    </w:p>
    <w:p>
      <w:pPr>
        <w:ind w:firstLine="480"/>
      </w:pPr>
      <w:r>
        <w:rPr>
          <w:rFonts w:hint="eastAsia"/>
        </w:rPr>
        <w:t>为保证施工期间，施工现场的安全管理、文明施工全面展开，保障施工生产顺利进行，同时保护和维护好施工现场及周边生态环境和生活环境，施工现场周围企事业单位秩序、交通状况不受较大的影响，实现工程项目和谐建设的目标。</w:t>
      </w:r>
    </w:p>
    <w:p>
      <w:pPr>
        <w:ind w:firstLine="480"/>
      </w:pPr>
      <w:bookmarkStart w:id="481" w:name="_Toc11260"/>
      <w:bookmarkStart w:id="482" w:name="_Toc2671"/>
      <w:r>
        <w:rPr>
          <w:rFonts w:hint="eastAsia"/>
        </w:rPr>
        <w:t>一、施工现场环保目标</w:t>
      </w:r>
      <w:bookmarkEnd w:id="481"/>
      <w:bookmarkEnd w:id="482"/>
    </w:p>
    <w:p>
      <w:pPr>
        <w:ind w:firstLine="480"/>
      </w:pP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6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tcPr>
          <w:p>
            <w:pPr>
              <w:pStyle w:val="5"/>
              <w:rPr>
                <w:rFonts w:hint="default"/>
              </w:rPr>
            </w:pPr>
            <w:r>
              <w:t>招标文件要求目标</w:t>
            </w:r>
          </w:p>
        </w:tc>
        <w:tc>
          <w:tcPr>
            <w:tcW w:w="6958" w:type="dxa"/>
            <w:vAlign w:val="center"/>
          </w:tcPr>
          <w:p>
            <w:pPr>
              <w:pStyle w:val="5"/>
              <w:rPr>
                <w:rFonts w:hint="default"/>
              </w:rPr>
            </w:pPr>
            <w:r>
              <w:t>我方承诺目标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Align w:val="center"/>
          </w:tcPr>
          <w:p>
            <w:pPr>
              <w:pStyle w:val="5"/>
              <w:rPr>
                <w:rFonts w:hint="default"/>
              </w:rPr>
            </w:pPr>
            <w:r>
              <w:t>无</w:t>
            </w:r>
          </w:p>
        </w:tc>
        <w:tc>
          <w:tcPr>
            <w:tcW w:w="6958" w:type="dxa"/>
          </w:tcPr>
          <w:p>
            <w:pPr>
              <w:pStyle w:val="5"/>
              <w:rPr>
                <w:rFonts w:hint="default"/>
              </w:rPr>
            </w:pPr>
            <w:r>
              <w:t>创建绿色节能工程，营造和谐施工环境；</w:t>
            </w:r>
          </w:p>
          <w:p>
            <w:pPr>
              <w:pStyle w:val="5"/>
              <w:rPr>
                <w:rFonts w:hint="default"/>
              </w:rPr>
            </w:pPr>
            <w:r>
              <w:t>噪音排放达标：昼间＜70dB，夜间＜50dB；</w:t>
            </w:r>
          </w:p>
          <w:p>
            <w:pPr>
              <w:pStyle w:val="5"/>
              <w:rPr>
                <w:rFonts w:hint="default"/>
              </w:rPr>
            </w:pPr>
            <w:r>
              <w:t>防大气污染达标：施工现场扬尘排放符合国家二级排放标准；</w:t>
            </w:r>
          </w:p>
          <w:p>
            <w:pPr>
              <w:pStyle w:val="5"/>
              <w:rPr>
                <w:rFonts w:hint="default"/>
              </w:rPr>
            </w:pPr>
            <w:r>
              <w:t>生活及生产污水达标：污水排放符合国家及天津的相关规定；</w:t>
            </w:r>
          </w:p>
          <w:p>
            <w:pPr>
              <w:pStyle w:val="5"/>
              <w:rPr>
                <w:rFonts w:hint="default"/>
              </w:rPr>
            </w:pPr>
            <w:r>
              <w:t>施工垃圾分类处理，尽量回收利用。</w:t>
            </w:r>
          </w:p>
        </w:tc>
      </w:tr>
    </w:tbl>
    <w:p>
      <w:pPr>
        <w:ind w:firstLine="480"/>
      </w:pPr>
      <w:bookmarkStart w:id="483" w:name="_Toc1383"/>
      <w:bookmarkStart w:id="484" w:name="_Toc23525"/>
      <w:r>
        <w:rPr>
          <w:rFonts w:hint="eastAsia"/>
        </w:rPr>
        <w:t>二、现场环保管理机构</w:t>
      </w:r>
      <w:bookmarkEnd w:id="483"/>
      <w:bookmarkEnd w:id="484"/>
    </w:p>
    <w:p>
      <w:pPr>
        <w:ind w:firstLine="480"/>
      </w:pPr>
      <w:r>
        <w:rPr>
          <w:rFonts w:hint="eastAsia"/>
        </w:rPr>
        <w:t>建立现场环保及维护管理领导小组</w:t>
      </w:r>
    </w:p>
    <w:p>
      <w:pPr>
        <w:ind w:firstLine="480"/>
      </w:pPr>
      <w:r>
        <w:rPr>
          <w:rFonts w:hint="eastAsia"/>
        </w:rPr>
        <w:t>组长：项目经理</w:t>
      </w:r>
    </w:p>
    <w:p>
      <w:pPr>
        <w:ind w:firstLine="480"/>
      </w:pPr>
      <w:r>
        <w:rPr>
          <w:rFonts w:hint="eastAsia"/>
        </w:rPr>
        <w:t>副组长：工程经理、项目总工</w:t>
      </w:r>
    </w:p>
    <w:p>
      <w:pPr>
        <w:ind w:firstLine="480"/>
      </w:pPr>
      <w:r>
        <w:rPr>
          <w:rFonts w:hint="eastAsia"/>
        </w:rPr>
        <w:t>组员：工程、技术室全体成员以及各专业施工员、各劳务队负责人</w:t>
      </w:r>
    </w:p>
    <w:p>
      <w:pPr>
        <w:ind w:firstLine="480"/>
      </w:pPr>
      <w:r>
        <w:rPr>
          <w:rFonts w:hint="eastAsia"/>
        </w:rPr>
        <w:t>管理机构设置如下：</w:t>
      </w:r>
    </w:p>
    <w:p>
      <w:pPr>
        <w:pStyle w:val="162"/>
        <w:ind w:firstLine="0" w:firstLineChars="0"/>
      </w:pPr>
      <w:r>
        <w:drawing>
          <wp:inline distT="0" distB="0" distL="114300" distR="114300">
            <wp:extent cx="5536565" cy="3637280"/>
            <wp:effectExtent l="0" t="0" r="6985" b="1270"/>
            <wp:docPr id="177" name="图片 106" descr="现场环保及维护管理机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06" descr="现场环保及维护管理机构"/>
                    <pic:cNvPicPr>
                      <a:picLocks noChangeAspect="1"/>
                    </pic:cNvPicPr>
                  </pic:nvPicPr>
                  <pic:blipFill>
                    <a:blip r:embed="rId12"/>
                    <a:stretch>
                      <a:fillRect/>
                    </a:stretch>
                  </pic:blipFill>
                  <pic:spPr>
                    <a:xfrm>
                      <a:off x="0" y="0"/>
                      <a:ext cx="5536565" cy="3637280"/>
                    </a:xfrm>
                    <a:prstGeom prst="rect">
                      <a:avLst/>
                    </a:prstGeom>
                    <a:noFill/>
                    <a:ln>
                      <a:noFill/>
                    </a:ln>
                  </pic:spPr>
                </pic:pic>
              </a:graphicData>
            </a:graphic>
          </wp:inline>
        </w:drawing>
      </w:r>
    </w:p>
    <w:p>
      <w:pPr>
        <w:pStyle w:val="162"/>
        <w:spacing w:line="240" w:lineRule="auto"/>
        <w:ind w:firstLine="480"/>
      </w:pPr>
      <w:r>
        <w:rPr>
          <w:rFonts w:hint="eastAsia"/>
        </w:rPr>
        <w:t>现场环保及维护管理体系</w:t>
      </w:r>
    </w:p>
    <w:p>
      <w:pPr>
        <w:ind w:firstLine="480"/>
      </w:pPr>
      <w:bookmarkStart w:id="485" w:name="_Toc1559"/>
      <w:bookmarkStart w:id="486" w:name="_Toc7750"/>
      <w:r>
        <w:rPr>
          <w:rFonts w:hint="eastAsia"/>
        </w:rPr>
        <w:t>三、现场环保管理职责</w:t>
      </w:r>
      <w:bookmarkEnd w:id="485"/>
      <w:bookmarkEnd w:id="486"/>
    </w:p>
    <w:p>
      <w:pPr>
        <w:ind w:firstLine="480"/>
      </w:pPr>
      <w:r>
        <w:rPr>
          <w:rFonts w:hint="eastAsia"/>
        </w:rPr>
        <w:t>1、项目经理对项目部环境管理体系的运行工作全面负责。</w:t>
      </w:r>
    </w:p>
    <w:p>
      <w:pPr>
        <w:ind w:firstLine="480"/>
      </w:pPr>
      <w:r>
        <w:rPr>
          <w:rFonts w:hint="eastAsia"/>
        </w:rPr>
        <w:t>2、项目总工负责根据项目部的具体情况制定相应的环保及维护管理方案和措施。</w:t>
      </w:r>
    </w:p>
    <w:p>
      <w:pPr>
        <w:ind w:firstLine="480"/>
      </w:pPr>
      <w:r>
        <w:rPr>
          <w:rFonts w:hint="eastAsia"/>
        </w:rPr>
        <w:t>3、工程经理具体负责项目部环境管理方案和措施的落实工作。</w:t>
      </w:r>
    </w:p>
    <w:p>
      <w:pPr>
        <w:ind w:firstLine="480"/>
      </w:pPr>
      <w:r>
        <w:rPr>
          <w:rFonts w:hint="eastAsia"/>
        </w:rPr>
        <w:t>4、工程、技术室是负责项目部实施环境管理的主管部门。</w:t>
      </w:r>
    </w:p>
    <w:p>
      <w:pPr>
        <w:ind w:firstLine="480"/>
      </w:pPr>
      <w:r>
        <w:rPr>
          <w:rFonts w:hint="eastAsia"/>
        </w:rPr>
        <w:t>5、各施工作业队是负责实施相应环保和维护措施的主要劳动人员，由各专业施工员及劳务队负责人进行日常监督、指导。</w:t>
      </w:r>
    </w:p>
    <w:p>
      <w:pPr>
        <w:ind w:firstLine="480"/>
      </w:pPr>
      <w:bookmarkStart w:id="487" w:name="_Toc8309"/>
      <w:bookmarkStart w:id="488" w:name="_Toc32344"/>
      <w:r>
        <w:rPr>
          <w:rFonts w:hint="eastAsia"/>
        </w:rPr>
        <w:t>四、现场环保管理制度</w:t>
      </w:r>
      <w:bookmarkEnd w:id="487"/>
      <w:bookmarkEnd w:id="488"/>
    </w:p>
    <w:p>
      <w:pPr>
        <w:ind w:firstLine="480"/>
      </w:pPr>
      <w:r>
        <w:rPr>
          <w:rFonts w:hint="eastAsia"/>
        </w:rPr>
        <w:t>1、严格执行环境保护法</w:t>
      </w:r>
      <w:r>
        <w:t>,</w:t>
      </w:r>
      <w:r>
        <w:rPr>
          <w:rFonts w:hint="eastAsia"/>
        </w:rPr>
        <w:t>采取切实措施防止环境污染。</w:t>
      </w:r>
    </w:p>
    <w:p>
      <w:pPr>
        <w:ind w:firstLine="480"/>
      </w:pPr>
      <w:r>
        <w:rPr>
          <w:rFonts w:hint="eastAsia"/>
        </w:rPr>
        <w:t>2、要妥善处理生产、生活污水，未经处理不得直接排入城市排水设施和河流。</w:t>
      </w:r>
    </w:p>
    <w:p>
      <w:pPr>
        <w:ind w:firstLine="480"/>
      </w:pPr>
      <w:r>
        <w:rPr>
          <w:rFonts w:hint="eastAsia"/>
        </w:rPr>
        <w:t>3、除设有符合规定的装置外，不得在施工中熔融沥青或者焚烧油毡、油漆及其他会产生有烟尘和恶臭味等污染气体的物品。</w:t>
      </w:r>
    </w:p>
    <w:p>
      <w:pPr>
        <w:ind w:firstLine="480"/>
      </w:pPr>
      <w:r>
        <w:rPr>
          <w:rFonts w:hint="eastAsia"/>
        </w:rPr>
        <w:t>4、采取有效措施控制施工过程中的扬尘，使用密封式的圆筒或采取其他措施处理高空废弃物，对现场堆放的砂石料进行覆盖储存，同时对现场裸露场区进行绿化。</w:t>
      </w:r>
    </w:p>
    <w:p>
      <w:pPr>
        <w:ind w:firstLine="480"/>
      </w:pPr>
      <w:r>
        <w:rPr>
          <w:rFonts w:hint="eastAsia"/>
        </w:rPr>
        <w:t>5、对生产噪音、震动的机械设施，应采取有效措施减轻噪声扰民，必须夜间施工时，应到当地环保部门办理有关手续。</w:t>
      </w:r>
    </w:p>
    <w:p>
      <w:pPr>
        <w:ind w:firstLine="480"/>
      </w:pPr>
      <w:bookmarkStart w:id="489" w:name="_Toc16117"/>
      <w:bookmarkStart w:id="490" w:name="_Toc4300"/>
      <w:r>
        <w:rPr>
          <w:rFonts w:hint="eastAsia"/>
        </w:rPr>
        <w:t>五、现场环保管理流程</w:t>
      </w:r>
      <w:bookmarkEnd w:id="489"/>
      <w:bookmarkEnd w:id="490"/>
    </w:p>
    <w:p>
      <w:pPr>
        <w:ind w:firstLine="480"/>
      </w:pPr>
      <w:r>
        <w:rPr>
          <w:rFonts w:hint="eastAsia"/>
        </w:rPr>
        <w:t>在工程开工初期，项目经理部将对工程的环境因素进行识别、评价，并依据识别、评价的结果，以及适用的法律法规、标准规范和其他要求，对其控制措施进行策划，编制项目</w:t>
      </w:r>
      <w:r>
        <w:t>“</w:t>
      </w:r>
      <w:r>
        <w:rPr>
          <w:rFonts w:hint="eastAsia"/>
        </w:rPr>
        <w:t>环境管理规划</w:t>
      </w:r>
      <w:r>
        <w:t>”</w:t>
      </w:r>
      <w:r>
        <w:rPr>
          <w:rFonts w:hint="eastAsia"/>
        </w:rPr>
        <w:t>，对本工程的重大环境因素进行控制。</w:t>
      </w:r>
      <w:r>
        <w:t>“</w:t>
      </w:r>
      <w:r>
        <w:rPr>
          <w:rFonts w:hint="eastAsia"/>
        </w:rPr>
        <w:t>环境管理规划</w:t>
      </w:r>
      <w:r>
        <w:t>”</w:t>
      </w:r>
      <w:r>
        <w:rPr>
          <w:rFonts w:hint="eastAsia"/>
        </w:rPr>
        <w:t>实施过程中，公司总部定期对项目的环境绩效进行测量和监测，项目经理部负责对施工现场造成环境不良影响的隐患进行分析，采取整改或纠正、预防措施，确保本项目环境管理目标的实现。</w:t>
      </w:r>
    </w:p>
    <w:p>
      <w:pPr>
        <w:pStyle w:val="162"/>
        <w:ind w:firstLine="480"/>
      </w:pPr>
      <w:r>
        <w:drawing>
          <wp:inline distT="0" distB="0" distL="114300" distR="114300">
            <wp:extent cx="4550410" cy="4832985"/>
            <wp:effectExtent l="0" t="0" r="2540" b="5715"/>
            <wp:docPr id="178" name="图片 107" descr="环保及维护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07" descr="环保及维护流程"/>
                    <pic:cNvPicPr>
                      <a:picLocks noChangeAspect="1"/>
                    </pic:cNvPicPr>
                  </pic:nvPicPr>
                  <pic:blipFill>
                    <a:blip r:embed="rId13"/>
                    <a:stretch>
                      <a:fillRect/>
                    </a:stretch>
                  </pic:blipFill>
                  <pic:spPr>
                    <a:xfrm>
                      <a:off x="0" y="0"/>
                      <a:ext cx="4550410" cy="4832985"/>
                    </a:xfrm>
                    <a:prstGeom prst="rect">
                      <a:avLst/>
                    </a:prstGeom>
                    <a:noFill/>
                    <a:ln>
                      <a:noFill/>
                    </a:ln>
                  </pic:spPr>
                </pic:pic>
              </a:graphicData>
            </a:graphic>
          </wp:inline>
        </w:drawing>
      </w:r>
    </w:p>
    <w:p>
      <w:pPr>
        <w:pStyle w:val="162"/>
        <w:ind w:firstLine="480"/>
      </w:pPr>
      <w:r>
        <w:rPr>
          <w:rFonts w:hint="eastAsia"/>
        </w:rPr>
        <w:t>环境管理流程示意图</w:t>
      </w:r>
    </w:p>
    <w:p>
      <w:pPr>
        <w:ind w:firstLine="480"/>
      </w:pPr>
      <w:bookmarkStart w:id="491" w:name="_Toc4610"/>
      <w:bookmarkStart w:id="492" w:name="_Toc22390"/>
      <w:r>
        <w:rPr>
          <w:rFonts w:hint="eastAsia"/>
        </w:rPr>
        <w:t>六、现场环境保护措施</w:t>
      </w:r>
      <w:bookmarkEnd w:id="491"/>
      <w:bookmarkEnd w:id="492"/>
    </w:p>
    <w:p>
      <w:pPr>
        <w:ind w:firstLine="480"/>
      </w:pPr>
      <w:r>
        <w:rPr>
          <w:rFonts w:hint="eastAsia"/>
        </w:rPr>
        <w:t>1、大气污染控制措施</w:t>
      </w:r>
    </w:p>
    <w:p>
      <w:pPr>
        <w:ind w:firstLine="480"/>
      </w:pPr>
      <w:r>
        <w:rPr>
          <w:rFonts w:hint="eastAsia"/>
        </w:rPr>
        <w:t>（1）施工场地</w:t>
      </w:r>
    </w:p>
    <w:p>
      <w:pPr>
        <w:ind w:firstLine="480"/>
      </w:pPr>
      <w:r>
        <w:rPr>
          <w:rFonts w:hint="eastAsia"/>
        </w:rPr>
        <w:t>现场主干道路和加工场地进行硬化，设专人负责每日洒水和清扫，保持道路清洁湿润，对于现场其他裸露土壤，实施绿化处理；本工程中土方量不大，但混凝土浇注量非常大，且持续时间长，混凝土运输车辆出场前由专人对每辆车进行清洗，每次混凝土浇注结束时对施工场地及施工道路进行清扫。</w:t>
      </w:r>
    </w:p>
    <w:p>
      <w:pPr>
        <w:ind w:firstLine="480"/>
      </w:pPr>
      <w:r>
        <w:rPr>
          <w:rFonts w:hint="eastAsia"/>
        </w:rPr>
        <w:t>（2）施工过程中的覆盖</w:t>
      </w:r>
    </w:p>
    <w:p>
      <w:pPr>
        <w:ind w:firstLine="480"/>
      </w:pPr>
      <w:r>
        <w:rPr>
          <w:rFonts w:hint="eastAsia"/>
        </w:rPr>
        <w:t>对没有及时使用或清运的砂和土设密目网围挡，四级风以上时，砂、土堆场外用塑料布予以覆盖。</w:t>
      </w:r>
    </w:p>
    <w:p>
      <w:pPr>
        <w:ind w:firstLine="480"/>
      </w:pPr>
      <w:r>
        <w:rPr>
          <w:rFonts w:hint="eastAsia"/>
        </w:rPr>
        <w:t>各种进场的建筑材料分类堆放、码放整齐，对于易受风吹、雨淋、日晒、粉化的材料采用措施覆盖。</w:t>
      </w:r>
    </w:p>
    <w:p>
      <w:pPr>
        <w:ind w:firstLine="480"/>
      </w:pPr>
      <w:r>
        <w:rPr>
          <w:rFonts w:hint="eastAsia"/>
        </w:rPr>
        <w:t>2、固体废弃物控制措施</w:t>
      </w:r>
    </w:p>
    <w:p>
      <w:pPr>
        <w:ind w:firstLine="480"/>
      </w:pPr>
      <w:r>
        <w:rPr>
          <w:rFonts w:hint="eastAsia"/>
        </w:rPr>
        <w:t>固体废物可分为建筑垃圾和生活垃圾。</w:t>
      </w:r>
    </w:p>
    <w:p>
      <w:pPr>
        <w:ind w:firstLine="480"/>
      </w:pPr>
      <w:r>
        <w:rPr>
          <w:rFonts w:hint="eastAsia"/>
        </w:rPr>
        <w:t>（1）建筑垃圾的控制</w:t>
      </w:r>
    </w:p>
    <w:p>
      <w:pPr>
        <w:ind w:firstLine="480"/>
      </w:pPr>
      <w:r>
        <w:rPr>
          <w:rFonts w:hint="eastAsia"/>
        </w:rPr>
        <w:t>建筑垃圾分为可利用建筑垃圾和不可利用建筑垃圾，按现场平面布置图确定的建筑垃圾存放点分类集中封闭堆放，不可用建筑垃圾应设置垃圾池存放，可利用的建筑垃圾分类存放并按平面布置图中规定存放，稀料类垃圾采用桶类容器存放。</w:t>
      </w:r>
    </w:p>
    <w:p>
      <w:pPr>
        <w:ind w:firstLine="480"/>
      </w:pPr>
      <w:r>
        <w:rPr>
          <w:rFonts w:hint="eastAsia"/>
        </w:rPr>
        <w:t>（2）生活垃圾的控制</w:t>
      </w:r>
    </w:p>
    <w:p>
      <w:pPr>
        <w:ind w:firstLine="480"/>
      </w:pPr>
      <w:r>
        <w:rPr>
          <w:rFonts w:hint="eastAsia"/>
        </w:rPr>
        <w:t>生活垃圾集中存放在垃圾房内，生活垃圾的清运将委托合法单位承运并签订清运协议，自运时将取得外运手续如《生活弃物处置证》，按指定路线、地点倾倒。出现场前覆盖严实，不出现遗洒。</w:t>
      </w:r>
    </w:p>
    <w:p>
      <w:pPr>
        <w:ind w:firstLine="480"/>
      </w:pPr>
      <w:r>
        <w:rPr>
          <w:rFonts w:hint="eastAsia"/>
        </w:rPr>
        <w:t>3、水污染处理及循环利用控制措施</w:t>
      </w:r>
    </w:p>
    <w:p>
      <w:pPr>
        <w:ind w:firstLine="480"/>
      </w:pPr>
      <w:r>
        <w:rPr>
          <w:rFonts w:hint="eastAsia"/>
        </w:rPr>
        <w:t>（1）水污染处理措施</w:t>
      </w:r>
    </w:p>
    <w:p>
      <w:pPr>
        <w:ind w:firstLine="480"/>
      </w:pPr>
      <w:r>
        <w:rPr>
          <w:rFonts w:hint="eastAsia"/>
        </w:rPr>
        <w:t>1）雨水管理</w:t>
      </w:r>
    </w:p>
    <w:p>
      <w:pPr>
        <w:ind w:firstLine="480"/>
      </w:pPr>
      <w:r>
        <w:rPr>
          <w:rFonts w:hint="eastAsia"/>
        </w:rPr>
        <w:t>项目开工前，在作现场总平面规划时，设计现场雨水管网，并将其与市政雨水管网连接。</w:t>
      </w:r>
    </w:p>
    <w:p>
      <w:pPr>
        <w:ind w:firstLine="480"/>
      </w:pPr>
      <w:r>
        <w:rPr>
          <w:rFonts w:hint="eastAsia"/>
        </w:rPr>
        <w:t>设计现场污水管网时，确保不得与雨水管网连接。由项目兼职环保管理员通知进入现场的所有单位和人员，不得将非雨水类污水排入雨水管网。</w:t>
      </w:r>
    </w:p>
    <w:p>
      <w:pPr>
        <w:ind w:firstLine="480"/>
      </w:pPr>
      <w:r>
        <w:rPr>
          <w:rFonts w:hint="eastAsia"/>
        </w:rPr>
        <w:t>2）厕所污水</w:t>
      </w:r>
    </w:p>
    <w:p>
      <w:pPr>
        <w:ind w:firstLine="480"/>
      </w:pPr>
      <w:r>
        <w:rPr>
          <w:rFonts w:hint="eastAsia"/>
        </w:rPr>
        <w:t>施工现场设冲水厕所；厕所污水进入化粪池沉淀后，再排入现场污水管网；项目环保管理员与当地环卫部门联络，定期对化粪池进行清理。</w:t>
      </w:r>
    </w:p>
    <w:p>
      <w:pPr>
        <w:ind w:firstLine="480"/>
      </w:pPr>
      <w:r>
        <w:rPr>
          <w:rFonts w:hint="eastAsia"/>
        </w:rPr>
        <w:t>3）污水管理</w:t>
      </w:r>
    </w:p>
    <w:p>
      <w:pPr>
        <w:ind w:firstLine="480"/>
      </w:pPr>
      <w:r>
        <w:rPr>
          <w:rFonts w:hint="eastAsia"/>
        </w:rPr>
        <w:t>施工现场的所有施工污水经过沉淀后，再排入市政污水管网；项目委托分包单位定期清理沉淀池内的泥沙。施工现场泥浆和污水未经处理不得直接排入城市排水设施和河流、湖泊、池塘。</w:t>
      </w:r>
    </w:p>
    <w:p>
      <w:pPr>
        <w:ind w:firstLine="480"/>
      </w:pPr>
      <w:r>
        <w:rPr>
          <w:rFonts w:hint="eastAsia"/>
        </w:rPr>
        <w:t>2、水循环利用措施</w:t>
      </w:r>
    </w:p>
    <w:p>
      <w:pPr>
        <w:ind w:firstLine="480"/>
      </w:pPr>
      <w:r>
        <w:rPr>
          <w:rFonts w:hint="eastAsia"/>
        </w:rPr>
        <w:t>本工程在冲洗运输车辆、人员生活都将使用大量的水，我们将主要从这几个方面建立水的循环利用和节约措施。冲洗车辆的水流到洗车槽后，经沉淀池沉淀过滤后到抽水池后循环利用。</w:t>
      </w:r>
    </w:p>
    <w:p>
      <w:pPr>
        <w:ind w:firstLine="480"/>
      </w:pPr>
      <w:r>
        <w:rPr>
          <w:rFonts w:hint="eastAsia"/>
        </w:rPr>
        <w:t>对参建人员加强节约用水教育，建立奖罚措施；每天定时定点环境管理员负责巡查工地现场和生活区的用水设施，及时发现用水设施的故障并派人维修。</w:t>
      </w:r>
      <w:bookmarkStart w:id="493" w:name="_Toc29731"/>
      <w:bookmarkStart w:id="494" w:name="_Toc6754"/>
    </w:p>
    <w:p>
      <w:pPr>
        <w:ind w:firstLine="480"/>
      </w:pPr>
      <w:r>
        <w:rPr>
          <w:rFonts w:hint="eastAsia"/>
        </w:rPr>
        <w:t>七、现场环保的教育及监督</w:t>
      </w:r>
      <w:bookmarkEnd w:id="493"/>
      <w:bookmarkEnd w:id="494"/>
    </w:p>
    <w:p>
      <w:pPr>
        <w:ind w:firstLine="480"/>
      </w:pPr>
      <w:r>
        <w:t>1</w:t>
      </w:r>
      <w:r>
        <w:rPr>
          <w:rFonts w:hint="eastAsia"/>
        </w:rPr>
        <w:t>、加强对现场人员的培训与教育，提高现场人员的环保意识。</w:t>
      </w:r>
    </w:p>
    <w:p>
      <w:pPr>
        <w:ind w:firstLine="480"/>
      </w:pPr>
      <w:r>
        <w:rPr>
          <w:rFonts w:hint="eastAsia"/>
        </w:rPr>
        <w:t>根据环境管理体系运行的要求，结合环境管理方案，对所有可能对环境产生影响的人员进行相应的培训。培训内容如下：</w:t>
      </w:r>
    </w:p>
    <w:p>
      <w:pPr>
        <w:ind w:firstLine="480"/>
      </w:pPr>
      <w:r>
        <w:rPr>
          <w:rFonts w:hint="eastAsia"/>
        </w:rPr>
        <w:t>（</w:t>
      </w:r>
      <w:r>
        <w:t>1</w:t>
      </w:r>
      <w:r>
        <w:rPr>
          <w:rFonts w:hint="eastAsia"/>
        </w:rPr>
        <w:t>）符合环境方针与程序和符合环境管理体系要求的重要性。</w:t>
      </w:r>
    </w:p>
    <w:p>
      <w:pPr>
        <w:ind w:firstLine="480"/>
      </w:pPr>
      <w:r>
        <w:rPr>
          <w:rFonts w:hint="eastAsia"/>
        </w:rPr>
        <w:t>（</w:t>
      </w:r>
      <w:r>
        <w:t>2</w:t>
      </w:r>
      <w:r>
        <w:rPr>
          <w:rFonts w:hint="eastAsia"/>
        </w:rPr>
        <w:t>）个人工作对环境可能生产的影响。</w:t>
      </w:r>
    </w:p>
    <w:p>
      <w:pPr>
        <w:ind w:firstLine="480"/>
      </w:pPr>
      <w:r>
        <w:rPr>
          <w:rFonts w:hint="eastAsia"/>
        </w:rPr>
        <w:t>（</w:t>
      </w:r>
      <w:r>
        <w:t>3</w:t>
      </w:r>
      <w:r>
        <w:rPr>
          <w:rFonts w:hint="eastAsia"/>
        </w:rPr>
        <w:t>）在实现环境保护要求方面的作用与职责。</w:t>
      </w:r>
    </w:p>
    <w:p>
      <w:pPr>
        <w:ind w:firstLine="480"/>
      </w:pPr>
      <w:r>
        <w:rPr>
          <w:rFonts w:hint="eastAsia"/>
        </w:rPr>
        <w:t>（</w:t>
      </w:r>
      <w:r>
        <w:t>4</w:t>
      </w:r>
      <w:r>
        <w:rPr>
          <w:rFonts w:hint="eastAsia"/>
        </w:rPr>
        <w:t>）违反规定的运行程序和规定产生的不良后果。</w:t>
      </w:r>
    </w:p>
    <w:p>
      <w:pPr>
        <w:ind w:firstLine="480"/>
      </w:pPr>
      <w:r>
        <w:rPr>
          <w:rFonts w:hint="eastAsia"/>
        </w:rPr>
        <w:t>2、加强信息交流与传送，实施有力监督</w:t>
      </w:r>
    </w:p>
    <w:p>
      <w:pPr>
        <w:ind w:firstLine="480"/>
      </w:pPr>
      <w:r>
        <w:rPr>
          <w:rFonts w:hint="eastAsia"/>
        </w:rPr>
        <w:t>（</w:t>
      </w:r>
      <w:r>
        <w:t>1</w:t>
      </w:r>
      <w:r>
        <w:rPr>
          <w:rFonts w:hint="eastAsia"/>
        </w:rPr>
        <w:t>）建立项目内部环境保护信息的传递与沟通渠道，以便确认环境保护方案是否被实施，以及环境保护工作中存在的问题，从而对下一步工作及时做出决策。</w:t>
      </w:r>
    </w:p>
    <w:p>
      <w:pPr>
        <w:ind w:firstLine="480"/>
      </w:pPr>
      <w:r>
        <w:rPr>
          <w:rFonts w:hint="eastAsia"/>
        </w:rPr>
        <w:t>（</w:t>
      </w:r>
      <w:r>
        <w:t>2</w:t>
      </w:r>
      <w:r>
        <w:rPr>
          <w:rFonts w:hint="eastAsia"/>
        </w:rPr>
        <w:t>）建立项目与企业总部，项目与外部主管部门的信息交流与传递渠道。按规定要求接收、传递、发放有关文件，对需回复的文件，按规定要求审核后予以回复。</w:t>
      </w:r>
    </w:p>
    <w:p>
      <w:pPr>
        <w:ind w:firstLine="480"/>
      </w:pPr>
      <w:r>
        <w:rPr>
          <w:rFonts w:hint="eastAsia"/>
        </w:rPr>
        <w:t>3、加强文件控制，不断了解有关环保知识与法律法规</w:t>
      </w:r>
    </w:p>
    <w:p>
      <w:pPr>
        <w:ind w:firstLine="480"/>
      </w:pPr>
      <w:r>
        <w:rPr>
          <w:rFonts w:hint="eastAsia"/>
        </w:rPr>
        <w:t>（</w:t>
      </w:r>
      <w:r>
        <w:t>1</w:t>
      </w:r>
      <w:r>
        <w:rPr>
          <w:rFonts w:hint="eastAsia"/>
        </w:rPr>
        <w:t>）文件要有专人负责保管，并设置专门的有效工具。</w:t>
      </w:r>
    </w:p>
    <w:p>
      <w:pPr>
        <w:ind w:firstLine="480"/>
      </w:pPr>
      <w:r>
        <w:rPr>
          <w:rFonts w:hint="eastAsia"/>
        </w:rPr>
        <w:t>（</w:t>
      </w:r>
      <w:r>
        <w:t>2</w:t>
      </w:r>
      <w:r>
        <w:rPr>
          <w:rFonts w:hint="eastAsia"/>
        </w:rPr>
        <w:t>）对文件定期进行评审，与现行法律和规定不符时，及时修改。</w:t>
      </w:r>
    </w:p>
    <w:p>
      <w:pPr>
        <w:ind w:firstLine="480"/>
      </w:pPr>
      <w:r>
        <w:rPr>
          <w:rFonts w:hint="eastAsia"/>
        </w:rPr>
        <w:t>（</w:t>
      </w:r>
      <w:r>
        <w:t>3</w:t>
      </w:r>
      <w:r>
        <w:rPr>
          <w:rFonts w:hint="eastAsia"/>
        </w:rPr>
        <w:t>）确保与环保有关的人员，都能得到有关文件的现行版本。</w:t>
      </w:r>
    </w:p>
    <w:p>
      <w:pPr>
        <w:ind w:firstLine="480"/>
      </w:pPr>
      <w:r>
        <w:rPr>
          <w:rFonts w:hint="eastAsia"/>
        </w:rPr>
        <w:t>（</w:t>
      </w:r>
      <w:r>
        <w:t>4</w:t>
      </w:r>
      <w:r>
        <w:rPr>
          <w:rFonts w:hint="eastAsia"/>
        </w:rPr>
        <w:t>）失效文件要从所有发放和使用场所撤回或采取其他有效措施。</w:t>
      </w:r>
    </w:p>
    <w:p>
      <w:pPr>
        <w:ind w:firstLine="480"/>
      </w:pPr>
      <w:r>
        <w:rPr>
          <w:rFonts w:hint="eastAsia"/>
        </w:rPr>
        <w:t>4、不符合项的纠正与预防</w:t>
      </w:r>
    </w:p>
    <w:p>
      <w:pPr>
        <w:ind w:firstLine="480"/>
      </w:pPr>
      <w:r>
        <w:rPr>
          <w:rFonts w:hint="eastAsia"/>
        </w:rPr>
        <w:t>对项目安全文明施工大检查中发现的环境管理的不符合项，由安全环境管理部开出不符合报告，技术管理部根据不符合项分析产生的原因，制定纠正措施，交专业工程师负责落实实施，安全环境管理部负责跟踪检查，对实施结果要加以确认。</w:t>
      </w:r>
    </w:p>
    <w:p>
      <w:pPr>
        <w:ind w:firstLine="480"/>
      </w:pPr>
      <w:bookmarkStart w:id="495" w:name="_Toc18196"/>
      <w:bookmarkStart w:id="496" w:name="_Toc6328"/>
      <w:r>
        <w:rPr>
          <w:rFonts w:hint="eastAsia"/>
        </w:rPr>
        <w:t xml:space="preserve"> 八、现场环保监控</w:t>
      </w:r>
      <w:bookmarkEnd w:id="495"/>
      <w:bookmarkEnd w:id="496"/>
    </w:p>
    <w:p>
      <w:pPr>
        <w:ind w:firstLine="480"/>
      </w:pPr>
      <w:r>
        <w:rPr>
          <w:rFonts w:hint="eastAsia"/>
        </w:rPr>
        <w:t>现场环保与维护小组负责组织自行监测或邀请当地环保部门到场进行噪声、水质、扬尘监测，并根据监测结果，确定是否需要采取更为严格的防控措施，确保现场污染排放始终控制在国家有关环保法规的允许范围内。</w:t>
      </w:r>
    </w:p>
    <w:p>
      <w:pPr>
        <w:ind w:firstLine="480"/>
      </w:pPr>
      <w:r>
        <w:rPr>
          <w:rFonts w:hint="eastAsia"/>
        </w:rPr>
        <w:t>1、水质监测</w:t>
      </w:r>
    </w:p>
    <w:p>
      <w:pPr>
        <w:ind w:firstLine="480"/>
      </w:pPr>
      <w:r>
        <w:rPr>
          <w:rFonts w:hint="eastAsia"/>
        </w:rPr>
        <w:t>在施工期间，由环保协调部邀请当地环保部门来现场，在总排污口区取样进行化验，根据监测报告，确定是否需要采取更为严格的防控措施。</w:t>
      </w:r>
    </w:p>
    <w:p>
      <w:pPr>
        <w:ind w:firstLine="480"/>
      </w:pPr>
      <w:r>
        <w:rPr>
          <w:rFonts w:hint="eastAsia"/>
        </w:rPr>
        <w:t>2、噪音监测</w:t>
      </w:r>
    </w:p>
    <w:p>
      <w:pPr>
        <w:ind w:firstLine="480"/>
      </w:pPr>
      <w:r>
        <w:rPr>
          <w:rFonts w:hint="eastAsia"/>
        </w:rPr>
        <w:t>（1）测试的时间：工程开始后3日内进行1次，施工正常进行后再进行一次，测量时间分为昼间及夜间两部分，夜间测量在22时以后进行，选在无雨及轻风时进行测试，当风级超过三级时，加防风罩，超过四级时停止测试。</w:t>
      </w:r>
    </w:p>
    <w:p>
      <w:pPr>
        <w:ind w:firstLine="480"/>
      </w:pPr>
      <w:r>
        <w:rPr>
          <w:rFonts w:hint="eastAsia"/>
        </w:rPr>
        <w:t>（2）测试的方法：测量应在噪音最大时进行，在同一测量点，连续测量5-7 个数值，每次读数的间隔时间为5 秒，测量值为5-7 个数的平均值。</w:t>
      </w:r>
    </w:p>
    <w:p>
      <w:pPr>
        <w:ind w:firstLine="480"/>
      </w:pPr>
      <w:r>
        <w:rPr>
          <w:rFonts w:hint="eastAsia"/>
        </w:rPr>
        <w:t>（3）测量点：设在施工现场的边界线上，且距离噪声源最近地方。</w:t>
      </w:r>
    </w:p>
    <w:p>
      <w:pPr>
        <w:ind w:firstLine="480"/>
      </w:pPr>
      <w:r>
        <w:rPr>
          <w:rFonts w:hint="eastAsia"/>
        </w:rPr>
        <w:t>（4）噪声测试仪器选用HS5920袖珍型噪声监测仪。</w:t>
      </w:r>
    </w:p>
    <w:p>
      <w:pPr>
        <w:ind w:firstLine="480"/>
      </w:pPr>
      <w:r>
        <w:rPr>
          <w:rFonts w:hint="eastAsia"/>
        </w:rPr>
        <w:t>（5）监测记录：按附表要求由测试人填写记录。</w:t>
      </w:r>
    </w:p>
    <w:p>
      <w:pPr>
        <w:ind w:firstLine="480"/>
      </w:pPr>
      <w:r>
        <w:rPr>
          <w:rFonts w:hint="eastAsia"/>
        </w:rPr>
        <w:t>（6）测试后的处理：当测试结果高于规定指标时，则采取更严格的降噪措施。</w:t>
      </w:r>
    </w:p>
    <w:p>
      <w:pPr>
        <w:pStyle w:val="3"/>
        <w:spacing w:before="278" w:after="278"/>
      </w:pPr>
      <w:bookmarkStart w:id="497" w:name="_Toc415822930"/>
      <w:bookmarkStart w:id="498" w:name="_Toc438364330"/>
      <w:bookmarkStart w:id="499" w:name="_Toc4677"/>
      <w:r>
        <w:rPr>
          <w:rFonts w:hint="eastAsia"/>
        </w:rPr>
        <w:t>第十四章  服务承诺及维保方案</w:t>
      </w:r>
      <w:bookmarkEnd w:id="497"/>
      <w:bookmarkEnd w:id="498"/>
      <w:bookmarkEnd w:id="499"/>
    </w:p>
    <w:p>
      <w:pPr>
        <w:pStyle w:val="4"/>
        <w:spacing w:before="278" w:after="278"/>
        <w:ind w:firstLine="560"/>
      </w:pPr>
      <w:bookmarkStart w:id="500" w:name="_Toc438364331"/>
      <w:bookmarkStart w:id="501" w:name="_Toc415822931"/>
      <w:r>
        <w:rPr>
          <w:rFonts w:hint="eastAsia"/>
        </w:rPr>
        <w:t>第一节 与业主的配合服务承诺</w:t>
      </w:r>
      <w:bookmarkEnd w:id="500"/>
      <w:bookmarkEnd w:id="501"/>
    </w:p>
    <w:p>
      <w:pPr>
        <w:ind w:firstLine="480"/>
      </w:pPr>
      <w:r>
        <w:rPr>
          <w:rFonts w:hint="eastAsia"/>
        </w:rPr>
        <w:t>项目经理的外部关系处理中，最主要的是处理好与业主的关系，项目经理部全体人员确立“业主是顾客、是上帝”的观念，把业主期望的工期和工程质量作为核心，为业主建造一流的建筑产品，让业主满意。</w:t>
      </w:r>
    </w:p>
    <w:p>
      <w:pPr>
        <w:ind w:firstLine="480"/>
      </w:pPr>
      <w:r>
        <w:rPr>
          <w:rFonts w:hint="eastAsia"/>
        </w:rPr>
        <w:t>定期向业主提供工程进度报告，对于合同允许条件下的工程进度延误或超合同条件下施工，必须及时请业主或监理书面认可。</w:t>
      </w:r>
    </w:p>
    <w:p>
      <w:pPr>
        <w:ind w:firstLine="480"/>
      </w:pPr>
      <w:r>
        <w:rPr>
          <w:rFonts w:hint="eastAsia"/>
        </w:rPr>
        <w:t>为保证项目的顺利建设，应积极与业主交流汇报，主动为业主排忧解难，想业主所想，急业主所急，和业主融洽相处。</w:t>
      </w:r>
    </w:p>
    <w:p>
      <w:pPr>
        <w:ind w:firstLine="480"/>
      </w:pPr>
      <w:r>
        <w:rPr>
          <w:rFonts w:hint="eastAsia"/>
        </w:rPr>
        <w:t>经常核实项目建设的施工范围是否与签定的标书与图纸一致。发现有不符合的及时查找原因，并请业主或监理核实和签证。</w:t>
      </w:r>
    </w:p>
    <w:p>
      <w:pPr>
        <w:pStyle w:val="4"/>
        <w:spacing w:before="278" w:after="278"/>
        <w:ind w:firstLine="560"/>
      </w:pPr>
      <w:bookmarkStart w:id="502" w:name="_Toc415822932"/>
      <w:bookmarkStart w:id="503" w:name="_Toc438364332"/>
      <w:r>
        <w:rPr>
          <w:rFonts w:hint="eastAsia"/>
        </w:rPr>
        <w:t>第二节 与监理单位的配合服务承诺</w:t>
      </w:r>
      <w:bookmarkEnd w:id="502"/>
      <w:bookmarkEnd w:id="503"/>
    </w:p>
    <w:p>
      <w:pPr>
        <w:ind w:firstLine="480"/>
      </w:pPr>
      <w:r>
        <w:rPr>
          <w:rFonts w:hint="eastAsia"/>
        </w:rPr>
        <w:t>于开工前书面报告施工准备情况，获监理认可后方可开工。</w:t>
      </w:r>
    </w:p>
    <w:p>
      <w:pPr>
        <w:ind w:firstLine="480"/>
      </w:pPr>
      <w:r>
        <w:rPr>
          <w:rFonts w:hint="eastAsia"/>
        </w:rPr>
        <w:t>开工前将正式施工组织设计及施工计划报送监理工程师审定。</w:t>
      </w:r>
    </w:p>
    <w:p>
      <w:pPr>
        <w:ind w:firstLine="480"/>
      </w:pPr>
      <w:r>
        <w:rPr>
          <w:rFonts w:hint="eastAsia"/>
        </w:rPr>
        <w:t>各类检测设备和重要机电设备进场情况向监理申报，并附上年检合格证明或设备完好证明。</w:t>
      </w:r>
    </w:p>
    <w:p>
      <w:pPr>
        <w:ind w:firstLine="480"/>
      </w:pPr>
      <w:r>
        <w:rPr>
          <w:rFonts w:hint="eastAsia"/>
        </w:rPr>
        <w:t>施工用各类建筑材料均向监理报送样品、材质证明和有关技术资料，经监理审核批准后再行采购使用。现场采样送检时有监理或业主代表见证。变更用材时，事前征请监理意见，不同意者不进行变更。</w:t>
      </w:r>
    </w:p>
    <w:p>
      <w:pPr>
        <w:ind w:firstLine="480"/>
      </w:pPr>
      <w:r>
        <w:rPr>
          <w:rFonts w:hint="eastAsia"/>
        </w:rPr>
        <w:t>隐蔽工程完成，项目质检工程师在检查合格的基础上，提前24小时书面通知监理。</w:t>
      </w:r>
    </w:p>
    <w:p>
      <w:pPr>
        <w:ind w:firstLine="480"/>
      </w:pPr>
      <w:r>
        <w:rPr>
          <w:rFonts w:hint="eastAsia"/>
        </w:rPr>
        <w:t>若监理对某些工程质量有疑问，要求复测时，项目部将给予积极配合，并对检测仪器的使用提供方便。</w:t>
      </w:r>
    </w:p>
    <w:p>
      <w:pPr>
        <w:ind w:firstLine="480"/>
      </w:pPr>
      <w:r>
        <w:rPr>
          <w:rFonts w:hint="eastAsia"/>
        </w:rPr>
        <w:t>及时向监理报送分部分项工程质量自检资料和混凝土、砂浆强度报告。</w:t>
      </w:r>
    </w:p>
    <w:p>
      <w:pPr>
        <w:ind w:firstLine="480"/>
      </w:pPr>
      <w:r>
        <w:rPr>
          <w:rFonts w:hint="eastAsia"/>
        </w:rPr>
        <w:t>若发现质量事故，及时报告监理和业主，并严格按照共同商定的方案进行处理。</w:t>
      </w:r>
    </w:p>
    <w:p>
      <w:pPr>
        <w:ind w:firstLine="480"/>
      </w:pPr>
      <w:r>
        <w:rPr>
          <w:rFonts w:hint="eastAsia"/>
        </w:rPr>
        <w:t>合同签定后一个月内，向监理和业主报送施工图预算。</w:t>
      </w:r>
    </w:p>
    <w:p>
      <w:pPr>
        <w:ind w:firstLine="480"/>
      </w:pPr>
      <w:r>
        <w:rPr>
          <w:rFonts w:hint="eastAsia"/>
        </w:rPr>
        <w:t>工程全部完工后，经认真自检，再行向监理工程师提交验收申请，经监理复验认可后，转报业主，组织正式竣工验收。</w:t>
      </w:r>
    </w:p>
    <w:p>
      <w:pPr>
        <w:ind w:firstLine="480"/>
      </w:pPr>
      <w:r>
        <w:rPr>
          <w:rFonts w:hint="eastAsia"/>
        </w:rPr>
        <w:t>在竣工验收前7天，将质量保证资料交监理审查。</w:t>
      </w:r>
    </w:p>
    <w:p>
      <w:pPr>
        <w:pStyle w:val="4"/>
        <w:spacing w:before="278" w:after="278"/>
        <w:ind w:firstLine="560"/>
      </w:pPr>
      <w:bookmarkStart w:id="504" w:name="_Toc438364333"/>
      <w:bookmarkStart w:id="505" w:name="_Toc415822933"/>
      <w:r>
        <w:rPr>
          <w:rFonts w:hint="eastAsia"/>
        </w:rPr>
        <w:t>第三节 与政府部门的配合承诺</w:t>
      </w:r>
      <w:bookmarkEnd w:id="504"/>
      <w:bookmarkEnd w:id="505"/>
    </w:p>
    <w:p>
      <w:pPr>
        <w:ind w:firstLine="480"/>
      </w:pPr>
      <w:r>
        <w:rPr>
          <w:rFonts w:hint="eastAsia"/>
        </w:rPr>
        <w:t>此处的政府指当地的政府、工商行政管理机关、市容监察部门、税务部门、公安交通部门、质量监督站、安全监督站、消防管理部门、劳动局等。</w:t>
      </w:r>
    </w:p>
    <w:p>
      <w:pPr>
        <w:ind w:firstLine="480"/>
      </w:pPr>
      <w:r>
        <w:rPr>
          <w:rFonts w:hint="eastAsia"/>
        </w:rPr>
        <w:t>自觉接受政府的依法监督和指导，随时了解国家和政府的有关方针、政策，掌握近期的市场信息，熟悉当地的法规和惯例。</w:t>
      </w:r>
    </w:p>
    <w:p>
      <w:pPr>
        <w:ind w:firstLine="480"/>
      </w:pPr>
      <w:r>
        <w:rPr>
          <w:rFonts w:hint="eastAsia"/>
        </w:rPr>
        <w:t>一切项目管理活动都须遵纪守法。</w:t>
      </w:r>
    </w:p>
    <w:p>
      <w:pPr>
        <w:ind w:firstLine="480"/>
      </w:pPr>
      <w:r>
        <w:rPr>
          <w:rFonts w:hint="eastAsia"/>
        </w:rPr>
        <w:t>通过经常性的上门咨询和信息发布等形式，沟通与政府部门间的关系。</w:t>
      </w:r>
    </w:p>
    <w:p>
      <w:pPr>
        <w:ind w:firstLine="480"/>
      </w:pPr>
      <w:r>
        <w:rPr>
          <w:rFonts w:hint="eastAsia"/>
        </w:rPr>
        <w:t>主动向工商税务部门依法纳税，主动与公安交通部门取得联系，求得施工占用道路的批准和运输的畅通。</w:t>
      </w:r>
    </w:p>
    <w:p>
      <w:pPr>
        <w:ind w:firstLine="480"/>
      </w:pPr>
      <w:r>
        <w:rPr>
          <w:rFonts w:hint="eastAsia"/>
        </w:rPr>
        <w:t>主动与司法部门联系，求得法律的保护和指导。</w:t>
      </w:r>
    </w:p>
    <w:p>
      <w:pPr>
        <w:ind w:firstLine="480"/>
      </w:pPr>
      <w:r>
        <w:rPr>
          <w:rFonts w:hint="eastAsia"/>
        </w:rPr>
        <w:t>主动与市容监察部门联系，搞好施工现场周围地区的环境卫生。</w:t>
      </w:r>
    </w:p>
    <w:p>
      <w:pPr>
        <w:ind w:firstLine="480"/>
      </w:pPr>
      <w:r>
        <w:rPr>
          <w:rFonts w:hint="eastAsia"/>
        </w:rPr>
        <w:t>主动与质监站、安监站联系，求得他们对于工程质量和施工安全的指导与认可。</w:t>
      </w:r>
    </w:p>
    <w:p>
      <w:pPr>
        <w:pStyle w:val="4"/>
        <w:spacing w:before="278" w:after="278"/>
        <w:ind w:firstLine="560"/>
      </w:pPr>
      <w:bookmarkStart w:id="506" w:name="_Toc438364334"/>
      <w:bookmarkStart w:id="507" w:name="_Toc415822934"/>
      <w:r>
        <w:rPr>
          <w:rFonts w:hint="eastAsia"/>
        </w:rPr>
        <w:t>第四节 与协作单位的合作承诺</w:t>
      </w:r>
      <w:bookmarkEnd w:id="506"/>
      <w:bookmarkEnd w:id="507"/>
    </w:p>
    <w:p>
      <w:pPr>
        <w:ind w:firstLine="480"/>
      </w:pPr>
      <w:r>
        <w:rPr>
          <w:rFonts w:hint="eastAsia"/>
        </w:rPr>
        <w:t>在与设计单位的合作中，在开工前就事先考虑好发生设计变更等情况，制定一套应急措施或方案。遇有设计变更，及时迅速地调整工程进度计划，并相应调整人力、设备、材料和资金的用量。遇到与设计有关的问题，及时做出书面报告，会同监理与设计单位协商解决。</w:t>
      </w:r>
    </w:p>
    <w:p>
      <w:pPr>
        <w:ind w:firstLine="480"/>
      </w:pPr>
      <w:r>
        <w:rPr>
          <w:rFonts w:hint="eastAsia"/>
        </w:rPr>
        <w:t>与其他协作单位合作中，在遵守合同和法律的前提下，做好协商合作。</w:t>
      </w:r>
    </w:p>
    <w:p>
      <w:pPr>
        <w:pStyle w:val="4"/>
        <w:spacing w:before="278" w:after="278"/>
        <w:ind w:firstLine="560"/>
      </w:pPr>
      <w:bookmarkStart w:id="508" w:name="_Toc438364335"/>
      <w:bookmarkStart w:id="509" w:name="_Toc415822935"/>
      <w:r>
        <w:rPr>
          <w:rFonts w:hint="eastAsia"/>
        </w:rPr>
        <w:t>第五节 拆迁配合承诺</w:t>
      </w:r>
      <w:bookmarkEnd w:id="508"/>
      <w:bookmarkEnd w:id="509"/>
    </w:p>
    <w:p>
      <w:pPr>
        <w:ind w:firstLine="480"/>
      </w:pPr>
      <w:r>
        <w:rPr>
          <w:rFonts w:hint="eastAsia"/>
        </w:rPr>
        <w:t>中标进场后，立即成立本项目的拆迁小组，详细调查标段内需拆迁的构筑物，绘制拆迁图，列出拆迁重点与难点。</w:t>
      </w:r>
    </w:p>
    <w:p>
      <w:pPr>
        <w:ind w:firstLine="480"/>
      </w:pPr>
      <w:r>
        <w:rPr>
          <w:rFonts w:hint="eastAsia"/>
        </w:rPr>
        <w:t>积极配合业主做好拆迁工作，由易到难争取为施工赢得时间，创造条件。</w:t>
      </w:r>
    </w:p>
    <w:p>
      <w:pPr>
        <w:ind w:firstLine="480"/>
      </w:pPr>
      <w:r>
        <w:rPr>
          <w:rFonts w:hint="eastAsia"/>
        </w:rPr>
        <w:t>针对拆迁重点、难点构筑物特别制定相应的措施及方案，争取得到业主的支持与相关部门的协助。</w:t>
      </w:r>
    </w:p>
    <w:p>
      <w:pPr>
        <w:ind w:firstLine="480"/>
      </w:pPr>
      <w:r>
        <w:rPr>
          <w:rFonts w:hint="eastAsia"/>
        </w:rPr>
        <w:t>地下管线拆迁时，结合设计单位或业主提供的有关资料，做好现场的调查和规划，制定拆迁方案报给业主或相关部门，得到批准后，方可进行施工。同时制定应急方案，确保万无一失。</w:t>
      </w:r>
    </w:p>
    <w:p>
      <w:pPr>
        <w:pStyle w:val="4"/>
        <w:spacing w:before="278" w:after="278"/>
        <w:ind w:firstLine="560"/>
      </w:pPr>
      <w:bookmarkStart w:id="510" w:name="_Toc438364336"/>
      <w:bookmarkStart w:id="511" w:name="_Toc415822936"/>
      <w:r>
        <w:rPr>
          <w:rFonts w:hint="eastAsia"/>
        </w:rPr>
        <w:t>第六节 工程施工廉政承诺</w:t>
      </w:r>
      <w:bookmarkEnd w:id="510"/>
      <w:bookmarkEnd w:id="511"/>
    </w:p>
    <w:p>
      <w:pPr>
        <w:ind w:firstLine="480"/>
      </w:pPr>
      <w:r>
        <w:rPr>
          <w:rFonts w:hint="eastAsia"/>
        </w:rPr>
        <w:t>1）、严格遵守国家的有关法律、法规及当地政府的有关规定。</w:t>
      </w:r>
    </w:p>
    <w:p>
      <w:pPr>
        <w:ind w:firstLine="480"/>
      </w:pPr>
      <w:r>
        <w:rPr>
          <w:rFonts w:hint="eastAsia"/>
        </w:rPr>
        <w:t>2）、严格执行本项目建设工程的合同文件，自觉按合同办事。</w:t>
      </w:r>
    </w:p>
    <w:p>
      <w:pPr>
        <w:ind w:firstLine="480"/>
      </w:pPr>
      <w:r>
        <w:rPr>
          <w:rFonts w:hint="eastAsia"/>
        </w:rPr>
        <w:t>3）、建立健全廉政制度，开展廉政教育，设立廉政告示牌，公布举报电话、自觉接受当地纪检部门及廉政监督部门的检查，对违纪及违法事件坚决查处决不姑息。</w:t>
      </w:r>
    </w:p>
    <w:p>
      <w:pPr>
        <w:ind w:firstLine="480"/>
      </w:pPr>
      <w:r>
        <w:rPr>
          <w:rFonts w:hint="eastAsia"/>
        </w:rPr>
        <w:t>4）、确保本工程的资金合理有效的投入到本工程建设中去。</w:t>
      </w:r>
    </w:p>
    <w:p>
      <w:pPr>
        <w:ind w:firstLine="480"/>
      </w:pPr>
      <w:r>
        <w:rPr>
          <w:rFonts w:hint="eastAsia"/>
        </w:rPr>
        <w:t>5）、严格履行建设工程廉政合同。</w:t>
      </w:r>
    </w:p>
    <w:p>
      <w:pPr>
        <w:pStyle w:val="4"/>
        <w:spacing w:before="278" w:after="278"/>
        <w:ind w:firstLine="560"/>
      </w:pPr>
      <w:bookmarkStart w:id="512" w:name="_Toc438364337"/>
      <w:bookmarkStart w:id="513" w:name="_Toc415822937"/>
      <w:r>
        <w:rPr>
          <w:rFonts w:hint="eastAsia"/>
        </w:rPr>
        <w:t>第七节 缺陷责任期内对工程的维保方案</w:t>
      </w:r>
      <w:bookmarkEnd w:id="512"/>
      <w:bookmarkEnd w:id="513"/>
    </w:p>
    <w:p>
      <w:pPr>
        <w:ind w:firstLine="480"/>
      </w:pPr>
      <w:r>
        <w:rPr>
          <w:rFonts w:hint="eastAsia"/>
        </w:rPr>
        <w:t>工程完工后,首先成立由项目部总工为组长,技术干部及有关人员组成的工程竣工维保组,负责缺陷责任期内对工程的维保工作。</w:t>
      </w:r>
    </w:p>
    <w:p>
      <w:pPr>
        <w:ind w:firstLine="480"/>
      </w:pPr>
      <w:r>
        <w:rPr>
          <w:rFonts w:hint="eastAsia"/>
        </w:rPr>
        <w:t>缺陷责任期内，维保组要定期对所建工程进行全面、仔细的组织检查，遇大风、暴雨等不可抗拒的自然灾害后要随时组织检查，对出现的工程缺陷要登记清楚，分析缘由，及时向业主上报缺陷数量、缺陷范围、缺陷责任及原因等，并立即组织维修。</w:t>
      </w:r>
    </w:p>
    <w:p>
      <w:pPr>
        <w:ind w:firstLine="480"/>
      </w:pPr>
      <w:r>
        <w:rPr>
          <w:rFonts w:hint="eastAsia"/>
        </w:rPr>
        <w:t>缺陷责任期内工程的维保，要在不影响正常使用的情况下进行，必要时采取可行的防护措施，确实需要中断进行时必须在业主同意下才可进行。</w:t>
      </w:r>
    </w:p>
    <w:p>
      <w:pPr>
        <w:ind w:firstLine="480"/>
      </w:pPr>
      <w:r>
        <w:rPr>
          <w:rFonts w:hint="eastAsia"/>
        </w:rPr>
        <w:t>各项缺陷的修复必须符合规范要求并取得工程师和业主的认可。</w:t>
      </w:r>
    </w:p>
    <w:p>
      <w:pPr>
        <w:ind w:firstLine="480"/>
      </w:pPr>
      <w:r>
        <w:rPr>
          <w:rFonts w:hint="eastAsia"/>
        </w:rPr>
        <w:t>缺陷责任的维保分两种情况，若因本承包人施工质量问题造成结构内部受力变化或外部破坏的，本承包人自己拿出修复方案并报业主批复后立即实施，若属设计或是其它非承包人责任造成的缺陷本承包人要及时上报业主和设计院，并按照业主和设计院批复的方案组织维修。</w:t>
      </w:r>
    </w:p>
    <w:p>
      <w:pPr>
        <w:ind w:firstLine="480"/>
      </w:pPr>
      <w:r>
        <w:rPr>
          <w:rFonts w:hint="eastAsia"/>
        </w:rPr>
        <w:t>缺陷责任期内本承包人成立的维保组必须保证管段排水畅通、路面洁净、沟、渠、涵内没有淤积物和阻塞物。</w:t>
      </w:r>
    </w:p>
    <w:p>
      <w:pPr>
        <w:ind w:firstLine="480"/>
      </w:pPr>
      <w:r>
        <w:rPr>
          <w:rFonts w:hint="eastAsia"/>
        </w:rPr>
        <w:t>本承包人成立的缺陷维保组，还将对管段内设计方面不完善之处进行合理完善、补建，确保路基边坡稳定，环境好。</w:t>
      </w:r>
    </w:p>
    <w:p>
      <w:pPr>
        <w:ind w:firstLine="480"/>
      </w:pPr>
      <w:r>
        <w:rPr>
          <w:rFonts w:hint="eastAsia"/>
        </w:rPr>
        <w:t>按照ISO9001系列标准要求，承诺实行竣工回访，工程交付业主后，仍要不断取得联系，每三个月至少回访一次，听取业主的使用情况及意见。</w:t>
      </w:r>
    </w:p>
    <w:p>
      <w:pPr>
        <w:pStyle w:val="4"/>
        <w:spacing w:before="278" w:after="278"/>
        <w:ind w:firstLine="560"/>
      </w:pPr>
      <w:bookmarkStart w:id="514" w:name="_Toc415822938"/>
      <w:bookmarkStart w:id="515" w:name="_Toc438364338"/>
      <w:r>
        <w:rPr>
          <w:rFonts w:hint="eastAsia"/>
        </w:rPr>
        <w:t>第八节 与当地居民和睦相处的措施</w:t>
      </w:r>
      <w:bookmarkEnd w:id="514"/>
      <w:bookmarkEnd w:id="515"/>
    </w:p>
    <w:p>
      <w:pPr>
        <w:ind w:firstLine="480"/>
      </w:pPr>
      <w:r>
        <w:rPr>
          <w:rFonts w:hint="eastAsia"/>
        </w:rPr>
        <w:t>1）、施工进场后及时与当地政府联系，了解当地居民基本分布情况，制定切实可行的员工管理措施。</w:t>
      </w:r>
    </w:p>
    <w:p>
      <w:pPr>
        <w:ind w:firstLine="480"/>
      </w:pPr>
      <w:r>
        <w:rPr>
          <w:rFonts w:hint="eastAsia"/>
        </w:rPr>
        <w:t>2）、对施工中对居民生活造成的影响，要及时与当地居民沟通，并尽可能采取措施解决，避免产生冲突影响居民生活和工程施工。</w:t>
      </w:r>
    </w:p>
    <w:p>
      <w:pPr>
        <w:ind w:firstLine="480"/>
      </w:pPr>
      <w:r>
        <w:rPr>
          <w:rFonts w:hint="eastAsia"/>
        </w:rPr>
        <w:t>3）、工程施工中需要的临时辅助施工人员，同等条件下首先从当地居民中聘用，给当地居民以建设家乡的机会。</w:t>
      </w:r>
    </w:p>
    <w:p>
      <w:pPr>
        <w:ind w:firstLine="480"/>
      </w:pPr>
      <w:r>
        <w:rPr>
          <w:rFonts w:hint="eastAsia"/>
        </w:rPr>
        <w:t>4）、利用我单位的设备优势，在可能的条件下，帮助当地居民解决一些生产生活上的实际困难。</w:t>
      </w:r>
    </w:p>
    <w:p>
      <w:pPr>
        <w:ind w:firstLine="480"/>
        <w:rPr>
          <w:rFonts w:ascii="宋体" w:hAnsi="宋体" w:cs="宋体"/>
        </w:rPr>
      </w:pPr>
    </w:p>
    <w:p>
      <w:pPr>
        <w:ind w:firstLine="480"/>
      </w:pPr>
    </w:p>
    <w:p>
      <w:pPr>
        <w:ind w:firstLine="480"/>
      </w:pPr>
      <w:r>
        <w:br w:type="page"/>
      </w:r>
    </w:p>
    <w:p>
      <w:pPr>
        <w:ind w:firstLine="480"/>
        <w:rPr>
          <w:szCs w:val="32"/>
        </w:rPr>
      </w:pPr>
      <w:r>
        <w:rPr>
          <w:rFonts w:hint="eastAsia"/>
          <w:szCs w:val="32"/>
        </w:rPr>
        <w:t>附表一：拟投入本工程的主要施工设备表</w:t>
      </w:r>
    </w:p>
    <w:tbl>
      <w:tblPr>
        <w:tblStyle w:val="88"/>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530"/>
        <w:gridCol w:w="996"/>
        <w:gridCol w:w="519"/>
        <w:gridCol w:w="1013"/>
        <w:gridCol w:w="797"/>
        <w:gridCol w:w="1322"/>
        <w:gridCol w:w="979"/>
        <w:gridCol w:w="981"/>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63" w:type="dxa"/>
            <w:vAlign w:val="center"/>
          </w:tcPr>
          <w:p>
            <w:pPr>
              <w:pStyle w:val="5"/>
              <w:rPr>
                <w:rFonts w:hint="default"/>
              </w:rPr>
            </w:pPr>
            <w:r>
              <w:t>序号</w:t>
            </w:r>
          </w:p>
        </w:tc>
        <w:tc>
          <w:tcPr>
            <w:tcW w:w="1530" w:type="dxa"/>
            <w:vAlign w:val="center"/>
          </w:tcPr>
          <w:p>
            <w:pPr>
              <w:pStyle w:val="5"/>
              <w:rPr>
                <w:rFonts w:hint="default"/>
              </w:rPr>
            </w:pPr>
            <w:r>
              <w:t>设备名称</w:t>
            </w:r>
          </w:p>
        </w:tc>
        <w:tc>
          <w:tcPr>
            <w:tcW w:w="996" w:type="dxa"/>
            <w:vAlign w:val="center"/>
          </w:tcPr>
          <w:p>
            <w:pPr>
              <w:pStyle w:val="5"/>
              <w:rPr>
                <w:rFonts w:hint="default"/>
              </w:rPr>
            </w:pPr>
            <w:r>
              <w:t>型号</w:t>
            </w:r>
          </w:p>
          <w:p>
            <w:pPr>
              <w:pStyle w:val="5"/>
              <w:rPr>
                <w:rFonts w:hint="default"/>
              </w:rPr>
            </w:pPr>
            <w:r>
              <w:t>规格</w:t>
            </w:r>
          </w:p>
        </w:tc>
        <w:tc>
          <w:tcPr>
            <w:tcW w:w="519" w:type="dxa"/>
            <w:vAlign w:val="center"/>
          </w:tcPr>
          <w:p>
            <w:pPr>
              <w:pStyle w:val="5"/>
              <w:rPr>
                <w:rFonts w:hint="default"/>
              </w:rPr>
            </w:pPr>
            <w:r>
              <w:t>数量</w:t>
            </w:r>
          </w:p>
        </w:tc>
        <w:tc>
          <w:tcPr>
            <w:tcW w:w="1013" w:type="dxa"/>
            <w:vAlign w:val="center"/>
          </w:tcPr>
          <w:p>
            <w:pPr>
              <w:pStyle w:val="5"/>
              <w:rPr>
                <w:rFonts w:hint="default"/>
              </w:rPr>
            </w:pPr>
            <w:r>
              <w:t>国别</w:t>
            </w:r>
          </w:p>
          <w:p>
            <w:pPr>
              <w:pStyle w:val="5"/>
              <w:rPr>
                <w:rFonts w:hint="default"/>
              </w:rPr>
            </w:pPr>
            <w:r>
              <w:t>产地</w:t>
            </w:r>
          </w:p>
        </w:tc>
        <w:tc>
          <w:tcPr>
            <w:tcW w:w="797" w:type="dxa"/>
            <w:vAlign w:val="center"/>
          </w:tcPr>
          <w:p>
            <w:pPr>
              <w:pStyle w:val="5"/>
              <w:rPr>
                <w:rFonts w:hint="default"/>
              </w:rPr>
            </w:pPr>
            <w:r>
              <w:t>制造</w:t>
            </w:r>
          </w:p>
          <w:p>
            <w:pPr>
              <w:pStyle w:val="5"/>
              <w:rPr>
                <w:rFonts w:hint="default"/>
              </w:rPr>
            </w:pPr>
            <w:r>
              <w:t>年份</w:t>
            </w:r>
          </w:p>
        </w:tc>
        <w:tc>
          <w:tcPr>
            <w:tcW w:w="1322" w:type="dxa"/>
            <w:vAlign w:val="center"/>
          </w:tcPr>
          <w:p>
            <w:pPr>
              <w:pStyle w:val="5"/>
              <w:rPr>
                <w:rFonts w:hint="default"/>
              </w:rPr>
            </w:pPr>
            <w:r>
              <w:t>额定功率</w:t>
            </w:r>
          </w:p>
          <w:p>
            <w:pPr>
              <w:pStyle w:val="5"/>
              <w:rPr>
                <w:rFonts w:hint="default"/>
              </w:rPr>
            </w:pPr>
            <w:r>
              <w:t>（KW）</w:t>
            </w:r>
          </w:p>
        </w:tc>
        <w:tc>
          <w:tcPr>
            <w:tcW w:w="979" w:type="dxa"/>
            <w:vAlign w:val="center"/>
          </w:tcPr>
          <w:p>
            <w:pPr>
              <w:pStyle w:val="5"/>
              <w:rPr>
                <w:rFonts w:hint="default"/>
              </w:rPr>
            </w:pPr>
            <w:r>
              <w:t>生产</w:t>
            </w:r>
          </w:p>
          <w:p>
            <w:pPr>
              <w:pStyle w:val="5"/>
              <w:rPr>
                <w:rFonts w:hint="default"/>
              </w:rPr>
            </w:pPr>
            <w:r>
              <w:t>能力</w:t>
            </w:r>
          </w:p>
        </w:tc>
        <w:tc>
          <w:tcPr>
            <w:tcW w:w="981" w:type="dxa"/>
            <w:vAlign w:val="center"/>
          </w:tcPr>
          <w:p>
            <w:pPr>
              <w:pStyle w:val="5"/>
              <w:rPr>
                <w:rFonts w:hint="default"/>
              </w:rPr>
            </w:pPr>
            <w:r>
              <w:t>用于施</w:t>
            </w:r>
          </w:p>
          <w:p>
            <w:pPr>
              <w:pStyle w:val="5"/>
              <w:rPr>
                <w:rFonts w:hint="default"/>
              </w:rPr>
            </w:pPr>
            <w:r>
              <w:t>工部位</w:t>
            </w:r>
          </w:p>
        </w:tc>
        <w:tc>
          <w:tcPr>
            <w:tcW w:w="860" w:type="dxa"/>
            <w:vAlign w:val="center"/>
          </w:tcPr>
          <w:p>
            <w:pPr>
              <w:pStyle w:val="5"/>
              <w:rPr>
                <w:rFonts w:hint="default"/>
              </w:rPr>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vAlign w:val="center"/>
          </w:tcPr>
          <w:p>
            <w:pPr>
              <w:pStyle w:val="5"/>
              <w:rPr>
                <w:rFonts w:hint="default"/>
              </w:rPr>
            </w:pPr>
            <w:r>
              <w:t>1</w:t>
            </w:r>
          </w:p>
        </w:tc>
        <w:tc>
          <w:tcPr>
            <w:tcW w:w="1530" w:type="dxa"/>
            <w:vAlign w:val="center"/>
          </w:tcPr>
          <w:p>
            <w:pPr>
              <w:pStyle w:val="5"/>
              <w:rPr>
                <w:rFonts w:hint="default"/>
              </w:rPr>
            </w:pPr>
            <w:r>
              <w:t>挖掘机</w:t>
            </w:r>
          </w:p>
        </w:tc>
        <w:tc>
          <w:tcPr>
            <w:tcW w:w="996" w:type="dxa"/>
            <w:vAlign w:val="center"/>
          </w:tcPr>
          <w:p>
            <w:pPr>
              <w:pStyle w:val="5"/>
              <w:rPr>
                <w:rFonts w:hint="default"/>
              </w:rPr>
            </w:pPr>
            <w:r>
              <w:t>SK320</w:t>
            </w:r>
          </w:p>
        </w:tc>
        <w:tc>
          <w:tcPr>
            <w:tcW w:w="519" w:type="dxa"/>
            <w:vAlign w:val="center"/>
          </w:tcPr>
          <w:p>
            <w:pPr>
              <w:pStyle w:val="5"/>
              <w:rPr>
                <w:rFonts w:hint="default"/>
              </w:rPr>
            </w:pPr>
            <w:r>
              <w:t>3</w:t>
            </w:r>
          </w:p>
        </w:tc>
        <w:tc>
          <w:tcPr>
            <w:tcW w:w="1013" w:type="dxa"/>
            <w:vAlign w:val="center"/>
          </w:tcPr>
          <w:p>
            <w:pPr>
              <w:pStyle w:val="5"/>
              <w:rPr>
                <w:rFonts w:hint="default"/>
              </w:rPr>
            </w:pPr>
            <w:r>
              <w:t>日本</w:t>
            </w:r>
          </w:p>
        </w:tc>
        <w:tc>
          <w:tcPr>
            <w:tcW w:w="797" w:type="dxa"/>
            <w:vAlign w:val="center"/>
          </w:tcPr>
          <w:p>
            <w:pPr>
              <w:pStyle w:val="5"/>
              <w:rPr>
                <w:rFonts w:hint="default"/>
              </w:rPr>
            </w:pPr>
            <w:r>
              <w:t>2018</w:t>
            </w:r>
          </w:p>
        </w:tc>
        <w:tc>
          <w:tcPr>
            <w:tcW w:w="1322" w:type="dxa"/>
            <w:vAlign w:val="center"/>
          </w:tcPr>
          <w:p>
            <w:pPr>
              <w:pStyle w:val="5"/>
              <w:rPr>
                <w:rFonts w:hint="default"/>
              </w:rPr>
            </w:pPr>
            <w:r>
              <w:t>200KW</w:t>
            </w:r>
          </w:p>
        </w:tc>
        <w:tc>
          <w:tcPr>
            <w:tcW w:w="979" w:type="dxa"/>
            <w:vAlign w:val="center"/>
          </w:tcPr>
          <w:p>
            <w:pPr>
              <w:pStyle w:val="5"/>
              <w:rPr>
                <w:rFonts w:hint="default"/>
              </w:rPr>
            </w:pPr>
            <w:r>
              <w:t>1.6m³</w:t>
            </w:r>
          </w:p>
        </w:tc>
        <w:tc>
          <w:tcPr>
            <w:tcW w:w="981" w:type="dxa"/>
            <w:vAlign w:val="center"/>
          </w:tcPr>
          <w:p>
            <w:pPr>
              <w:pStyle w:val="5"/>
              <w:rPr>
                <w:rFonts w:hint="default"/>
              </w:rPr>
            </w:pPr>
            <w:r>
              <w:t>拆除</w:t>
            </w:r>
          </w:p>
        </w:tc>
        <w:tc>
          <w:tcPr>
            <w:tcW w:w="860" w:type="dxa"/>
            <w:vAlign w:val="center"/>
          </w:tcPr>
          <w:p>
            <w:pPr>
              <w:pStyle w:val="5"/>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vAlign w:val="center"/>
          </w:tcPr>
          <w:p>
            <w:pPr>
              <w:pStyle w:val="5"/>
              <w:rPr>
                <w:rFonts w:hint="default"/>
              </w:rPr>
            </w:pPr>
            <w:r>
              <w:t>2</w:t>
            </w:r>
          </w:p>
        </w:tc>
        <w:tc>
          <w:tcPr>
            <w:tcW w:w="1530" w:type="dxa"/>
            <w:vAlign w:val="center"/>
          </w:tcPr>
          <w:p>
            <w:pPr>
              <w:pStyle w:val="5"/>
              <w:rPr>
                <w:rFonts w:hint="default"/>
              </w:rPr>
            </w:pPr>
            <w:r>
              <w:t>挖掘机</w:t>
            </w:r>
          </w:p>
        </w:tc>
        <w:tc>
          <w:tcPr>
            <w:tcW w:w="996" w:type="dxa"/>
            <w:vAlign w:val="center"/>
          </w:tcPr>
          <w:p>
            <w:pPr>
              <w:pStyle w:val="5"/>
              <w:rPr>
                <w:rFonts w:hint="default"/>
              </w:rPr>
            </w:pPr>
            <w:r>
              <w:t>SE280</w:t>
            </w:r>
          </w:p>
        </w:tc>
        <w:tc>
          <w:tcPr>
            <w:tcW w:w="519" w:type="dxa"/>
            <w:vAlign w:val="center"/>
          </w:tcPr>
          <w:p>
            <w:pPr>
              <w:pStyle w:val="5"/>
              <w:rPr>
                <w:rFonts w:hint="default"/>
              </w:rPr>
            </w:pPr>
            <w:r>
              <w:t>3</w:t>
            </w:r>
          </w:p>
        </w:tc>
        <w:tc>
          <w:tcPr>
            <w:tcW w:w="1013" w:type="dxa"/>
            <w:vAlign w:val="center"/>
          </w:tcPr>
          <w:p>
            <w:pPr>
              <w:pStyle w:val="5"/>
              <w:rPr>
                <w:rFonts w:hint="default"/>
              </w:rPr>
            </w:pPr>
            <w:r>
              <w:t>韩国</w:t>
            </w:r>
          </w:p>
        </w:tc>
        <w:tc>
          <w:tcPr>
            <w:tcW w:w="797" w:type="dxa"/>
            <w:vAlign w:val="center"/>
          </w:tcPr>
          <w:p>
            <w:pPr>
              <w:pStyle w:val="5"/>
              <w:rPr>
                <w:rFonts w:hint="default"/>
              </w:rPr>
            </w:pPr>
            <w:r>
              <w:t>2017</w:t>
            </w:r>
          </w:p>
        </w:tc>
        <w:tc>
          <w:tcPr>
            <w:tcW w:w="1322" w:type="dxa"/>
            <w:vAlign w:val="center"/>
          </w:tcPr>
          <w:p>
            <w:pPr>
              <w:pStyle w:val="5"/>
              <w:rPr>
                <w:rFonts w:hint="default"/>
              </w:rPr>
            </w:pPr>
            <w:r>
              <w:t>126KW</w:t>
            </w:r>
          </w:p>
        </w:tc>
        <w:tc>
          <w:tcPr>
            <w:tcW w:w="979" w:type="dxa"/>
            <w:vAlign w:val="center"/>
          </w:tcPr>
          <w:p>
            <w:pPr>
              <w:pStyle w:val="5"/>
              <w:rPr>
                <w:rFonts w:hint="default"/>
              </w:rPr>
            </w:pPr>
            <w:r>
              <w:t>1.3m³</w:t>
            </w:r>
          </w:p>
        </w:tc>
        <w:tc>
          <w:tcPr>
            <w:tcW w:w="981" w:type="dxa"/>
          </w:tcPr>
          <w:p>
            <w:pPr>
              <w:pStyle w:val="5"/>
              <w:rPr>
                <w:rFonts w:hint="default"/>
              </w:rPr>
            </w:pPr>
            <w:r>
              <w:t>清运</w:t>
            </w:r>
          </w:p>
        </w:tc>
        <w:tc>
          <w:tcPr>
            <w:tcW w:w="860" w:type="dxa"/>
            <w:vAlign w:val="center"/>
          </w:tcPr>
          <w:p>
            <w:pPr>
              <w:pStyle w:val="5"/>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vAlign w:val="center"/>
          </w:tcPr>
          <w:p>
            <w:pPr>
              <w:pStyle w:val="5"/>
              <w:rPr>
                <w:rFonts w:hint="default"/>
              </w:rPr>
            </w:pPr>
            <w:r>
              <w:t>3</w:t>
            </w:r>
          </w:p>
        </w:tc>
        <w:tc>
          <w:tcPr>
            <w:tcW w:w="1530" w:type="dxa"/>
            <w:vAlign w:val="center"/>
          </w:tcPr>
          <w:p>
            <w:pPr>
              <w:pStyle w:val="5"/>
              <w:rPr>
                <w:rFonts w:hint="default"/>
              </w:rPr>
            </w:pPr>
            <w:r>
              <w:t>炮锤</w:t>
            </w:r>
          </w:p>
        </w:tc>
        <w:tc>
          <w:tcPr>
            <w:tcW w:w="996" w:type="dxa"/>
            <w:vAlign w:val="center"/>
          </w:tcPr>
          <w:p>
            <w:pPr>
              <w:pStyle w:val="5"/>
              <w:rPr>
                <w:rFonts w:hint="default"/>
              </w:rPr>
            </w:pPr>
            <w:r>
              <w:t>SK300</w:t>
            </w:r>
          </w:p>
        </w:tc>
        <w:tc>
          <w:tcPr>
            <w:tcW w:w="519" w:type="dxa"/>
            <w:vAlign w:val="center"/>
          </w:tcPr>
          <w:p>
            <w:pPr>
              <w:pStyle w:val="5"/>
              <w:rPr>
                <w:rFonts w:hint="default"/>
              </w:rPr>
            </w:pPr>
            <w:r>
              <w:t>5</w:t>
            </w:r>
          </w:p>
        </w:tc>
        <w:tc>
          <w:tcPr>
            <w:tcW w:w="1013" w:type="dxa"/>
            <w:vAlign w:val="center"/>
          </w:tcPr>
          <w:p>
            <w:pPr>
              <w:pStyle w:val="5"/>
              <w:rPr>
                <w:rFonts w:hint="default"/>
              </w:rPr>
            </w:pPr>
            <w:r>
              <w:t>德国</w:t>
            </w:r>
          </w:p>
        </w:tc>
        <w:tc>
          <w:tcPr>
            <w:tcW w:w="797" w:type="dxa"/>
            <w:vAlign w:val="center"/>
          </w:tcPr>
          <w:p>
            <w:pPr>
              <w:pStyle w:val="5"/>
              <w:rPr>
                <w:rFonts w:hint="default"/>
              </w:rPr>
            </w:pPr>
            <w:r>
              <w:t>2018</w:t>
            </w:r>
          </w:p>
        </w:tc>
        <w:tc>
          <w:tcPr>
            <w:tcW w:w="1322" w:type="dxa"/>
            <w:vAlign w:val="center"/>
          </w:tcPr>
          <w:p>
            <w:pPr>
              <w:pStyle w:val="5"/>
              <w:rPr>
                <w:rFonts w:hint="default"/>
              </w:rPr>
            </w:pPr>
            <w:r>
              <w:t>160KW</w:t>
            </w:r>
          </w:p>
        </w:tc>
        <w:tc>
          <w:tcPr>
            <w:tcW w:w="979" w:type="dxa"/>
            <w:vAlign w:val="center"/>
          </w:tcPr>
          <w:p>
            <w:pPr>
              <w:pStyle w:val="5"/>
              <w:rPr>
                <w:rFonts w:hint="default"/>
              </w:rPr>
            </w:pPr>
          </w:p>
        </w:tc>
        <w:tc>
          <w:tcPr>
            <w:tcW w:w="981" w:type="dxa"/>
            <w:vAlign w:val="center"/>
          </w:tcPr>
          <w:p>
            <w:pPr>
              <w:pStyle w:val="5"/>
              <w:rPr>
                <w:rFonts w:hint="default"/>
              </w:rPr>
            </w:pPr>
            <w:r>
              <w:t>破碎</w:t>
            </w:r>
          </w:p>
        </w:tc>
        <w:tc>
          <w:tcPr>
            <w:tcW w:w="860" w:type="dxa"/>
            <w:vAlign w:val="center"/>
          </w:tcPr>
          <w:p>
            <w:pPr>
              <w:pStyle w:val="5"/>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vAlign w:val="center"/>
          </w:tcPr>
          <w:p>
            <w:pPr>
              <w:pStyle w:val="5"/>
              <w:rPr>
                <w:rFonts w:hint="default"/>
              </w:rPr>
            </w:pPr>
            <w:r>
              <w:t>4</w:t>
            </w:r>
          </w:p>
        </w:tc>
        <w:tc>
          <w:tcPr>
            <w:tcW w:w="1530" w:type="dxa"/>
            <w:vAlign w:val="center"/>
          </w:tcPr>
          <w:p>
            <w:pPr>
              <w:pStyle w:val="5"/>
              <w:rPr>
                <w:rFonts w:hint="default"/>
              </w:rPr>
            </w:pPr>
            <w:r>
              <w:t>洒水车</w:t>
            </w:r>
          </w:p>
        </w:tc>
        <w:tc>
          <w:tcPr>
            <w:tcW w:w="996" w:type="dxa"/>
            <w:vAlign w:val="center"/>
          </w:tcPr>
          <w:p>
            <w:pPr>
              <w:pStyle w:val="5"/>
              <w:rPr>
                <w:rFonts w:hint="default"/>
              </w:rPr>
            </w:pPr>
            <w:r>
              <w:t>LS10-8</w:t>
            </w:r>
          </w:p>
        </w:tc>
        <w:tc>
          <w:tcPr>
            <w:tcW w:w="519" w:type="dxa"/>
            <w:vAlign w:val="center"/>
          </w:tcPr>
          <w:p>
            <w:pPr>
              <w:pStyle w:val="5"/>
              <w:rPr>
                <w:rFonts w:hint="default"/>
              </w:rPr>
            </w:pPr>
            <w:r>
              <w:t>4</w:t>
            </w:r>
          </w:p>
        </w:tc>
        <w:tc>
          <w:tcPr>
            <w:tcW w:w="1013" w:type="dxa"/>
            <w:vAlign w:val="center"/>
          </w:tcPr>
          <w:p>
            <w:pPr>
              <w:pStyle w:val="5"/>
              <w:rPr>
                <w:rFonts w:hint="default"/>
              </w:rPr>
            </w:pPr>
            <w:r>
              <w:t>北京</w:t>
            </w:r>
          </w:p>
        </w:tc>
        <w:tc>
          <w:tcPr>
            <w:tcW w:w="797" w:type="dxa"/>
            <w:vAlign w:val="center"/>
          </w:tcPr>
          <w:p>
            <w:pPr>
              <w:pStyle w:val="5"/>
              <w:rPr>
                <w:rFonts w:hint="default"/>
              </w:rPr>
            </w:pPr>
            <w:r>
              <w:t>2017</w:t>
            </w:r>
          </w:p>
        </w:tc>
        <w:tc>
          <w:tcPr>
            <w:tcW w:w="1322" w:type="dxa"/>
            <w:vAlign w:val="center"/>
          </w:tcPr>
          <w:p>
            <w:pPr>
              <w:pStyle w:val="5"/>
              <w:rPr>
                <w:rFonts w:hint="default"/>
              </w:rPr>
            </w:pPr>
            <w:r>
              <w:t>118KW</w:t>
            </w:r>
          </w:p>
        </w:tc>
        <w:tc>
          <w:tcPr>
            <w:tcW w:w="979" w:type="dxa"/>
            <w:vAlign w:val="center"/>
          </w:tcPr>
          <w:p>
            <w:pPr>
              <w:pStyle w:val="5"/>
              <w:rPr>
                <w:rFonts w:hint="default"/>
              </w:rPr>
            </w:pPr>
            <w:r>
              <w:t>8t</w:t>
            </w:r>
          </w:p>
        </w:tc>
        <w:tc>
          <w:tcPr>
            <w:tcW w:w="981" w:type="dxa"/>
            <w:vAlign w:val="center"/>
          </w:tcPr>
          <w:p>
            <w:pPr>
              <w:pStyle w:val="5"/>
              <w:rPr>
                <w:rFonts w:hint="default"/>
              </w:rPr>
            </w:pPr>
            <w:r>
              <w:t>环保</w:t>
            </w:r>
          </w:p>
        </w:tc>
        <w:tc>
          <w:tcPr>
            <w:tcW w:w="860" w:type="dxa"/>
            <w:vAlign w:val="center"/>
          </w:tcPr>
          <w:p>
            <w:pPr>
              <w:pStyle w:val="5"/>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vAlign w:val="center"/>
          </w:tcPr>
          <w:p>
            <w:pPr>
              <w:pStyle w:val="5"/>
              <w:rPr>
                <w:rFonts w:hint="default"/>
              </w:rPr>
            </w:pPr>
            <w:r>
              <w:t>5</w:t>
            </w:r>
          </w:p>
        </w:tc>
        <w:tc>
          <w:tcPr>
            <w:tcW w:w="1530" w:type="dxa"/>
            <w:vAlign w:val="center"/>
          </w:tcPr>
          <w:p>
            <w:pPr>
              <w:pStyle w:val="5"/>
              <w:rPr>
                <w:rFonts w:hint="default"/>
              </w:rPr>
            </w:pPr>
            <w:r>
              <w:t>装载机</w:t>
            </w:r>
          </w:p>
        </w:tc>
        <w:tc>
          <w:tcPr>
            <w:tcW w:w="996" w:type="dxa"/>
            <w:vAlign w:val="center"/>
          </w:tcPr>
          <w:p>
            <w:pPr>
              <w:pStyle w:val="5"/>
              <w:rPr>
                <w:rFonts w:hint="default"/>
              </w:rPr>
            </w:pPr>
            <w:r>
              <w:t>ZL50</w:t>
            </w:r>
          </w:p>
        </w:tc>
        <w:tc>
          <w:tcPr>
            <w:tcW w:w="519" w:type="dxa"/>
            <w:vAlign w:val="center"/>
          </w:tcPr>
          <w:p>
            <w:pPr>
              <w:pStyle w:val="5"/>
              <w:rPr>
                <w:rFonts w:hint="default"/>
              </w:rPr>
            </w:pPr>
            <w:r>
              <w:t>3</w:t>
            </w:r>
          </w:p>
        </w:tc>
        <w:tc>
          <w:tcPr>
            <w:tcW w:w="1013" w:type="dxa"/>
            <w:vAlign w:val="center"/>
          </w:tcPr>
          <w:p>
            <w:pPr>
              <w:pStyle w:val="5"/>
              <w:rPr>
                <w:rFonts w:hint="default"/>
              </w:rPr>
            </w:pPr>
            <w:r>
              <w:t>临沂</w:t>
            </w:r>
          </w:p>
        </w:tc>
        <w:tc>
          <w:tcPr>
            <w:tcW w:w="797" w:type="dxa"/>
            <w:vAlign w:val="center"/>
          </w:tcPr>
          <w:p>
            <w:pPr>
              <w:pStyle w:val="5"/>
              <w:rPr>
                <w:rFonts w:hint="default"/>
              </w:rPr>
            </w:pPr>
            <w:r>
              <w:t>2016</w:t>
            </w:r>
          </w:p>
        </w:tc>
        <w:tc>
          <w:tcPr>
            <w:tcW w:w="1322" w:type="dxa"/>
            <w:vAlign w:val="center"/>
          </w:tcPr>
          <w:p>
            <w:pPr>
              <w:pStyle w:val="5"/>
              <w:rPr>
                <w:rFonts w:hint="default"/>
              </w:rPr>
            </w:pPr>
            <w:r>
              <w:t>155KW</w:t>
            </w:r>
          </w:p>
        </w:tc>
        <w:tc>
          <w:tcPr>
            <w:tcW w:w="979" w:type="dxa"/>
            <w:vAlign w:val="center"/>
          </w:tcPr>
          <w:p>
            <w:pPr>
              <w:pStyle w:val="5"/>
              <w:rPr>
                <w:rFonts w:hint="default"/>
              </w:rPr>
            </w:pPr>
            <w:r>
              <w:t>3T</w:t>
            </w:r>
          </w:p>
        </w:tc>
        <w:tc>
          <w:tcPr>
            <w:tcW w:w="981" w:type="dxa"/>
          </w:tcPr>
          <w:p>
            <w:pPr>
              <w:pStyle w:val="5"/>
              <w:rPr>
                <w:rFonts w:hint="default"/>
              </w:rPr>
            </w:pPr>
            <w:r>
              <w:t>清运</w:t>
            </w:r>
          </w:p>
        </w:tc>
        <w:tc>
          <w:tcPr>
            <w:tcW w:w="860" w:type="dxa"/>
            <w:vAlign w:val="center"/>
          </w:tcPr>
          <w:p>
            <w:pPr>
              <w:pStyle w:val="5"/>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vAlign w:val="center"/>
          </w:tcPr>
          <w:p>
            <w:pPr>
              <w:pStyle w:val="5"/>
              <w:rPr>
                <w:rFonts w:hint="default"/>
              </w:rPr>
            </w:pPr>
            <w:r>
              <w:t>6</w:t>
            </w:r>
          </w:p>
        </w:tc>
        <w:tc>
          <w:tcPr>
            <w:tcW w:w="1530" w:type="dxa"/>
            <w:vAlign w:val="center"/>
          </w:tcPr>
          <w:p>
            <w:pPr>
              <w:pStyle w:val="5"/>
              <w:rPr>
                <w:rFonts w:hint="default"/>
              </w:rPr>
            </w:pPr>
            <w:r>
              <w:t>雾炮机</w:t>
            </w:r>
          </w:p>
        </w:tc>
        <w:tc>
          <w:tcPr>
            <w:tcW w:w="996" w:type="dxa"/>
            <w:vAlign w:val="center"/>
          </w:tcPr>
          <w:p>
            <w:pPr>
              <w:pStyle w:val="5"/>
              <w:rPr>
                <w:rFonts w:hint="default"/>
              </w:rPr>
            </w:pPr>
            <w:r>
              <w:t>AT60</w:t>
            </w:r>
          </w:p>
        </w:tc>
        <w:tc>
          <w:tcPr>
            <w:tcW w:w="519" w:type="dxa"/>
            <w:vAlign w:val="center"/>
          </w:tcPr>
          <w:p>
            <w:pPr>
              <w:pStyle w:val="5"/>
              <w:rPr>
                <w:rFonts w:hint="default"/>
              </w:rPr>
            </w:pPr>
            <w:r>
              <w:t>5</w:t>
            </w:r>
          </w:p>
        </w:tc>
        <w:tc>
          <w:tcPr>
            <w:tcW w:w="1013" w:type="dxa"/>
            <w:vAlign w:val="center"/>
          </w:tcPr>
          <w:p>
            <w:pPr>
              <w:pStyle w:val="5"/>
              <w:rPr>
                <w:rFonts w:hint="default"/>
              </w:rPr>
            </w:pPr>
            <w:r>
              <w:t>南京</w:t>
            </w:r>
          </w:p>
        </w:tc>
        <w:tc>
          <w:tcPr>
            <w:tcW w:w="797" w:type="dxa"/>
            <w:vAlign w:val="center"/>
          </w:tcPr>
          <w:p>
            <w:pPr>
              <w:pStyle w:val="5"/>
              <w:rPr>
                <w:rFonts w:hint="default"/>
              </w:rPr>
            </w:pPr>
            <w:r>
              <w:t>2018</w:t>
            </w:r>
          </w:p>
        </w:tc>
        <w:tc>
          <w:tcPr>
            <w:tcW w:w="1322" w:type="dxa"/>
            <w:vAlign w:val="center"/>
          </w:tcPr>
          <w:p>
            <w:pPr>
              <w:pStyle w:val="5"/>
              <w:rPr>
                <w:rFonts w:hint="default"/>
              </w:rPr>
            </w:pPr>
            <w:r>
              <w:t>100KW</w:t>
            </w:r>
          </w:p>
        </w:tc>
        <w:tc>
          <w:tcPr>
            <w:tcW w:w="979" w:type="dxa"/>
            <w:vAlign w:val="center"/>
          </w:tcPr>
          <w:p>
            <w:pPr>
              <w:pStyle w:val="5"/>
              <w:rPr>
                <w:rFonts w:hint="default"/>
              </w:rPr>
            </w:pPr>
          </w:p>
        </w:tc>
        <w:tc>
          <w:tcPr>
            <w:tcW w:w="981" w:type="dxa"/>
          </w:tcPr>
          <w:p>
            <w:pPr>
              <w:pStyle w:val="5"/>
              <w:rPr>
                <w:rFonts w:hint="default"/>
              </w:rPr>
            </w:pPr>
            <w:r>
              <w:t>降尘</w:t>
            </w:r>
          </w:p>
        </w:tc>
        <w:tc>
          <w:tcPr>
            <w:tcW w:w="860" w:type="dxa"/>
            <w:vAlign w:val="center"/>
          </w:tcPr>
          <w:p>
            <w:pPr>
              <w:pStyle w:val="5"/>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vAlign w:val="center"/>
          </w:tcPr>
          <w:p>
            <w:pPr>
              <w:pStyle w:val="5"/>
              <w:rPr>
                <w:rFonts w:hint="default"/>
              </w:rPr>
            </w:pPr>
            <w:r>
              <w:t>7</w:t>
            </w:r>
          </w:p>
        </w:tc>
        <w:tc>
          <w:tcPr>
            <w:tcW w:w="1530" w:type="dxa"/>
            <w:vAlign w:val="center"/>
          </w:tcPr>
          <w:p>
            <w:pPr>
              <w:pStyle w:val="5"/>
              <w:rPr>
                <w:rFonts w:hint="default"/>
              </w:rPr>
            </w:pPr>
            <w:r>
              <w:t>自卸汽车</w:t>
            </w:r>
          </w:p>
        </w:tc>
        <w:tc>
          <w:tcPr>
            <w:tcW w:w="996" w:type="dxa"/>
            <w:vAlign w:val="center"/>
          </w:tcPr>
          <w:p>
            <w:pPr>
              <w:pStyle w:val="5"/>
              <w:rPr>
                <w:rFonts w:hint="default"/>
              </w:rPr>
            </w:pPr>
            <w:r>
              <w:t>T815S1</w:t>
            </w:r>
          </w:p>
        </w:tc>
        <w:tc>
          <w:tcPr>
            <w:tcW w:w="519" w:type="dxa"/>
            <w:vAlign w:val="center"/>
          </w:tcPr>
          <w:p>
            <w:pPr>
              <w:pStyle w:val="5"/>
              <w:rPr>
                <w:rFonts w:hint="default"/>
              </w:rPr>
            </w:pPr>
            <w:r>
              <w:t>30</w:t>
            </w:r>
          </w:p>
        </w:tc>
        <w:tc>
          <w:tcPr>
            <w:tcW w:w="1013" w:type="dxa"/>
            <w:vAlign w:val="center"/>
          </w:tcPr>
          <w:p>
            <w:pPr>
              <w:pStyle w:val="5"/>
              <w:rPr>
                <w:rFonts w:hint="default"/>
              </w:rPr>
            </w:pPr>
            <w:r>
              <w:t>邢台</w:t>
            </w:r>
          </w:p>
        </w:tc>
        <w:tc>
          <w:tcPr>
            <w:tcW w:w="797" w:type="dxa"/>
            <w:vAlign w:val="center"/>
          </w:tcPr>
          <w:p>
            <w:pPr>
              <w:pStyle w:val="5"/>
              <w:rPr>
                <w:rFonts w:hint="default"/>
              </w:rPr>
            </w:pPr>
            <w:r>
              <w:t>2017</w:t>
            </w:r>
          </w:p>
        </w:tc>
        <w:tc>
          <w:tcPr>
            <w:tcW w:w="1322" w:type="dxa"/>
            <w:vAlign w:val="center"/>
          </w:tcPr>
          <w:p>
            <w:pPr>
              <w:pStyle w:val="5"/>
              <w:rPr>
                <w:rFonts w:hint="default"/>
              </w:rPr>
            </w:pPr>
            <w:r>
              <w:t>208KW</w:t>
            </w:r>
          </w:p>
        </w:tc>
        <w:tc>
          <w:tcPr>
            <w:tcW w:w="979" w:type="dxa"/>
            <w:vAlign w:val="center"/>
          </w:tcPr>
          <w:p>
            <w:pPr>
              <w:pStyle w:val="5"/>
              <w:rPr>
                <w:rFonts w:hint="default"/>
              </w:rPr>
            </w:pPr>
            <w:r>
              <w:t>15t</w:t>
            </w:r>
          </w:p>
        </w:tc>
        <w:tc>
          <w:tcPr>
            <w:tcW w:w="981" w:type="dxa"/>
            <w:vAlign w:val="center"/>
          </w:tcPr>
          <w:p>
            <w:pPr>
              <w:pStyle w:val="5"/>
              <w:rPr>
                <w:rFonts w:hint="default"/>
              </w:rPr>
            </w:pPr>
            <w:r>
              <w:t>运输</w:t>
            </w:r>
          </w:p>
        </w:tc>
        <w:tc>
          <w:tcPr>
            <w:tcW w:w="860" w:type="dxa"/>
            <w:vAlign w:val="center"/>
          </w:tcPr>
          <w:p>
            <w:pPr>
              <w:pStyle w:val="5"/>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vAlign w:val="center"/>
          </w:tcPr>
          <w:p>
            <w:pPr>
              <w:pStyle w:val="5"/>
              <w:rPr>
                <w:rFonts w:hint="default"/>
              </w:rPr>
            </w:pPr>
            <w:r>
              <w:t>8</w:t>
            </w:r>
          </w:p>
        </w:tc>
        <w:tc>
          <w:tcPr>
            <w:tcW w:w="1530" w:type="dxa"/>
            <w:vAlign w:val="center"/>
          </w:tcPr>
          <w:p>
            <w:pPr>
              <w:pStyle w:val="5"/>
              <w:rPr>
                <w:rFonts w:hint="default"/>
              </w:rPr>
            </w:pPr>
            <w:r>
              <w:t>吊车</w:t>
            </w:r>
          </w:p>
        </w:tc>
        <w:tc>
          <w:tcPr>
            <w:tcW w:w="996" w:type="dxa"/>
            <w:vAlign w:val="center"/>
          </w:tcPr>
          <w:p>
            <w:pPr>
              <w:pStyle w:val="5"/>
              <w:rPr>
                <w:rFonts w:hint="default"/>
              </w:rPr>
            </w:pPr>
            <w:r>
              <w:t>QY20B</w:t>
            </w:r>
          </w:p>
        </w:tc>
        <w:tc>
          <w:tcPr>
            <w:tcW w:w="519" w:type="dxa"/>
            <w:vAlign w:val="center"/>
          </w:tcPr>
          <w:p>
            <w:pPr>
              <w:pStyle w:val="5"/>
              <w:rPr>
                <w:rFonts w:hint="default"/>
              </w:rPr>
            </w:pPr>
            <w:r>
              <w:t>2</w:t>
            </w:r>
          </w:p>
        </w:tc>
        <w:tc>
          <w:tcPr>
            <w:tcW w:w="1013" w:type="dxa"/>
            <w:vAlign w:val="center"/>
          </w:tcPr>
          <w:p>
            <w:pPr>
              <w:pStyle w:val="5"/>
              <w:rPr>
                <w:rFonts w:hint="default"/>
              </w:rPr>
            </w:pPr>
            <w:r>
              <w:t>徐州</w:t>
            </w:r>
          </w:p>
        </w:tc>
        <w:tc>
          <w:tcPr>
            <w:tcW w:w="797" w:type="dxa"/>
            <w:vAlign w:val="center"/>
          </w:tcPr>
          <w:p>
            <w:pPr>
              <w:pStyle w:val="5"/>
              <w:rPr>
                <w:rFonts w:hint="default"/>
              </w:rPr>
            </w:pPr>
            <w:r>
              <w:t>2017</w:t>
            </w:r>
          </w:p>
        </w:tc>
        <w:tc>
          <w:tcPr>
            <w:tcW w:w="1322" w:type="dxa"/>
            <w:vAlign w:val="center"/>
          </w:tcPr>
          <w:p>
            <w:pPr>
              <w:pStyle w:val="5"/>
              <w:rPr>
                <w:rFonts w:hint="default"/>
              </w:rPr>
            </w:pPr>
            <w:r>
              <w:t>158KW</w:t>
            </w:r>
          </w:p>
        </w:tc>
        <w:tc>
          <w:tcPr>
            <w:tcW w:w="979" w:type="dxa"/>
            <w:vAlign w:val="center"/>
          </w:tcPr>
          <w:p>
            <w:pPr>
              <w:pStyle w:val="5"/>
              <w:rPr>
                <w:rFonts w:hint="default"/>
              </w:rPr>
            </w:pPr>
            <w:r>
              <w:t>20t</w:t>
            </w:r>
          </w:p>
        </w:tc>
        <w:tc>
          <w:tcPr>
            <w:tcW w:w="981" w:type="dxa"/>
            <w:vAlign w:val="center"/>
          </w:tcPr>
          <w:p>
            <w:pPr>
              <w:pStyle w:val="5"/>
              <w:rPr>
                <w:rFonts w:hint="default"/>
              </w:rPr>
            </w:pPr>
            <w:r>
              <w:t>安装</w:t>
            </w:r>
          </w:p>
        </w:tc>
        <w:tc>
          <w:tcPr>
            <w:tcW w:w="860" w:type="dxa"/>
            <w:vAlign w:val="center"/>
          </w:tcPr>
          <w:p>
            <w:pPr>
              <w:pStyle w:val="5"/>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vAlign w:val="center"/>
          </w:tcPr>
          <w:p>
            <w:pPr>
              <w:pStyle w:val="5"/>
              <w:rPr>
                <w:rFonts w:hint="default"/>
              </w:rPr>
            </w:pPr>
            <w:r>
              <w:t>9</w:t>
            </w:r>
          </w:p>
        </w:tc>
        <w:tc>
          <w:tcPr>
            <w:tcW w:w="1530" w:type="dxa"/>
            <w:vAlign w:val="center"/>
          </w:tcPr>
          <w:p>
            <w:pPr>
              <w:pStyle w:val="5"/>
              <w:rPr>
                <w:rFonts w:hint="default"/>
              </w:rPr>
            </w:pPr>
            <w:r>
              <w:t>发电机</w:t>
            </w:r>
          </w:p>
        </w:tc>
        <w:tc>
          <w:tcPr>
            <w:tcW w:w="996" w:type="dxa"/>
            <w:vAlign w:val="center"/>
          </w:tcPr>
          <w:p>
            <w:pPr>
              <w:pStyle w:val="5"/>
              <w:rPr>
                <w:rFonts w:hint="default"/>
              </w:rPr>
            </w:pPr>
          </w:p>
        </w:tc>
        <w:tc>
          <w:tcPr>
            <w:tcW w:w="519" w:type="dxa"/>
            <w:vAlign w:val="center"/>
          </w:tcPr>
          <w:p>
            <w:pPr>
              <w:pStyle w:val="5"/>
              <w:rPr>
                <w:rFonts w:hint="default"/>
              </w:rPr>
            </w:pPr>
            <w:r>
              <w:t>1</w:t>
            </w:r>
          </w:p>
        </w:tc>
        <w:tc>
          <w:tcPr>
            <w:tcW w:w="1013" w:type="dxa"/>
            <w:vAlign w:val="center"/>
          </w:tcPr>
          <w:p>
            <w:pPr>
              <w:pStyle w:val="5"/>
              <w:rPr>
                <w:rFonts w:hint="default"/>
              </w:rPr>
            </w:pPr>
            <w:r>
              <w:t>山东</w:t>
            </w:r>
          </w:p>
        </w:tc>
        <w:tc>
          <w:tcPr>
            <w:tcW w:w="797" w:type="dxa"/>
            <w:vAlign w:val="center"/>
          </w:tcPr>
          <w:p>
            <w:pPr>
              <w:pStyle w:val="5"/>
              <w:rPr>
                <w:rFonts w:hint="default"/>
              </w:rPr>
            </w:pPr>
            <w:r>
              <w:t>2019</w:t>
            </w:r>
          </w:p>
        </w:tc>
        <w:tc>
          <w:tcPr>
            <w:tcW w:w="1322" w:type="dxa"/>
            <w:vAlign w:val="center"/>
          </w:tcPr>
          <w:p>
            <w:pPr>
              <w:pStyle w:val="5"/>
              <w:rPr>
                <w:rFonts w:hint="default"/>
              </w:rPr>
            </w:pPr>
            <w:r>
              <w:t>250KW</w:t>
            </w:r>
          </w:p>
        </w:tc>
        <w:tc>
          <w:tcPr>
            <w:tcW w:w="979" w:type="dxa"/>
            <w:vAlign w:val="center"/>
          </w:tcPr>
          <w:p>
            <w:pPr>
              <w:pStyle w:val="5"/>
              <w:rPr>
                <w:rFonts w:hint="default"/>
              </w:rPr>
            </w:pPr>
          </w:p>
        </w:tc>
        <w:tc>
          <w:tcPr>
            <w:tcW w:w="981" w:type="dxa"/>
            <w:vAlign w:val="center"/>
          </w:tcPr>
          <w:p>
            <w:pPr>
              <w:pStyle w:val="5"/>
              <w:rPr>
                <w:rFonts w:hint="default"/>
              </w:rPr>
            </w:pPr>
            <w:r>
              <w:t>备用电</w:t>
            </w:r>
          </w:p>
        </w:tc>
        <w:tc>
          <w:tcPr>
            <w:tcW w:w="860" w:type="dxa"/>
            <w:vAlign w:val="center"/>
          </w:tcPr>
          <w:p>
            <w:pPr>
              <w:pStyle w:val="5"/>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vAlign w:val="center"/>
          </w:tcPr>
          <w:p>
            <w:pPr>
              <w:pStyle w:val="5"/>
              <w:rPr>
                <w:rFonts w:hint="default"/>
              </w:rPr>
            </w:pPr>
            <w:r>
              <w:t>10</w:t>
            </w:r>
          </w:p>
        </w:tc>
        <w:tc>
          <w:tcPr>
            <w:tcW w:w="1530" w:type="dxa"/>
            <w:vAlign w:val="center"/>
          </w:tcPr>
          <w:p>
            <w:pPr>
              <w:pStyle w:val="5"/>
              <w:rPr>
                <w:rFonts w:hint="default"/>
              </w:rPr>
            </w:pPr>
          </w:p>
        </w:tc>
        <w:tc>
          <w:tcPr>
            <w:tcW w:w="996" w:type="dxa"/>
            <w:vAlign w:val="center"/>
          </w:tcPr>
          <w:p>
            <w:pPr>
              <w:pStyle w:val="5"/>
              <w:rPr>
                <w:rFonts w:hint="default"/>
              </w:rPr>
            </w:pPr>
          </w:p>
        </w:tc>
        <w:tc>
          <w:tcPr>
            <w:tcW w:w="519" w:type="dxa"/>
            <w:vAlign w:val="center"/>
          </w:tcPr>
          <w:p>
            <w:pPr>
              <w:pStyle w:val="5"/>
              <w:rPr>
                <w:rFonts w:hint="default"/>
              </w:rPr>
            </w:pPr>
          </w:p>
        </w:tc>
        <w:tc>
          <w:tcPr>
            <w:tcW w:w="1013" w:type="dxa"/>
            <w:vAlign w:val="center"/>
          </w:tcPr>
          <w:p>
            <w:pPr>
              <w:pStyle w:val="5"/>
              <w:rPr>
                <w:rFonts w:hint="default"/>
              </w:rPr>
            </w:pPr>
          </w:p>
        </w:tc>
        <w:tc>
          <w:tcPr>
            <w:tcW w:w="797" w:type="dxa"/>
            <w:vAlign w:val="center"/>
          </w:tcPr>
          <w:p>
            <w:pPr>
              <w:pStyle w:val="5"/>
              <w:rPr>
                <w:rFonts w:hint="default"/>
              </w:rPr>
            </w:pPr>
          </w:p>
        </w:tc>
        <w:tc>
          <w:tcPr>
            <w:tcW w:w="1322" w:type="dxa"/>
            <w:vAlign w:val="center"/>
          </w:tcPr>
          <w:p>
            <w:pPr>
              <w:pStyle w:val="5"/>
              <w:rPr>
                <w:rFonts w:hint="default"/>
              </w:rPr>
            </w:pPr>
          </w:p>
        </w:tc>
        <w:tc>
          <w:tcPr>
            <w:tcW w:w="979" w:type="dxa"/>
            <w:vAlign w:val="center"/>
          </w:tcPr>
          <w:p>
            <w:pPr>
              <w:pStyle w:val="5"/>
              <w:rPr>
                <w:rFonts w:hint="default"/>
              </w:rPr>
            </w:pPr>
          </w:p>
        </w:tc>
        <w:tc>
          <w:tcPr>
            <w:tcW w:w="981" w:type="dxa"/>
            <w:vAlign w:val="center"/>
          </w:tcPr>
          <w:p>
            <w:pPr>
              <w:pStyle w:val="5"/>
              <w:rPr>
                <w:rFonts w:hint="default"/>
              </w:rPr>
            </w:pPr>
          </w:p>
        </w:tc>
        <w:tc>
          <w:tcPr>
            <w:tcW w:w="860" w:type="dxa"/>
            <w:vAlign w:val="center"/>
          </w:tcPr>
          <w:p>
            <w:pPr>
              <w:pStyle w:val="5"/>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vAlign w:val="center"/>
          </w:tcPr>
          <w:p>
            <w:pPr>
              <w:pStyle w:val="5"/>
              <w:rPr>
                <w:rFonts w:hint="default"/>
              </w:rPr>
            </w:pPr>
            <w:r>
              <w:t>11</w:t>
            </w:r>
          </w:p>
        </w:tc>
        <w:tc>
          <w:tcPr>
            <w:tcW w:w="1530" w:type="dxa"/>
            <w:vAlign w:val="center"/>
          </w:tcPr>
          <w:p>
            <w:pPr>
              <w:pStyle w:val="5"/>
              <w:rPr>
                <w:rFonts w:hint="default"/>
              </w:rPr>
            </w:pPr>
          </w:p>
        </w:tc>
        <w:tc>
          <w:tcPr>
            <w:tcW w:w="996" w:type="dxa"/>
            <w:vAlign w:val="center"/>
          </w:tcPr>
          <w:p>
            <w:pPr>
              <w:pStyle w:val="5"/>
              <w:rPr>
                <w:rFonts w:hint="default"/>
              </w:rPr>
            </w:pPr>
          </w:p>
        </w:tc>
        <w:tc>
          <w:tcPr>
            <w:tcW w:w="519" w:type="dxa"/>
            <w:vAlign w:val="center"/>
          </w:tcPr>
          <w:p>
            <w:pPr>
              <w:pStyle w:val="5"/>
              <w:rPr>
                <w:rFonts w:hint="default"/>
              </w:rPr>
            </w:pPr>
          </w:p>
        </w:tc>
        <w:tc>
          <w:tcPr>
            <w:tcW w:w="1013" w:type="dxa"/>
            <w:vAlign w:val="center"/>
          </w:tcPr>
          <w:p>
            <w:pPr>
              <w:pStyle w:val="5"/>
              <w:rPr>
                <w:rFonts w:hint="default"/>
              </w:rPr>
            </w:pPr>
          </w:p>
        </w:tc>
        <w:tc>
          <w:tcPr>
            <w:tcW w:w="797" w:type="dxa"/>
            <w:vAlign w:val="center"/>
          </w:tcPr>
          <w:p>
            <w:pPr>
              <w:pStyle w:val="5"/>
              <w:rPr>
                <w:rFonts w:hint="default"/>
              </w:rPr>
            </w:pPr>
          </w:p>
        </w:tc>
        <w:tc>
          <w:tcPr>
            <w:tcW w:w="1322" w:type="dxa"/>
            <w:vAlign w:val="center"/>
          </w:tcPr>
          <w:p>
            <w:pPr>
              <w:pStyle w:val="5"/>
              <w:rPr>
                <w:rFonts w:hint="default"/>
              </w:rPr>
            </w:pPr>
          </w:p>
        </w:tc>
        <w:tc>
          <w:tcPr>
            <w:tcW w:w="979" w:type="dxa"/>
            <w:vAlign w:val="center"/>
          </w:tcPr>
          <w:p>
            <w:pPr>
              <w:pStyle w:val="5"/>
              <w:rPr>
                <w:rFonts w:hint="default"/>
              </w:rPr>
            </w:pPr>
          </w:p>
        </w:tc>
        <w:tc>
          <w:tcPr>
            <w:tcW w:w="981" w:type="dxa"/>
            <w:vAlign w:val="center"/>
          </w:tcPr>
          <w:p>
            <w:pPr>
              <w:pStyle w:val="5"/>
              <w:rPr>
                <w:rFonts w:hint="default"/>
              </w:rPr>
            </w:pPr>
          </w:p>
        </w:tc>
        <w:tc>
          <w:tcPr>
            <w:tcW w:w="860" w:type="dxa"/>
            <w:vAlign w:val="center"/>
          </w:tcPr>
          <w:p>
            <w:pPr>
              <w:pStyle w:val="5"/>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vAlign w:val="center"/>
          </w:tcPr>
          <w:p>
            <w:pPr>
              <w:pStyle w:val="5"/>
              <w:rPr>
                <w:rFonts w:hint="default"/>
              </w:rPr>
            </w:pPr>
            <w:r>
              <w:t>12</w:t>
            </w:r>
          </w:p>
        </w:tc>
        <w:tc>
          <w:tcPr>
            <w:tcW w:w="1530" w:type="dxa"/>
            <w:vAlign w:val="center"/>
          </w:tcPr>
          <w:p>
            <w:pPr>
              <w:pStyle w:val="5"/>
              <w:rPr>
                <w:rFonts w:hint="default"/>
              </w:rPr>
            </w:pPr>
          </w:p>
        </w:tc>
        <w:tc>
          <w:tcPr>
            <w:tcW w:w="996" w:type="dxa"/>
            <w:vAlign w:val="center"/>
          </w:tcPr>
          <w:p>
            <w:pPr>
              <w:pStyle w:val="5"/>
              <w:rPr>
                <w:rFonts w:hint="default"/>
              </w:rPr>
            </w:pPr>
          </w:p>
        </w:tc>
        <w:tc>
          <w:tcPr>
            <w:tcW w:w="519" w:type="dxa"/>
            <w:vAlign w:val="center"/>
          </w:tcPr>
          <w:p>
            <w:pPr>
              <w:pStyle w:val="5"/>
              <w:rPr>
                <w:rFonts w:hint="default"/>
              </w:rPr>
            </w:pPr>
          </w:p>
        </w:tc>
        <w:tc>
          <w:tcPr>
            <w:tcW w:w="1013" w:type="dxa"/>
            <w:vAlign w:val="center"/>
          </w:tcPr>
          <w:p>
            <w:pPr>
              <w:pStyle w:val="5"/>
              <w:rPr>
                <w:rFonts w:hint="default"/>
              </w:rPr>
            </w:pPr>
          </w:p>
        </w:tc>
        <w:tc>
          <w:tcPr>
            <w:tcW w:w="797" w:type="dxa"/>
            <w:vAlign w:val="center"/>
          </w:tcPr>
          <w:p>
            <w:pPr>
              <w:pStyle w:val="5"/>
              <w:rPr>
                <w:rFonts w:hint="default"/>
              </w:rPr>
            </w:pPr>
          </w:p>
        </w:tc>
        <w:tc>
          <w:tcPr>
            <w:tcW w:w="1322" w:type="dxa"/>
            <w:vAlign w:val="center"/>
          </w:tcPr>
          <w:p>
            <w:pPr>
              <w:pStyle w:val="5"/>
              <w:rPr>
                <w:rFonts w:hint="default"/>
              </w:rPr>
            </w:pPr>
          </w:p>
        </w:tc>
        <w:tc>
          <w:tcPr>
            <w:tcW w:w="979" w:type="dxa"/>
            <w:vAlign w:val="center"/>
          </w:tcPr>
          <w:p>
            <w:pPr>
              <w:pStyle w:val="5"/>
              <w:rPr>
                <w:rFonts w:hint="default"/>
              </w:rPr>
            </w:pPr>
          </w:p>
        </w:tc>
        <w:tc>
          <w:tcPr>
            <w:tcW w:w="981" w:type="dxa"/>
            <w:vAlign w:val="center"/>
          </w:tcPr>
          <w:p>
            <w:pPr>
              <w:pStyle w:val="5"/>
              <w:rPr>
                <w:rFonts w:hint="default"/>
              </w:rPr>
            </w:pPr>
          </w:p>
        </w:tc>
        <w:tc>
          <w:tcPr>
            <w:tcW w:w="860" w:type="dxa"/>
            <w:vAlign w:val="center"/>
          </w:tcPr>
          <w:p>
            <w:pPr>
              <w:pStyle w:val="5"/>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vAlign w:val="center"/>
          </w:tcPr>
          <w:p>
            <w:pPr>
              <w:pStyle w:val="5"/>
              <w:rPr>
                <w:rFonts w:hint="default"/>
              </w:rPr>
            </w:pPr>
            <w:r>
              <w:t>13</w:t>
            </w:r>
          </w:p>
        </w:tc>
        <w:tc>
          <w:tcPr>
            <w:tcW w:w="1530" w:type="dxa"/>
            <w:vAlign w:val="center"/>
          </w:tcPr>
          <w:p>
            <w:pPr>
              <w:pStyle w:val="5"/>
              <w:rPr>
                <w:rFonts w:hint="default"/>
              </w:rPr>
            </w:pPr>
          </w:p>
        </w:tc>
        <w:tc>
          <w:tcPr>
            <w:tcW w:w="996" w:type="dxa"/>
            <w:vAlign w:val="center"/>
          </w:tcPr>
          <w:p>
            <w:pPr>
              <w:pStyle w:val="5"/>
              <w:rPr>
                <w:rFonts w:hint="default"/>
              </w:rPr>
            </w:pPr>
          </w:p>
        </w:tc>
        <w:tc>
          <w:tcPr>
            <w:tcW w:w="519" w:type="dxa"/>
            <w:vAlign w:val="center"/>
          </w:tcPr>
          <w:p>
            <w:pPr>
              <w:pStyle w:val="5"/>
              <w:rPr>
                <w:rFonts w:hint="default"/>
              </w:rPr>
            </w:pPr>
          </w:p>
        </w:tc>
        <w:tc>
          <w:tcPr>
            <w:tcW w:w="1013" w:type="dxa"/>
            <w:vAlign w:val="center"/>
          </w:tcPr>
          <w:p>
            <w:pPr>
              <w:pStyle w:val="5"/>
              <w:rPr>
                <w:rFonts w:hint="default"/>
              </w:rPr>
            </w:pPr>
          </w:p>
        </w:tc>
        <w:tc>
          <w:tcPr>
            <w:tcW w:w="797" w:type="dxa"/>
            <w:vAlign w:val="center"/>
          </w:tcPr>
          <w:p>
            <w:pPr>
              <w:pStyle w:val="5"/>
              <w:rPr>
                <w:rFonts w:hint="default"/>
              </w:rPr>
            </w:pPr>
          </w:p>
        </w:tc>
        <w:tc>
          <w:tcPr>
            <w:tcW w:w="1322" w:type="dxa"/>
            <w:vAlign w:val="center"/>
          </w:tcPr>
          <w:p>
            <w:pPr>
              <w:pStyle w:val="5"/>
              <w:rPr>
                <w:rFonts w:hint="default"/>
              </w:rPr>
            </w:pPr>
          </w:p>
        </w:tc>
        <w:tc>
          <w:tcPr>
            <w:tcW w:w="979" w:type="dxa"/>
            <w:vAlign w:val="center"/>
          </w:tcPr>
          <w:p>
            <w:pPr>
              <w:pStyle w:val="5"/>
              <w:rPr>
                <w:rFonts w:hint="default"/>
              </w:rPr>
            </w:pPr>
          </w:p>
        </w:tc>
        <w:tc>
          <w:tcPr>
            <w:tcW w:w="981" w:type="dxa"/>
            <w:vAlign w:val="center"/>
          </w:tcPr>
          <w:p>
            <w:pPr>
              <w:pStyle w:val="5"/>
              <w:rPr>
                <w:rFonts w:hint="default"/>
              </w:rPr>
            </w:pPr>
          </w:p>
        </w:tc>
        <w:tc>
          <w:tcPr>
            <w:tcW w:w="860" w:type="dxa"/>
            <w:vAlign w:val="center"/>
          </w:tcPr>
          <w:p>
            <w:pPr>
              <w:pStyle w:val="5"/>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vAlign w:val="center"/>
          </w:tcPr>
          <w:p>
            <w:pPr>
              <w:pStyle w:val="5"/>
              <w:rPr>
                <w:rFonts w:hint="default"/>
              </w:rPr>
            </w:pPr>
            <w:r>
              <w:t>14</w:t>
            </w:r>
          </w:p>
        </w:tc>
        <w:tc>
          <w:tcPr>
            <w:tcW w:w="1530" w:type="dxa"/>
            <w:vAlign w:val="center"/>
          </w:tcPr>
          <w:p>
            <w:pPr>
              <w:pStyle w:val="5"/>
              <w:rPr>
                <w:rFonts w:hint="default"/>
              </w:rPr>
            </w:pPr>
          </w:p>
        </w:tc>
        <w:tc>
          <w:tcPr>
            <w:tcW w:w="996" w:type="dxa"/>
            <w:vAlign w:val="center"/>
          </w:tcPr>
          <w:p>
            <w:pPr>
              <w:pStyle w:val="5"/>
              <w:rPr>
                <w:rFonts w:hint="default"/>
              </w:rPr>
            </w:pPr>
          </w:p>
        </w:tc>
        <w:tc>
          <w:tcPr>
            <w:tcW w:w="519" w:type="dxa"/>
            <w:vAlign w:val="center"/>
          </w:tcPr>
          <w:p>
            <w:pPr>
              <w:pStyle w:val="5"/>
              <w:rPr>
                <w:rFonts w:hint="default"/>
              </w:rPr>
            </w:pPr>
          </w:p>
        </w:tc>
        <w:tc>
          <w:tcPr>
            <w:tcW w:w="1013" w:type="dxa"/>
            <w:vAlign w:val="center"/>
          </w:tcPr>
          <w:p>
            <w:pPr>
              <w:pStyle w:val="5"/>
              <w:rPr>
                <w:rFonts w:hint="default"/>
              </w:rPr>
            </w:pPr>
          </w:p>
        </w:tc>
        <w:tc>
          <w:tcPr>
            <w:tcW w:w="797" w:type="dxa"/>
            <w:vAlign w:val="center"/>
          </w:tcPr>
          <w:p>
            <w:pPr>
              <w:pStyle w:val="5"/>
              <w:rPr>
                <w:rFonts w:hint="default"/>
              </w:rPr>
            </w:pPr>
          </w:p>
        </w:tc>
        <w:tc>
          <w:tcPr>
            <w:tcW w:w="1322" w:type="dxa"/>
            <w:vAlign w:val="center"/>
          </w:tcPr>
          <w:p>
            <w:pPr>
              <w:pStyle w:val="5"/>
              <w:rPr>
                <w:rFonts w:hint="default"/>
              </w:rPr>
            </w:pPr>
          </w:p>
        </w:tc>
        <w:tc>
          <w:tcPr>
            <w:tcW w:w="979" w:type="dxa"/>
            <w:vAlign w:val="center"/>
          </w:tcPr>
          <w:p>
            <w:pPr>
              <w:pStyle w:val="5"/>
              <w:rPr>
                <w:rFonts w:hint="default"/>
              </w:rPr>
            </w:pPr>
          </w:p>
        </w:tc>
        <w:tc>
          <w:tcPr>
            <w:tcW w:w="981" w:type="dxa"/>
            <w:vAlign w:val="center"/>
          </w:tcPr>
          <w:p>
            <w:pPr>
              <w:pStyle w:val="5"/>
              <w:rPr>
                <w:rFonts w:hint="default"/>
              </w:rPr>
            </w:pPr>
          </w:p>
        </w:tc>
        <w:tc>
          <w:tcPr>
            <w:tcW w:w="860" w:type="dxa"/>
            <w:vAlign w:val="center"/>
          </w:tcPr>
          <w:p>
            <w:pPr>
              <w:pStyle w:val="5"/>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vAlign w:val="center"/>
          </w:tcPr>
          <w:p>
            <w:pPr>
              <w:pStyle w:val="5"/>
              <w:rPr>
                <w:rFonts w:hint="default"/>
              </w:rPr>
            </w:pPr>
            <w:r>
              <w:t>15</w:t>
            </w:r>
          </w:p>
        </w:tc>
        <w:tc>
          <w:tcPr>
            <w:tcW w:w="1530" w:type="dxa"/>
            <w:vAlign w:val="center"/>
          </w:tcPr>
          <w:p>
            <w:pPr>
              <w:pStyle w:val="5"/>
              <w:rPr>
                <w:rFonts w:hint="default"/>
              </w:rPr>
            </w:pPr>
          </w:p>
        </w:tc>
        <w:tc>
          <w:tcPr>
            <w:tcW w:w="996" w:type="dxa"/>
            <w:vAlign w:val="center"/>
          </w:tcPr>
          <w:p>
            <w:pPr>
              <w:pStyle w:val="5"/>
              <w:rPr>
                <w:rFonts w:hint="default"/>
              </w:rPr>
            </w:pPr>
          </w:p>
        </w:tc>
        <w:tc>
          <w:tcPr>
            <w:tcW w:w="519" w:type="dxa"/>
            <w:vAlign w:val="center"/>
          </w:tcPr>
          <w:p>
            <w:pPr>
              <w:pStyle w:val="5"/>
              <w:rPr>
                <w:rFonts w:hint="default"/>
              </w:rPr>
            </w:pPr>
          </w:p>
        </w:tc>
        <w:tc>
          <w:tcPr>
            <w:tcW w:w="1013" w:type="dxa"/>
            <w:vAlign w:val="center"/>
          </w:tcPr>
          <w:p>
            <w:pPr>
              <w:pStyle w:val="5"/>
              <w:rPr>
                <w:rFonts w:hint="default"/>
              </w:rPr>
            </w:pPr>
          </w:p>
        </w:tc>
        <w:tc>
          <w:tcPr>
            <w:tcW w:w="797" w:type="dxa"/>
            <w:vAlign w:val="center"/>
          </w:tcPr>
          <w:p>
            <w:pPr>
              <w:pStyle w:val="5"/>
              <w:rPr>
                <w:rFonts w:hint="default"/>
              </w:rPr>
            </w:pPr>
          </w:p>
        </w:tc>
        <w:tc>
          <w:tcPr>
            <w:tcW w:w="1322" w:type="dxa"/>
            <w:vAlign w:val="center"/>
          </w:tcPr>
          <w:p>
            <w:pPr>
              <w:pStyle w:val="5"/>
              <w:rPr>
                <w:rFonts w:hint="default"/>
              </w:rPr>
            </w:pPr>
          </w:p>
        </w:tc>
        <w:tc>
          <w:tcPr>
            <w:tcW w:w="979" w:type="dxa"/>
            <w:vAlign w:val="center"/>
          </w:tcPr>
          <w:p>
            <w:pPr>
              <w:pStyle w:val="5"/>
              <w:rPr>
                <w:rFonts w:hint="default"/>
              </w:rPr>
            </w:pPr>
          </w:p>
        </w:tc>
        <w:tc>
          <w:tcPr>
            <w:tcW w:w="981" w:type="dxa"/>
            <w:vAlign w:val="center"/>
          </w:tcPr>
          <w:p>
            <w:pPr>
              <w:pStyle w:val="5"/>
              <w:rPr>
                <w:rFonts w:hint="default"/>
              </w:rPr>
            </w:pPr>
          </w:p>
        </w:tc>
        <w:tc>
          <w:tcPr>
            <w:tcW w:w="860" w:type="dxa"/>
            <w:vAlign w:val="center"/>
          </w:tcPr>
          <w:p>
            <w:pPr>
              <w:pStyle w:val="5"/>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vAlign w:val="center"/>
          </w:tcPr>
          <w:p>
            <w:pPr>
              <w:pStyle w:val="5"/>
              <w:rPr>
                <w:rFonts w:hint="default"/>
              </w:rPr>
            </w:pPr>
            <w:r>
              <w:t>16</w:t>
            </w:r>
          </w:p>
        </w:tc>
        <w:tc>
          <w:tcPr>
            <w:tcW w:w="1530" w:type="dxa"/>
            <w:vAlign w:val="center"/>
          </w:tcPr>
          <w:p>
            <w:pPr>
              <w:pStyle w:val="5"/>
              <w:rPr>
                <w:rFonts w:hint="default"/>
              </w:rPr>
            </w:pPr>
          </w:p>
        </w:tc>
        <w:tc>
          <w:tcPr>
            <w:tcW w:w="996" w:type="dxa"/>
            <w:vAlign w:val="center"/>
          </w:tcPr>
          <w:p>
            <w:pPr>
              <w:pStyle w:val="5"/>
              <w:rPr>
                <w:rFonts w:hint="default"/>
              </w:rPr>
            </w:pPr>
          </w:p>
        </w:tc>
        <w:tc>
          <w:tcPr>
            <w:tcW w:w="519" w:type="dxa"/>
            <w:vAlign w:val="center"/>
          </w:tcPr>
          <w:p>
            <w:pPr>
              <w:pStyle w:val="5"/>
              <w:rPr>
                <w:rFonts w:hint="default"/>
              </w:rPr>
            </w:pPr>
          </w:p>
        </w:tc>
        <w:tc>
          <w:tcPr>
            <w:tcW w:w="1013" w:type="dxa"/>
            <w:vAlign w:val="center"/>
          </w:tcPr>
          <w:p>
            <w:pPr>
              <w:pStyle w:val="5"/>
              <w:rPr>
                <w:rFonts w:hint="default"/>
              </w:rPr>
            </w:pPr>
          </w:p>
        </w:tc>
        <w:tc>
          <w:tcPr>
            <w:tcW w:w="797" w:type="dxa"/>
            <w:vAlign w:val="center"/>
          </w:tcPr>
          <w:p>
            <w:pPr>
              <w:pStyle w:val="5"/>
              <w:rPr>
                <w:rFonts w:hint="default"/>
              </w:rPr>
            </w:pPr>
          </w:p>
        </w:tc>
        <w:tc>
          <w:tcPr>
            <w:tcW w:w="1322" w:type="dxa"/>
            <w:vAlign w:val="center"/>
          </w:tcPr>
          <w:p>
            <w:pPr>
              <w:pStyle w:val="5"/>
              <w:rPr>
                <w:rFonts w:hint="default"/>
              </w:rPr>
            </w:pPr>
          </w:p>
        </w:tc>
        <w:tc>
          <w:tcPr>
            <w:tcW w:w="979" w:type="dxa"/>
            <w:vAlign w:val="center"/>
          </w:tcPr>
          <w:p>
            <w:pPr>
              <w:pStyle w:val="5"/>
              <w:rPr>
                <w:rFonts w:hint="default"/>
              </w:rPr>
            </w:pPr>
          </w:p>
        </w:tc>
        <w:tc>
          <w:tcPr>
            <w:tcW w:w="981" w:type="dxa"/>
            <w:vAlign w:val="center"/>
          </w:tcPr>
          <w:p>
            <w:pPr>
              <w:pStyle w:val="5"/>
              <w:rPr>
                <w:rFonts w:hint="default"/>
              </w:rPr>
            </w:pPr>
          </w:p>
        </w:tc>
        <w:tc>
          <w:tcPr>
            <w:tcW w:w="860" w:type="dxa"/>
            <w:vAlign w:val="center"/>
          </w:tcPr>
          <w:p>
            <w:pPr>
              <w:pStyle w:val="5"/>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vAlign w:val="center"/>
          </w:tcPr>
          <w:p>
            <w:pPr>
              <w:pStyle w:val="5"/>
              <w:rPr>
                <w:rFonts w:hint="default"/>
              </w:rPr>
            </w:pPr>
            <w:r>
              <w:t>17</w:t>
            </w:r>
          </w:p>
        </w:tc>
        <w:tc>
          <w:tcPr>
            <w:tcW w:w="1530" w:type="dxa"/>
            <w:vAlign w:val="center"/>
          </w:tcPr>
          <w:p>
            <w:pPr>
              <w:pStyle w:val="5"/>
              <w:rPr>
                <w:rFonts w:hint="default"/>
              </w:rPr>
            </w:pPr>
          </w:p>
        </w:tc>
        <w:tc>
          <w:tcPr>
            <w:tcW w:w="996" w:type="dxa"/>
            <w:vAlign w:val="center"/>
          </w:tcPr>
          <w:p>
            <w:pPr>
              <w:pStyle w:val="5"/>
              <w:rPr>
                <w:rFonts w:hint="default"/>
              </w:rPr>
            </w:pPr>
          </w:p>
        </w:tc>
        <w:tc>
          <w:tcPr>
            <w:tcW w:w="519" w:type="dxa"/>
            <w:vAlign w:val="center"/>
          </w:tcPr>
          <w:p>
            <w:pPr>
              <w:pStyle w:val="5"/>
              <w:rPr>
                <w:rFonts w:hint="default"/>
              </w:rPr>
            </w:pPr>
          </w:p>
        </w:tc>
        <w:tc>
          <w:tcPr>
            <w:tcW w:w="1013" w:type="dxa"/>
            <w:vAlign w:val="center"/>
          </w:tcPr>
          <w:p>
            <w:pPr>
              <w:pStyle w:val="5"/>
              <w:rPr>
                <w:rFonts w:hint="default"/>
              </w:rPr>
            </w:pPr>
          </w:p>
        </w:tc>
        <w:tc>
          <w:tcPr>
            <w:tcW w:w="797" w:type="dxa"/>
            <w:vAlign w:val="center"/>
          </w:tcPr>
          <w:p>
            <w:pPr>
              <w:pStyle w:val="5"/>
              <w:rPr>
                <w:rFonts w:hint="default"/>
              </w:rPr>
            </w:pPr>
          </w:p>
        </w:tc>
        <w:tc>
          <w:tcPr>
            <w:tcW w:w="1322" w:type="dxa"/>
            <w:vAlign w:val="center"/>
          </w:tcPr>
          <w:p>
            <w:pPr>
              <w:pStyle w:val="5"/>
              <w:rPr>
                <w:rFonts w:hint="default"/>
              </w:rPr>
            </w:pPr>
          </w:p>
        </w:tc>
        <w:tc>
          <w:tcPr>
            <w:tcW w:w="979" w:type="dxa"/>
            <w:vAlign w:val="center"/>
          </w:tcPr>
          <w:p>
            <w:pPr>
              <w:pStyle w:val="5"/>
              <w:rPr>
                <w:rFonts w:hint="default"/>
              </w:rPr>
            </w:pPr>
          </w:p>
        </w:tc>
        <w:tc>
          <w:tcPr>
            <w:tcW w:w="981" w:type="dxa"/>
            <w:vAlign w:val="center"/>
          </w:tcPr>
          <w:p>
            <w:pPr>
              <w:pStyle w:val="5"/>
              <w:rPr>
                <w:rFonts w:hint="default"/>
              </w:rPr>
            </w:pPr>
          </w:p>
        </w:tc>
        <w:tc>
          <w:tcPr>
            <w:tcW w:w="860" w:type="dxa"/>
            <w:vAlign w:val="center"/>
          </w:tcPr>
          <w:p>
            <w:pPr>
              <w:pStyle w:val="5"/>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vAlign w:val="center"/>
          </w:tcPr>
          <w:p>
            <w:pPr>
              <w:pStyle w:val="5"/>
              <w:rPr>
                <w:rFonts w:hint="default"/>
              </w:rPr>
            </w:pPr>
            <w:r>
              <w:t>18</w:t>
            </w:r>
          </w:p>
        </w:tc>
        <w:tc>
          <w:tcPr>
            <w:tcW w:w="1530" w:type="dxa"/>
            <w:vAlign w:val="center"/>
          </w:tcPr>
          <w:p>
            <w:pPr>
              <w:pStyle w:val="5"/>
              <w:rPr>
                <w:rFonts w:hint="default"/>
              </w:rPr>
            </w:pPr>
          </w:p>
        </w:tc>
        <w:tc>
          <w:tcPr>
            <w:tcW w:w="996" w:type="dxa"/>
            <w:vAlign w:val="center"/>
          </w:tcPr>
          <w:p>
            <w:pPr>
              <w:pStyle w:val="5"/>
              <w:rPr>
                <w:rFonts w:hint="default"/>
              </w:rPr>
            </w:pPr>
          </w:p>
        </w:tc>
        <w:tc>
          <w:tcPr>
            <w:tcW w:w="519" w:type="dxa"/>
            <w:vAlign w:val="center"/>
          </w:tcPr>
          <w:p>
            <w:pPr>
              <w:pStyle w:val="5"/>
              <w:rPr>
                <w:rFonts w:hint="default"/>
              </w:rPr>
            </w:pPr>
          </w:p>
        </w:tc>
        <w:tc>
          <w:tcPr>
            <w:tcW w:w="1013" w:type="dxa"/>
            <w:vAlign w:val="center"/>
          </w:tcPr>
          <w:p>
            <w:pPr>
              <w:pStyle w:val="5"/>
              <w:rPr>
                <w:rFonts w:hint="default"/>
              </w:rPr>
            </w:pPr>
          </w:p>
        </w:tc>
        <w:tc>
          <w:tcPr>
            <w:tcW w:w="797" w:type="dxa"/>
            <w:vAlign w:val="center"/>
          </w:tcPr>
          <w:p>
            <w:pPr>
              <w:pStyle w:val="5"/>
              <w:rPr>
                <w:rFonts w:hint="default"/>
              </w:rPr>
            </w:pPr>
          </w:p>
        </w:tc>
        <w:tc>
          <w:tcPr>
            <w:tcW w:w="1322" w:type="dxa"/>
            <w:vAlign w:val="center"/>
          </w:tcPr>
          <w:p>
            <w:pPr>
              <w:pStyle w:val="5"/>
              <w:rPr>
                <w:rFonts w:hint="default"/>
              </w:rPr>
            </w:pPr>
          </w:p>
        </w:tc>
        <w:tc>
          <w:tcPr>
            <w:tcW w:w="979" w:type="dxa"/>
            <w:vAlign w:val="center"/>
          </w:tcPr>
          <w:p>
            <w:pPr>
              <w:pStyle w:val="5"/>
              <w:rPr>
                <w:rFonts w:hint="default"/>
              </w:rPr>
            </w:pPr>
          </w:p>
        </w:tc>
        <w:tc>
          <w:tcPr>
            <w:tcW w:w="981" w:type="dxa"/>
            <w:vAlign w:val="center"/>
          </w:tcPr>
          <w:p>
            <w:pPr>
              <w:pStyle w:val="5"/>
              <w:rPr>
                <w:rFonts w:hint="default"/>
              </w:rPr>
            </w:pPr>
          </w:p>
        </w:tc>
        <w:tc>
          <w:tcPr>
            <w:tcW w:w="860" w:type="dxa"/>
            <w:vAlign w:val="center"/>
          </w:tcPr>
          <w:p>
            <w:pPr>
              <w:pStyle w:val="5"/>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vAlign w:val="center"/>
          </w:tcPr>
          <w:p>
            <w:pPr>
              <w:pStyle w:val="5"/>
              <w:rPr>
                <w:rFonts w:hint="default"/>
              </w:rPr>
            </w:pPr>
            <w:r>
              <w:t>19</w:t>
            </w:r>
          </w:p>
        </w:tc>
        <w:tc>
          <w:tcPr>
            <w:tcW w:w="1530" w:type="dxa"/>
            <w:vAlign w:val="center"/>
          </w:tcPr>
          <w:p>
            <w:pPr>
              <w:pStyle w:val="5"/>
              <w:rPr>
                <w:rFonts w:hint="default"/>
              </w:rPr>
            </w:pPr>
          </w:p>
        </w:tc>
        <w:tc>
          <w:tcPr>
            <w:tcW w:w="996" w:type="dxa"/>
            <w:vAlign w:val="center"/>
          </w:tcPr>
          <w:p>
            <w:pPr>
              <w:pStyle w:val="5"/>
              <w:rPr>
                <w:rFonts w:hint="default"/>
              </w:rPr>
            </w:pPr>
          </w:p>
        </w:tc>
        <w:tc>
          <w:tcPr>
            <w:tcW w:w="519" w:type="dxa"/>
            <w:vAlign w:val="center"/>
          </w:tcPr>
          <w:p>
            <w:pPr>
              <w:pStyle w:val="5"/>
              <w:rPr>
                <w:rFonts w:hint="default"/>
              </w:rPr>
            </w:pPr>
          </w:p>
        </w:tc>
        <w:tc>
          <w:tcPr>
            <w:tcW w:w="1013" w:type="dxa"/>
            <w:vAlign w:val="center"/>
          </w:tcPr>
          <w:p>
            <w:pPr>
              <w:pStyle w:val="5"/>
              <w:rPr>
                <w:rFonts w:hint="default"/>
              </w:rPr>
            </w:pPr>
          </w:p>
        </w:tc>
        <w:tc>
          <w:tcPr>
            <w:tcW w:w="797" w:type="dxa"/>
            <w:vAlign w:val="center"/>
          </w:tcPr>
          <w:p>
            <w:pPr>
              <w:pStyle w:val="5"/>
              <w:rPr>
                <w:rFonts w:hint="default"/>
              </w:rPr>
            </w:pPr>
          </w:p>
        </w:tc>
        <w:tc>
          <w:tcPr>
            <w:tcW w:w="1322" w:type="dxa"/>
            <w:vAlign w:val="center"/>
          </w:tcPr>
          <w:p>
            <w:pPr>
              <w:pStyle w:val="5"/>
              <w:rPr>
                <w:rFonts w:hint="default"/>
              </w:rPr>
            </w:pPr>
          </w:p>
        </w:tc>
        <w:tc>
          <w:tcPr>
            <w:tcW w:w="979" w:type="dxa"/>
            <w:vAlign w:val="center"/>
          </w:tcPr>
          <w:p>
            <w:pPr>
              <w:pStyle w:val="5"/>
              <w:rPr>
                <w:rFonts w:hint="default"/>
              </w:rPr>
            </w:pPr>
          </w:p>
        </w:tc>
        <w:tc>
          <w:tcPr>
            <w:tcW w:w="981" w:type="dxa"/>
            <w:vAlign w:val="center"/>
          </w:tcPr>
          <w:p>
            <w:pPr>
              <w:pStyle w:val="5"/>
              <w:rPr>
                <w:rFonts w:hint="default"/>
              </w:rPr>
            </w:pPr>
          </w:p>
        </w:tc>
        <w:tc>
          <w:tcPr>
            <w:tcW w:w="860" w:type="dxa"/>
            <w:vAlign w:val="center"/>
          </w:tcPr>
          <w:p>
            <w:pPr>
              <w:pStyle w:val="5"/>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exact"/>
          <w:jc w:val="center"/>
        </w:trPr>
        <w:tc>
          <w:tcPr>
            <w:tcW w:w="563" w:type="dxa"/>
            <w:vAlign w:val="center"/>
          </w:tcPr>
          <w:p>
            <w:pPr>
              <w:pStyle w:val="5"/>
              <w:rPr>
                <w:rFonts w:hint="default"/>
              </w:rPr>
            </w:pPr>
            <w:r>
              <w:t>20</w:t>
            </w:r>
          </w:p>
        </w:tc>
        <w:tc>
          <w:tcPr>
            <w:tcW w:w="1530" w:type="dxa"/>
            <w:vAlign w:val="center"/>
          </w:tcPr>
          <w:p>
            <w:pPr>
              <w:pStyle w:val="5"/>
              <w:rPr>
                <w:rFonts w:hint="default"/>
              </w:rPr>
            </w:pPr>
          </w:p>
        </w:tc>
        <w:tc>
          <w:tcPr>
            <w:tcW w:w="996" w:type="dxa"/>
            <w:vAlign w:val="center"/>
          </w:tcPr>
          <w:p>
            <w:pPr>
              <w:pStyle w:val="5"/>
              <w:rPr>
                <w:rFonts w:hint="default"/>
              </w:rPr>
            </w:pPr>
          </w:p>
        </w:tc>
        <w:tc>
          <w:tcPr>
            <w:tcW w:w="519" w:type="dxa"/>
            <w:vAlign w:val="center"/>
          </w:tcPr>
          <w:p>
            <w:pPr>
              <w:pStyle w:val="5"/>
              <w:rPr>
                <w:rFonts w:hint="default"/>
              </w:rPr>
            </w:pPr>
          </w:p>
        </w:tc>
        <w:tc>
          <w:tcPr>
            <w:tcW w:w="1013" w:type="dxa"/>
            <w:vAlign w:val="center"/>
          </w:tcPr>
          <w:p>
            <w:pPr>
              <w:pStyle w:val="5"/>
              <w:rPr>
                <w:rFonts w:hint="default"/>
              </w:rPr>
            </w:pPr>
          </w:p>
        </w:tc>
        <w:tc>
          <w:tcPr>
            <w:tcW w:w="797" w:type="dxa"/>
            <w:vAlign w:val="center"/>
          </w:tcPr>
          <w:p>
            <w:pPr>
              <w:pStyle w:val="5"/>
              <w:rPr>
                <w:rFonts w:hint="default"/>
              </w:rPr>
            </w:pPr>
          </w:p>
        </w:tc>
        <w:tc>
          <w:tcPr>
            <w:tcW w:w="1322" w:type="dxa"/>
            <w:vAlign w:val="center"/>
          </w:tcPr>
          <w:p>
            <w:pPr>
              <w:pStyle w:val="5"/>
              <w:rPr>
                <w:rFonts w:hint="default"/>
              </w:rPr>
            </w:pPr>
          </w:p>
        </w:tc>
        <w:tc>
          <w:tcPr>
            <w:tcW w:w="979" w:type="dxa"/>
            <w:vAlign w:val="center"/>
          </w:tcPr>
          <w:p>
            <w:pPr>
              <w:pStyle w:val="5"/>
              <w:rPr>
                <w:rFonts w:hint="default"/>
              </w:rPr>
            </w:pPr>
          </w:p>
        </w:tc>
        <w:tc>
          <w:tcPr>
            <w:tcW w:w="981" w:type="dxa"/>
            <w:vAlign w:val="center"/>
          </w:tcPr>
          <w:p>
            <w:pPr>
              <w:pStyle w:val="5"/>
              <w:rPr>
                <w:rFonts w:hint="default"/>
              </w:rPr>
            </w:pPr>
          </w:p>
        </w:tc>
        <w:tc>
          <w:tcPr>
            <w:tcW w:w="860" w:type="dxa"/>
            <w:vAlign w:val="center"/>
          </w:tcPr>
          <w:p>
            <w:pPr>
              <w:pStyle w:val="5"/>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vAlign w:val="center"/>
          </w:tcPr>
          <w:p>
            <w:pPr>
              <w:pStyle w:val="5"/>
              <w:rPr>
                <w:rFonts w:hint="default"/>
              </w:rPr>
            </w:pPr>
          </w:p>
        </w:tc>
        <w:tc>
          <w:tcPr>
            <w:tcW w:w="1530" w:type="dxa"/>
            <w:vAlign w:val="center"/>
          </w:tcPr>
          <w:p>
            <w:pPr>
              <w:pStyle w:val="5"/>
              <w:rPr>
                <w:rFonts w:hint="default"/>
              </w:rPr>
            </w:pPr>
          </w:p>
        </w:tc>
        <w:tc>
          <w:tcPr>
            <w:tcW w:w="996" w:type="dxa"/>
            <w:vAlign w:val="center"/>
          </w:tcPr>
          <w:p>
            <w:pPr>
              <w:pStyle w:val="5"/>
              <w:rPr>
                <w:rFonts w:hint="default"/>
              </w:rPr>
            </w:pPr>
          </w:p>
        </w:tc>
        <w:tc>
          <w:tcPr>
            <w:tcW w:w="519" w:type="dxa"/>
            <w:vAlign w:val="center"/>
          </w:tcPr>
          <w:p>
            <w:pPr>
              <w:pStyle w:val="5"/>
              <w:rPr>
                <w:rFonts w:hint="default"/>
              </w:rPr>
            </w:pPr>
          </w:p>
        </w:tc>
        <w:tc>
          <w:tcPr>
            <w:tcW w:w="1013" w:type="dxa"/>
            <w:vAlign w:val="center"/>
          </w:tcPr>
          <w:p>
            <w:pPr>
              <w:pStyle w:val="5"/>
              <w:rPr>
                <w:rFonts w:hint="default"/>
              </w:rPr>
            </w:pPr>
          </w:p>
        </w:tc>
        <w:tc>
          <w:tcPr>
            <w:tcW w:w="797" w:type="dxa"/>
            <w:vAlign w:val="center"/>
          </w:tcPr>
          <w:p>
            <w:pPr>
              <w:pStyle w:val="5"/>
              <w:rPr>
                <w:rFonts w:hint="default"/>
              </w:rPr>
            </w:pPr>
          </w:p>
        </w:tc>
        <w:tc>
          <w:tcPr>
            <w:tcW w:w="1322" w:type="dxa"/>
            <w:vAlign w:val="center"/>
          </w:tcPr>
          <w:p>
            <w:pPr>
              <w:pStyle w:val="5"/>
              <w:rPr>
                <w:rFonts w:hint="default"/>
              </w:rPr>
            </w:pPr>
          </w:p>
        </w:tc>
        <w:tc>
          <w:tcPr>
            <w:tcW w:w="979" w:type="dxa"/>
            <w:vAlign w:val="center"/>
          </w:tcPr>
          <w:p>
            <w:pPr>
              <w:pStyle w:val="5"/>
              <w:rPr>
                <w:rFonts w:hint="default"/>
              </w:rPr>
            </w:pPr>
          </w:p>
        </w:tc>
        <w:tc>
          <w:tcPr>
            <w:tcW w:w="981" w:type="dxa"/>
            <w:vAlign w:val="center"/>
          </w:tcPr>
          <w:p>
            <w:pPr>
              <w:pStyle w:val="5"/>
              <w:rPr>
                <w:rFonts w:hint="default"/>
              </w:rPr>
            </w:pPr>
          </w:p>
        </w:tc>
        <w:tc>
          <w:tcPr>
            <w:tcW w:w="860" w:type="dxa"/>
            <w:vAlign w:val="center"/>
          </w:tcPr>
          <w:p>
            <w:pPr>
              <w:pStyle w:val="5"/>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vAlign w:val="center"/>
          </w:tcPr>
          <w:p>
            <w:pPr>
              <w:pStyle w:val="5"/>
              <w:rPr>
                <w:rFonts w:hint="default"/>
              </w:rPr>
            </w:pPr>
          </w:p>
        </w:tc>
        <w:tc>
          <w:tcPr>
            <w:tcW w:w="1530" w:type="dxa"/>
            <w:vAlign w:val="center"/>
          </w:tcPr>
          <w:p>
            <w:pPr>
              <w:pStyle w:val="5"/>
              <w:rPr>
                <w:rFonts w:hint="default"/>
              </w:rPr>
            </w:pPr>
          </w:p>
        </w:tc>
        <w:tc>
          <w:tcPr>
            <w:tcW w:w="996" w:type="dxa"/>
            <w:vAlign w:val="center"/>
          </w:tcPr>
          <w:p>
            <w:pPr>
              <w:pStyle w:val="5"/>
              <w:rPr>
                <w:rFonts w:hint="default"/>
              </w:rPr>
            </w:pPr>
          </w:p>
        </w:tc>
        <w:tc>
          <w:tcPr>
            <w:tcW w:w="519" w:type="dxa"/>
            <w:vAlign w:val="center"/>
          </w:tcPr>
          <w:p>
            <w:pPr>
              <w:pStyle w:val="5"/>
              <w:rPr>
                <w:rFonts w:hint="default"/>
              </w:rPr>
            </w:pPr>
          </w:p>
        </w:tc>
        <w:tc>
          <w:tcPr>
            <w:tcW w:w="1013" w:type="dxa"/>
            <w:vAlign w:val="center"/>
          </w:tcPr>
          <w:p>
            <w:pPr>
              <w:pStyle w:val="5"/>
              <w:rPr>
                <w:rFonts w:hint="default"/>
              </w:rPr>
            </w:pPr>
          </w:p>
        </w:tc>
        <w:tc>
          <w:tcPr>
            <w:tcW w:w="797" w:type="dxa"/>
            <w:vAlign w:val="center"/>
          </w:tcPr>
          <w:p>
            <w:pPr>
              <w:pStyle w:val="5"/>
              <w:rPr>
                <w:rFonts w:hint="default"/>
              </w:rPr>
            </w:pPr>
          </w:p>
        </w:tc>
        <w:tc>
          <w:tcPr>
            <w:tcW w:w="1322" w:type="dxa"/>
            <w:vAlign w:val="center"/>
          </w:tcPr>
          <w:p>
            <w:pPr>
              <w:pStyle w:val="5"/>
              <w:rPr>
                <w:rFonts w:hint="default"/>
              </w:rPr>
            </w:pPr>
          </w:p>
        </w:tc>
        <w:tc>
          <w:tcPr>
            <w:tcW w:w="979" w:type="dxa"/>
            <w:vAlign w:val="center"/>
          </w:tcPr>
          <w:p>
            <w:pPr>
              <w:pStyle w:val="5"/>
              <w:rPr>
                <w:rFonts w:hint="default"/>
              </w:rPr>
            </w:pPr>
          </w:p>
        </w:tc>
        <w:tc>
          <w:tcPr>
            <w:tcW w:w="981" w:type="dxa"/>
            <w:vAlign w:val="center"/>
          </w:tcPr>
          <w:p>
            <w:pPr>
              <w:pStyle w:val="5"/>
              <w:rPr>
                <w:rFonts w:hint="default"/>
              </w:rPr>
            </w:pPr>
          </w:p>
        </w:tc>
        <w:tc>
          <w:tcPr>
            <w:tcW w:w="860" w:type="dxa"/>
            <w:vAlign w:val="center"/>
          </w:tcPr>
          <w:p>
            <w:pPr>
              <w:pStyle w:val="5"/>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vAlign w:val="center"/>
          </w:tcPr>
          <w:p>
            <w:pPr>
              <w:pStyle w:val="5"/>
              <w:rPr>
                <w:rFonts w:hint="default"/>
              </w:rPr>
            </w:pPr>
          </w:p>
        </w:tc>
        <w:tc>
          <w:tcPr>
            <w:tcW w:w="1530" w:type="dxa"/>
            <w:vAlign w:val="center"/>
          </w:tcPr>
          <w:p>
            <w:pPr>
              <w:pStyle w:val="5"/>
              <w:rPr>
                <w:rFonts w:hint="default"/>
              </w:rPr>
            </w:pPr>
          </w:p>
        </w:tc>
        <w:tc>
          <w:tcPr>
            <w:tcW w:w="996" w:type="dxa"/>
            <w:vAlign w:val="center"/>
          </w:tcPr>
          <w:p>
            <w:pPr>
              <w:pStyle w:val="5"/>
              <w:rPr>
                <w:rFonts w:hint="default"/>
              </w:rPr>
            </w:pPr>
          </w:p>
        </w:tc>
        <w:tc>
          <w:tcPr>
            <w:tcW w:w="519" w:type="dxa"/>
            <w:vAlign w:val="center"/>
          </w:tcPr>
          <w:p>
            <w:pPr>
              <w:pStyle w:val="5"/>
              <w:rPr>
                <w:rFonts w:hint="default"/>
              </w:rPr>
            </w:pPr>
          </w:p>
        </w:tc>
        <w:tc>
          <w:tcPr>
            <w:tcW w:w="1013" w:type="dxa"/>
            <w:vAlign w:val="center"/>
          </w:tcPr>
          <w:p>
            <w:pPr>
              <w:pStyle w:val="5"/>
              <w:rPr>
                <w:rFonts w:hint="default"/>
              </w:rPr>
            </w:pPr>
          </w:p>
        </w:tc>
        <w:tc>
          <w:tcPr>
            <w:tcW w:w="797" w:type="dxa"/>
            <w:vAlign w:val="center"/>
          </w:tcPr>
          <w:p>
            <w:pPr>
              <w:pStyle w:val="5"/>
              <w:rPr>
                <w:rFonts w:hint="default"/>
              </w:rPr>
            </w:pPr>
          </w:p>
        </w:tc>
        <w:tc>
          <w:tcPr>
            <w:tcW w:w="1322" w:type="dxa"/>
            <w:vAlign w:val="center"/>
          </w:tcPr>
          <w:p>
            <w:pPr>
              <w:pStyle w:val="5"/>
              <w:rPr>
                <w:rFonts w:hint="default"/>
              </w:rPr>
            </w:pPr>
          </w:p>
        </w:tc>
        <w:tc>
          <w:tcPr>
            <w:tcW w:w="979" w:type="dxa"/>
            <w:vAlign w:val="center"/>
          </w:tcPr>
          <w:p>
            <w:pPr>
              <w:pStyle w:val="5"/>
              <w:rPr>
                <w:rFonts w:hint="default"/>
              </w:rPr>
            </w:pPr>
          </w:p>
        </w:tc>
        <w:tc>
          <w:tcPr>
            <w:tcW w:w="981" w:type="dxa"/>
            <w:vAlign w:val="center"/>
          </w:tcPr>
          <w:p>
            <w:pPr>
              <w:pStyle w:val="5"/>
              <w:rPr>
                <w:rFonts w:hint="default"/>
              </w:rPr>
            </w:pPr>
          </w:p>
        </w:tc>
        <w:tc>
          <w:tcPr>
            <w:tcW w:w="860" w:type="dxa"/>
            <w:vAlign w:val="center"/>
          </w:tcPr>
          <w:p>
            <w:pPr>
              <w:pStyle w:val="5"/>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exact"/>
          <w:jc w:val="center"/>
        </w:trPr>
        <w:tc>
          <w:tcPr>
            <w:tcW w:w="563" w:type="dxa"/>
            <w:vAlign w:val="center"/>
          </w:tcPr>
          <w:p>
            <w:pPr>
              <w:pStyle w:val="5"/>
              <w:rPr>
                <w:rFonts w:hint="default"/>
              </w:rPr>
            </w:pPr>
          </w:p>
        </w:tc>
        <w:tc>
          <w:tcPr>
            <w:tcW w:w="1530" w:type="dxa"/>
            <w:vAlign w:val="center"/>
          </w:tcPr>
          <w:p>
            <w:pPr>
              <w:pStyle w:val="5"/>
              <w:rPr>
                <w:rFonts w:hint="default"/>
              </w:rPr>
            </w:pPr>
          </w:p>
        </w:tc>
        <w:tc>
          <w:tcPr>
            <w:tcW w:w="996" w:type="dxa"/>
            <w:vAlign w:val="center"/>
          </w:tcPr>
          <w:p>
            <w:pPr>
              <w:pStyle w:val="5"/>
              <w:rPr>
                <w:rFonts w:hint="default"/>
              </w:rPr>
            </w:pPr>
          </w:p>
        </w:tc>
        <w:tc>
          <w:tcPr>
            <w:tcW w:w="519" w:type="dxa"/>
            <w:vAlign w:val="center"/>
          </w:tcPr>
          <w:p>
            <w:pPr>
              <w:pStyle w:val="5"/>
              <w:rPr>
                <w:rFonts w:hint="default"/>
              </w:rPr>
            </w:pPr>
          </w:p>
        </w:tc>
        <w:tc>
          <w:tcPr>
            <w:tcW w:w="1013" w:type="dxa"/>
            <w:vAlign w:val="center"/>
          </w:tcPr>
          <w:p>
            <w:pPr>
              <w:pStyle w:val="5"/>
              <w:rPr>
                <w:rFonts w:hint="default"/>
              </w:rPr>
            </w:pPr>
          </w:p>
        </w:tc>
        <w:tc>
          <w:tcPr>
            <w:tcW w:w="797" w:type="dxa"/>
            <w:vAlign w:val="center"/>
          </w:tcPr>
          <w:p>
            <w:pPr>
              <w:pStyle w:val="5"/>
              <w:rPr>
                <w:rFonts w:hint="default"/>
              </w:rPr>
            </w:pPr>
          </w:p>
        </w:tc>
        <w:tc>
          <w:tcPr>
            <w:tcW w:w="1322" w:type="dxa"/>
            <w:vAlign w:val="center"/>
          </w:tcPr>
          <w:p>
            <w:pPr>
              <w:pStyle w:val="5"/>
              <w:rPr>
                <w:rFonts w:hint="default"/>
              </w:rPr>
            </w:pPr>
          </w:p>
        </w:tc>
        <w:tc>
          <w:tcPr>
            <w:tcW w:w="979" w:type="dxa"/>
            <w:vAlign w:val="center"/>
          </w:tcPr>
          <w:p>
            <w:pPr>
              <w:pStyle w:val="5"/>
              <w:rPr>
                <w:rFonts w:hint="default"/>
              </w:rPr>
            </w:pPr>
          </w:p>
        </w:tc>
        <w:tc>
          <w:tcPr>
            <w:tcW w:w="981" w:type="dxa"/>
            <w:vAlign w:val="center"/>
          </w:tcPr>
          <w:p>
            <w:pPr>
              <w:pStyle w:val="5"/>
              <w:rPr>
                <w:rFonts w:hint="default"/>
              </w:rPr>
            </w:pPr>
          </w:p>
        </w:tc>
        <w:tc>
          <w:tcPr>
            <w:tcW w:w="860" w:type="dxa"/>
            <w:vAlign w:val="center"/>
          </w:tcPr>
          <w:p>
            <w:pPr>
              <w:pStyle w:val="5"/>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vAlign w:val="center"/>
          </w:tcPr>
          <w:p>
            <w:pPr>
              <w:pStyle w:val="5"/>
              <w:rPr>
                <w:rFonts w:hint="default"/>
              </w:rPr>
            </w:pPr>
          </w:p>
        </w:tc>
        <w:tc>
          <w:tcPr>
            <w:tcW w:w="1530" w:type="dxa"/>
            <w:vAlign w:val="center"/>
          </w:tcPr>
          <w:p>
            <w:pPr>
              <w:pStyle w:val="5"/>
              <w:rPr>
                <w:rFonts w:hint="default"/>
              </w:rPr>
            </w:pPr>
          </w:p>
        </w:tc>
        <w:tc>
          <w:tcPr>
            <w:tcW w:w="996" w:type="dxa"/>
            <w:vAlign w:val="center"/>
          </w:tcPr>
          <w:p>
            <w:pPr>
              <w:pStyle w:val="5"/>
              <w:rPr>
                <w:rFonts w:hint="default"/>
              </w:rPr>
            </w:pPr>
          </w:p>
        </w:tc>
        <w:tc>
          <w:tcPr>
            <w:tcW w:w="519" w:type="dxa"/>
            <w:vAlign w:val="center"/>
          </w:tcPr>
          <w:p>
            <w:pPr>
              <w:pStyle w:val="5"/>
              <w:rPr>
                <w:rFonts w:hint="default"/>
              </w:rPr>
            </w:pPr>
          </w:p>
        </w:tc>
        <w:tc>
          <w:tcPr>
            <w:tcW w:w="1013" w:type="dxa"/>
            <w:vAlign w:val="center"/>
          </w:tcPr>
          <w:p>
            <w:pPr>
              <w:pStyle w:val="5"/>
              <w:rPr>
                <w:rFonts w:hint="default"/>
              </w:rPr>
            </w:pPr>
          </w:p>
        </w:tc>
        <w:tc>
          <w:tcPr>
            <w:tcW w:w="797" w:type="dxa"/>
            <w:vAlign w:val="center"/>
          </w:tcPr>
          <w:p>
            <w:pPr>
              <w:pStyle w:val="5"/>
              <w:rPr>
                <w:rFonts w:hint="default"/>
              </w:rPr>
            </w:pPr>
          </w:p>
        </w:tc>
        <w:tc>
          <w:tcPr>
            <w:tcW w:w="1322" w:type="dxa"/>
            <w:vAlign w:val="center"/>
          </w:tcPr>
          <w:p>
            <w:pPr>
              <w:pStyle w:val="5"/>
              <w:rPr>
                <w:rFonts w:hint="default"/>
              </w:rPr>
            </w:pPr>
          </w:p>
        </w:tc>
        <w:tc>
          <w:tcPr>
            <w:tcW w:w="979" w:type="dxa"/>
            <w:vAlign w:val="center"/>
          </w:tcPr>
          <w:p>
            <w:pPr>
              <w:pStyle w:val="5"/>
              <w:rPr>
                <w:rFonts w:hint="default"/>
              </w:rPr>
            </w:pPr>
          </w:p>
        </w:tc>
        <w:tc>
          <w:tcPr>
            <w:tcW w:w="981" w:type="dxa"/>
            <w:vAlign w:val="center"/>
          </w:tcPr>
          <w:p>
            <w:pPr>
              <w:pStyle w:val="5"/>
              <w:rPr>
                <w:rFonts w:hint="default"/>
              </w:rPr>
            </w:pPr>
          </w:p>
        </w:tc>
        <w:tc>
          <w:tcPr>
            <w:tcW w:w="860" w:type="dxa"/>
            <w:vAlign w:val="center"/>
          </w:tcPr>
          <w:p>
            <w:pPr>
              <w:pStyle w:val="5"/>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vAlign w:val="center"/>
          </w:tcPr>
          <w:p>
            <w:pPr>
              <w:pStyle w:val="5"/>
              <w:rPr>
                <w:rFonts w:hint="default"/>
              </w:rPr>
            </w:pPr>
          </w:p>
        </w:tc>
        <w:tc>
          <w:tcPr>
            <w:tcW w:w="1530" w:type="dxa"/>
            <w:vAlign w:val="center"/>
          </w:tcPr>
          <w:p>
            <w:pPr>
              <w:pStyle w:val="5"/>
              <w:rPr>
                <w:rFonts w:hint="default"/>
              </w:rPr>
            </w:pPr>
          </w:p>
        </w:tc>
        <w:tc>
          <w:tcPr>
            <w:tcW w:w="996" w:type="dxa"/>
            <w:vAlign w:val="center"/>
          </w:tcPr>
          <w:p>
            <w:pPr>
              <w:pStyle w:val="5"/>
              <w:rPr>
                <w:rFonts w:hint="default"/>
              </w:rPr>
            </w:pPr>
          </w:p>
        </w:tc>
        <w:tc>
          <w:tcPr>
            <w:tcW w:w="519" w:type="dxa"/>
            <w:vAlign w:val="center"/>
          </w:tcPr>
          <w:p>
            <w:pPr>
              <w:pStyle w:val="5"/>
              <w:rPr>
                <w:rFonts w:hint="default"/>
              </w:rPr>
            </w:pPr>
          </w:p>
        </w:tc>
        <w:tc>
          <w:tcPr>
            <w:tcW w:w="1013" w:type="dxa"/>
            <w:vAlign w:val="center"/>
          </w:tcPr>
          <w:p>
            <w:pPr>
              <w:pStyle w:val="5"/>
              <w:rPr>
                <w:rFonts w:hint="default"/>
              </w:rPr>
            </w:pPr>
          </w:p>
        </w:tc>
        <w:tc>
          <w:tcPr>
            <w:tcW w:w="797" w:type="dxa"/>
            <w:vAlign w:val="center"/>
          </w:tcPr>
          <w:p>
            <w:pPr>
              <w:pStyle w:val="5"/>
              <w:rPr>
                <w:rFonts w:hint="default"/>
              </w:rPr>
            </w:pPr>
          </w:p>
        </w:tc>
        <w:tc>
          <w:tcPr>
            <w:tcW w:w="1322" w:type="dxa"/>
            <w:vAlign w:val="center"/>
          </w:tcPr>
          <w:p>
            <w:pPr>
              <w:pStyle w:val="5"/>
              <w:rPr>
                <w:rFonts w:hint="default"/>
              </w:rPr>
            </w:pPr>
          </w:p>
        </w:tc>
        <w:tc>
          <w:tcPr>
            <w:tcW w:w="979" w:type="dxa"/>
            <w:vAlign w:val="center"/>
          </w:tcPr>
          <w:p>
            <w:pPr>
              <w:pStyle w:val="5"/>
              <w:rPr>
                <w:rFonts w:hint="default"/>
              </w:rPr>
            </w:pPr>
          </w:p>
        </w:tc>
        <w:tc>
          <w:tcPr>
            <w:tcW w:w="981" w:type="dxa"/>
            <w:vAlign w:val="center"/>
          </w:tcPr>
          <w:p>
            <w:pPr>
              <w:pStyle w:val="5"/>
              <w:rPr>
                <w:rFonts w:hint="default"/>
              </w:rPr>
            </w:pPr>
          </w:p>
        </w:tc>
        <w:tc>
          <w:tcPr>
            <w:tcW w:w="860" w:type="dxa"/>
            <w:vAlign w:val="center"/>
          </w:tcPr>
          <w:p>
            <w:pPr>
              <w:pStyle w:val="5"/>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vAlign w:val="center"/>
          </w:tcPr>
          <w:p>
            <w:pPr>
              <w:pStyle w:val="5"/>
              <w:rPr>
                <w:rFonts w:hint="default"/>
              </w:rPr>
            </w:pPr>
          </w:p>
        </w:tc>
        <w:tc>
          <w:tcPr>
            <w:tcW w:w="1530" w:type="dxa"/>
            <w:vAlign w:val="center"/>
          </w:tcPr>
          <w:p>
            <w:pPr>
              <w:pStyle w:val="5"/>
              <w:rPr>
                <w:rFonts w:hint="default"/>
              </w:rPr>
            </w:pPr>
          </w:p>
        </w:tc>
        <w:tc>
          <w:tcPr>
            <w:tcW w:w="996" w:type="dxa"/>
            <w:vAlign w:val="center"/>
          </w:tcPr>
          <w:p>
            <w:pPr>
              <w:pStyle w:val="5"/>
              <w:rPr>
                <w:rFonts w:hint="default"/>
              </w:rPr>
            </w:pPr>
          </w:p>
        </w:tc>
        <w:tc>
          <w:tcPr>
            <w:tcW w:w="519" w:type="dxa"/>
            <w:vAlign w:val="center"/>
          </w:tcPr>
          <w:p>
            <w:pPr>
              <w:pStyle w:val="5"/>
              <w:rPr>
                <w:rFonts w:hint="default"/>
              </w:rPr>
            </w:pPr>
          </w:p>
        </w:tc>
        <w:tc>
          <w:tcPr>
            <w:tcW w:w="1013" w:type="dxa"/>
            <w:vAlign w:val="center"/>
          </w:tcPr>
          <w:p>
            <w:pPr>
              <w:pStyle w:val="5"/>
              <w:rPr>
                <w:rFonts w:hint="default"/>
              </w:rPr>
            </w:pPr>
          </w:p>
        </w:tc>
        <w:tc>
          <w:tcPr>
            <w:tcW w:w="797" w:type="dxa"/>
            <w:vAlign w:val="center"/>
          </w:tcPr>
          <w:p>
            <w:pPr>
              <w:pStyle w:val="5"/>
              <w:rPr>
                <w:rFonts w:hint="default"/>
              </w:rPr>
            </w:pPr>
          </w:p>
        </w:tc>
        <w:tc>
          <w:tcPr>
            <w:tcW w:w="1322" w:type="dxa"/>
            <w:vAlign w:val="center"/>
          </w:tcPr>
          <w:p>
            <w:pPr>
              <w:pStyle w:val="5"/>
              <w:rPr>
                <w:rFonts w:hint="default"/>
              </w:rPr>
            </w:pPr>
          </w:p>
        </w:tc>
        <w:tc>
          <w:tcPr>
            <w:tcW w:w="979" w:type="dxa"/>
            <w:vAlign w:val="center"/>
          </w:tcPr>
          <w:p>
            <w:pPr>
              <w:pStyle w:val="5"/>
              <w:rPr>
                <w:rFonts w:hint="default"/>
              </w:rPr>
            </w:pPr>
          </w:p>
        </w:tc>
        <w:tc>
          <w:tcPr>
            <w:tcW w:w="981" w:type="dxa"/>
            <w:vAlign w:val="center"/>
          </w:tcPr>
          <w:p>
            <w:pPr>
              <w:pStyle w:val="5"/>
              <w:rPr>
                <w:rFonts w:hint="default"/>
              </w:rPr>
            </w:pPr>
          </w:p>
        </w:tc>
        <w:tc>
          <w:tcPr>
            <w:tcW w:w="860" w:type="dxa"/>
            <w:vAlign w:val="center"/>
          </w:tcPr>
          <w:p>
            <w:pPr>
              <w:pStyle w:val="5"/>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vAlign w:val="center"/>
          </w:tcPr>
          <w:p>
            <w:pPr>
              <w:pStyle w:val="5"/>
              <w:rPr>
                <w:rFonts w:hint="default"/>
              </w:rPr>
            </w:pPr>
          </w:p>
        </w:tc>
        <w:tc>
          <w:tcPr>
            <w:tcW w:w="1530" w:type="dxa"/>
            <w:vAlign w:val="center"/>
          </w:tcPr>
          <w:p>
            <w:pPr>
              <w:pStyle w:val="5"/>
              <w:rPr>
                <w:rFonts w:hint="default"/>
              </w:rPr>
            </w:pPr>
          </w:p>
        </w:tc>
        <w:tc>
          <w:tcPr>
            <w:tcW w:w="996" w:type="dxa"/>
            <w:vAlign w:val="center"/>
          </w:tcPr>
          <w:p>
            <w:pPr>
              <w:pStyle w:val="5"/>
              <w:rPr>
                <w:rFonts w:hint="default"/>
              </w:rPr>
            </w:pPr>
          </w:p>
        </w:tc>
        <w:tc>
          <w:tcPr>
            <w:tcW w:w="519" w:type="dxa"/>
            <w:vAlign w:val="center"/>
          </w:tcPr>
          <w:p>
            <w:pPr>
              <w:pStyle w:val="5"/>
              <w:rPr>
                <w:rFonts w:hint="default"/>
              </w:rPr>
            </w:pPr>
          </w:p>
        </w:tc>
        <w:tc>
          <w:tcPr>
            <w:tcW w:w="1013" w:type="dxa"/>
            <w:vAlign w:val="center"/>
          </w:tcPr>
          <w:p>
            <w:pPr>
              <w:pStyle w:val="5"/>
              <w:rPr>
                <w:rFonts w:hint="default"/>
              </w:rPr>
            </w:pPr>
          </w:p>
        </w:tc>
        <w:tc>
          <w:tcPr>
            <w:tcW w:w="797" w:type="dxa"/>
            <w:vAlign w:val="center"/>
          </w:tcPr>
          <w:p>
            <w:pPr>
              <w:pStyle w:val="5"/>
              <w:rPr>
                <w:rFonts w:hint="default"/>
              </w:rPr>
            </w:pPr>
          </w:p>
        </w:tc>
        <w:tc>
          <w:tcPr>
            <w:tcW w:w="1322" w:type="dxa"/>
            <w:vAlign w:val="center"/>
          </w:tcPr>
          <w:p>
            <w:pPr>
              <w:pStyle w:val="5"/>
              <w:rPr>
                <w:rFonts w:hint="default"/>
              </w:rPr>
            </w:pPr>
          </w:p>
        </w:tc>
        <w:tc>
          <w:tcPr>
            <w:tcW w:w="979" w:type="dxa"/>
            <w:vAlign w:val="center"/>
          </w:tcPr>
          <w:p>
            <w:pPr>
              <w:pStyle w:val="5"/>
              <w:rPr>
                <w:rFonts w:hint="default"/>
              </w:rPr>
            </w:pPr>
          </w:p>
        </w:tc>
        <w:tc>
          <w:tcPr>
            <w:tcW w:w="981" w:type="dxa"/>
            <w:vAlign w:val="center"/>
          </w:tcPr>
          <w:p>
            <w:pPr>
              <w:pStyle w:val="5"/>
              <w:rPr>
                <w:rFonts w:hint="default"/>
              </w:rPr>
            </w:pPr>
          </w:p>
        </w:tc>
        <w:tc>
          <w:tcPr>
            <w:tcW w:w="860" w:type="dxa"/>
            <w:vAlign w:val="center"/>
          </w:tcPr>
          <w:p>
            <w:pPr>
              <w:pStyle w:val="5"/>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vAlign w:val="center"/>
          </w:tcPr>
          <w:p>
            <w:pPr>
              <w:spacing w:line="300" w:lineRule="exact"/>
              <w:ind w:firstLine="480"/>
              <w:jc w:val="center"/>
              <w:rPr>
                <w:rFonts w:hAnsi="宋体"/>
                <w:szCs w:val="21"/>
              </w:rPr>
            </w:pPr>
          </w:p>
        </w:tc>
        <w:tc>
          <w:tcPr>
            <w:tcW w:w="1530" w:type="dxa"/>
            <w:vAlign w:val="center"/>
          </w:tcPr>
          <w:p>
            <w:pPr>
              <w:spacing w:line="300" w:lineRule="exact"/>
              <w:ind w:firstLine="480"/>
              <w:jc w:val="center"/>
              <w:rPr>
                <w:rFonts w:hAnsi="宋体"/>
                <w:szCs w:val="21"/>
              </w:rPr>
            </w:pPr>
          </w:p>
        </w:tc>
        <w:tc>
          <w:tcPr>
            <w:tcW w:w="996" w:type="dxa"/>
            <w:vAlign w:val="center"/>
          </w:tcPr>
          <w:p>
            <w:pPr>
              <w:spacing w:line="300" w:lineRule="exact"/>
              <w:ind w:firstLine="480"/>
              <w:jc w:val="center"/>
              <w:rPr>
                <w:szCs w:val="21"/>
              </w:rPr>
            </w:pPr>
          </w:p>
        </w:tc>
        <w:tc>
          <w:tcPr>
            <w:tcW w:w="519" w:type="dxa"/>
            <w:vAlign w:val="center"/>
          </w:tcPr>
          <w:p>
            <w:pPr>
              <w:spacing w:line="300" w:lineRule="exact"/>
              <w:ind w:firstLine="480"/>
              <w:jc w:val="center"/>
              <w:rPr>
                <w:rFonts w:hAnsi="宋体"/>
                <w:szCs w:val="21"/>
              </w:rPr>
            </w:pPr>
          </w:p>
        </w:tc>
        <w:tc>
          <w:tcPr>
            <w:tcW w:w="1013" w:type="dxa"/>
            <w:vAlign w:val="center"/>
          </w:tcPr>
          <w:p>
            <w:pPr>
              <w:spacing w:line="300" w:lineRule="exact"/>
              <w:ind w:firstLine="480"/>
              <w:jc w:val="center"/>
              <w:rPr>
                <w:rFonts w:hAnsi="宋体"/>
                <w:szCs w:val="21"/>
              </w:rPr>
            </w:pPr>
          </w:p>
        </w:tc>
        <w:tc>
          <w:tcPr>
            <w:tcW w:w="797" w:type="dxa"/>
            <w:vAlign w:val="center"/>
          </w:tcPr>
          <w:p>
            <w:pPr>
              <w:spacing w:line="300" w:lineRule="exact"/>
              <w:ind w:firstLine="480"/>
              <w:jc w:val="center"/>
              <w:rPr>
                <w:rFonts w:hAnsi="宋体"/>
                <w:szCs w:val="21"/>
              </w:rPr>
            </w:pPr>
          </w:p>
        </w:tc>
        <w:tc>
          <w:tcPr>
            <w:tcW w:w="1322" w:type="dxa"/>
            <w:vAlign w:val="center"/>
          </w:tcPr>
          <w:p>
            <w:pPr>
              <w:spacing w:line="300" w:lineRule="exact"/>
              <w:ind w:firstLine="480"/>
              <w:jc w:val="center"/>
              <w:rPr>
                <w:rFonts w:hAnsi="宋体"/>
                <w:szCs w:val="21"/>
              </w:rPr>
            </w:pPr>
          </w:p>
        </w:tc>
        <w:tc>
          <w:tcPr>
            <w:tcW w:w="979" w:type="dxa"/>
            <w:vAlign w:val="center"/>
          </w:tcPr>
          <w:p>
            <w:pPr>
              <w:spacing w:line="300" w:lineRule="exact"/>
              <w:ind w:firstLine="480"/>
              <w:jc w:val="center"/>
              <w:rPr>
                <w:rFonts w:hAnsi="宋体"/>
                <w:szCs w:val="21"/>
              </w:rPr>
            </w:pPr>
          </w:p>
        </w:tc>
        <w:tc>
          <w:tcPr>
            <w:tcW w:w="981" w:type="dxa"/>
            <w:vAlign w:val="center"/>
          </w:tcPr>
          <w:p>
            <w:pPr>
              <w:spacing w:line="300" w:lineRule="exact"/>
              <w:ind w:firstLine="480"/>
              <w:jc w:val="center"/>
              <w:rPr>
                <w:rFonts w:hAnsi="宋体"/>
                <w:szCs w:val="21"/>
              </w:rPr>
            </w:pPr>
          </w:p>
        </w:tc>
        <w:tc>
          <w:tcPr>
            <w:tcW w:w="860" w:type="dxa"/>
            <w:vAlign w:val="center"/>
          </w:tcPr>
          <w:p>
            <w:pPr>
              <w:spacing w:line="300" w:lineRule="exact"/>
              <w:ind w:firstLine="480"/>
              <w:jc w:val="center"/>
              <w:rPr>
                <w:rFonts w:hAnsi="宋体"/>
                <w:szCs w:val="21"/>
              </w:rPr>
            </w:pPr>
          </w:p>
        </w:tc>
      </w:tr>
    </w:tbl>
    <w:p>
      <w:pPr>
        <w:ind w:firstLine="480"/>
      </w:pPr>
    </w:p>
    <w:p>
      <w:pPr>
        <w:ind w:firstLine="480"/>
        <w:rPr>
          <w:szCs w:val="32"/>
        </w:rPr>
      </w:pPr>
      <w:r>
        <w:rPr>
          <w:rFonts w:hint="eastAsia"/>
        </w:rPr>
        <w:br w:type="page"/>
      </w:r>
      <w:r>
        <w:rPr>
          <w:rFonts w:hint="eastAsia"/>
          <w:szCs w:val="32"/>
        </w:rPr>
        <w:t xml:space="preserve">附表二：劳动力计划表                                          </w:t>
      </w:r>
    </w:p>
    <w:p>
      <w:pPr>
        <w:ind w:firstLine="440"/>
        <w:jc w:val="right"/>
        <w:rPr>
          <w:rFonts w:ascii="宋体" w:hAnsi="宋体" w:cs="宋体"/>
          <w:sz w:val="20"/>
          <w:szCs w:val="20"/>
        </w:rPr>
      </w:pPr>
      <w:r>
        <w:rPr>
          <w:rFonts w:hint="eastAsia"/>
          <w:sz w:val="22"/>
          <w:szCs w:val="28"/>
        </w:rPr>
        <w:t>单位：人</w:t>
      </w:r>
      <w:r>
        <w:rPr>
          <w:rFonts w:hint="eastAsia" w:ascii="宋体" w:hAnsi="宋体" w:cs="宋体"/>
          <w:sz w:val="20"/>
          <w:szCs w:val="20"/>
        </w:rPr>
        <w:t xml:space="preserve">   </w:t>
      </w:r>
    </w:p>
    <w:tbl>
      <w:tblPr>
        <w:tblStyle w:val="88"/>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8"/>
        <w:gridCol w:w="1534"/>
        <w:gridCol w:w="1418"/>
        <w:gridCol w:w="1417"/>
        <w:gridCol w:w="1276"/>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428" w:type="dxa"/>
            <w:vMerge w:val="restart"/>
            <w:vAlign w:val="center"/>
          </w:tcPr>
          <w:p>
            <w:pPr>
              <w:pStyle w:val="5"/>
              <w:rPr>
                <w:rFonts w:hint="default"/>
              </w:rPr>
            </w:pPr>
            <w:r>
              <w:t>工种</w:t>
            </w:r>
          </w:p>
        </w:tc>
        <w:tc>
          <w:tcPr>
            <w:tcW w:w="6912" w:type="dxa"/>
            <w:gridSpan w:val="5"/>
            <w:vAlign w:val="center"/>
          </w:tcPr>
          <w:p>
            <w:pPr>
              <w:pStyle w:val="5"/>
              <w:rPr>
                <w:rFonts w:hint="default"/>
              </w:rPr>
            </w:pPr>
            <w: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2428" w:type="dxa"/>
            <w:vMerge w:val="continue"/>
            <w:vAlign w:val="center"/>
          </w:tcPr>
          <w:p>
            <w:pPr>
              <w:pStyle w:val="5"/>
              <w:rPr>
                <w:rFonts w:hint="default"/>
              </w:rPr>
            </w:pPr>
          </w:p>
        </w:tc>
        <w:tc>
          <w:tcPr>
            <w:tcW w:w="1534" w:type="dxa"/>
            <w:vAlign w:val="center"/>
          </w:tcPr>
          <w:p>
            <w:pPr>
              <w:pStyle w:val="5"/>
              <w:rPr>
                <w:rFonts w:hint="default"/>
              </w:rPr>
            </w:pPr>
            <w:r>
              <w:t>施工</w:t>
            </w:r>
          </w:p>
          <w:p>
            <w:pPr>
              <w:pStyle w:val="5"/>
              <w:rPr>
                <w:rFonts w:hint="default"/>
              </w:rPr>
            </w:pPr>
            <w:r>
              <w:t>准备</w:t>
            </w:r>
          </w:p>
        </w:tc>
        <w:tc>
          <w:tcPr>
            <w:tcW w:w="1418" w:type="dxa"/>
            <w:vAlign w:val="center"/>
          </w:tcPr>
          <w:p>
            <w:pPr>
              <w:pStyle w:val="5"/>
              <w:rPr>
                <w:rFonts w:hint="default"/>
              </w:rPr>
            </w:pPr>
            <w:r>
              <w:t>拆除</w:t>
            </w:r>
          </w:p>
          <w:p>
            <w:pPr>
              <w:pStyle w:val="5"/>
              <w:rPr>
                <w:rFonts w:hint="default"/>
              </w:rPr>
            </w:pPr>
            <w:r>
              <w:t>工程</w:t>
            </w:r>
          </w:p>
        </w:tc>
        <w:tc>
          <w:tcPr>
            <w:tcW w:w="1417" w:type="dxa"/>
            <w:vAlign w:val="center"/>
          </w:tcPr>
          <w:p>
            <w:pPr>
              <w:pStyle w:val="5"/>
              <w:rPr>
                <w:rFonts w:hint="default"/>
              </w:rPr>
            </w:pPr>
            <w:r>
              <w:t>清运</w:t>
            </w:r>
          </w:p>
          <w:p>
            <w:pPr>
              <w:pStyle w:val="5"/>
              <w:rPr>
                <w:rFonts w:hint="default"/>
              </w:rPr>
            </w:pPr>
            <w:r>
              <w:t>工程</w:t>
            </w:r>
          </w:p>
        </w:tc>
        <w:tc>
          <w:tcPr>
            <w:tcW w:w="1276" w:type="dxa"/>
            <w:vAlign w:val="center"/>
          </w:tcPr>
          <w:p>
            <w:pPr>
              <w:pStyle w:val="5"/>
              <w:rPr>
                <w:rFonts w:hint="default"/>
              </w:rPr>
            </w:pPr>
            <w:r>
              <w:t>维护</w:t>
            </w:r>
          </w:p>
          <w:p>
            <w:pPr>
              <w:pStyle w:val="5"/>
              <w:rPr>
                <w:rFonts w:hint="default"/>
              </w:rPr>
            </w:pPr>
            <w:r>
              <w:t>工程</w:t>
            </w:r>
          </w:p>
        </w:tc>
        <w:tc>
          <w:tcPr>
            <w:tcW w:w="1267" w:type="dxa"/>
            <w:vAlign w:val="center"/>
          </w:tcPr>
          <w:p>
            <w:pPr>
              <w:pStyle w:val="5"/>
              <w:rPr>
                <w:rFonts w:hint="default"/>
              </w:rPr>
            </w:pPr>
            <w:r>
              <w:t>竣工</w:t>
            </w:r>
          </w:p>
          <w:p>
            <w:pPr>
              <w:pStyle w:val="5"/>
              <w:rPr>
                <w:rFonts w:hint="default"/>
              </w:rPr>
            </w:pPr>
            <w:r>
              <w:t>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428" w:type="dxa"/>
            <w:vAlign w:val="center"/>
          </w:tcPr>
          <w:p>
            <w:pPr>
              <w:pStyle w:val="5"/>
              <w:rPr>
                <w:rFonts w:hint="default"/>
              </w:rPr>
            </w:pPr>
            <w:r>
              <w:t>钢筋工</w:t>
            </w:r>
          </w:p>
        </w:tc>
        <w:tc>
          <w:tcPr>
            <w:tcW w:w="1534" w:type="dxa"/>
            <w:vAlign w:val="center"/>
          </w:tcPr>
          <w:p>
            <w:pPr>
              <w:pStyle w:val="5"/>
              <w:rPr>
                <w:rFonts w:hint="default"/>
              </w:rPr>
            </w:pPr>
            <w:r>
              <w:t>-</w:t>
            </w:r>
          </w:p>
        </w:tc>
        <w:tc>
          <w:tcPr>
            <w:tcW w:w="1418" w:type="dxa"/>
            <w:vAlign w:val="center"/>
          </w:tcPr>
          <w:p>
            <w:pPr>
              <w:pStyle w:val="5"/>
              <w:rPr>
                <w:rFonts w:hint="default"/>
              </w:rPr>
            </w:pPr>
            <w:r>
              <w:t>4</w:t>
            </w:r>
          </w:p>
        </w:tc>
        <w:tc>
          <w:tcPr>
            <w:tcW w:w="1417" w:type="dxa"/>
            <w:vAlign w:val="center"/>
          </w:tcPr>
          <w:p>
            <w:pPr>
              <w:pStyle w:val="5"/>
              <w:rPr>
                <w:rFonts w:hint="default"/>
              </w:rPr>
            </w:pPr>
            <w:r>
              <w:t>2</w:t>
            </w:r>
          </w:p>
        </w:tc>
        <w:tc>
          <w:tcPr>
            <w:tcW w:w="1276" w:type="dxa"/>
            <w:vAlign w:val="center"/>
          </w:tcPr>
          <w:p>
            <w:pPr>
              <w:pStyle w:val="5"/>
              <w:rPr>
                <w:rFonts w:hint="default"/>
              </w:rPr>
            </w:pPr>
            <w:r>
              <w:t>-</w:t>
            </w:r>
          </w:p>
        </w:tc>
        <w:tc>
          <w:tcPr>
            <w:tcW w:w="1267" w:type="dxa"/>
            <w:vAlign w:val="center"/>
          </w:tcPr>
          <w:p>
            <w:pPr>
              <w:pStyle w:val="5"/>
              <w:rPr>
                <w:rFonts w:hint="default"/>
              </w:rP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428" w:type="dxa"/>
            <w:vAlign w:val="center"/>
          </w:tcPr>
          <w:p>
            <w:pPr>
              <w:pStyle w:val="5"/>
              <w:rPr>
                <w:rFonts w:hint="default"/>
              </w:rPr>
            </w:pPr>
            <w:r>
              <w:t>机械司机</w:t>
            </w:r>
          </w:p>
        </w:tc>
        <w:tc>
          <w:tcPr>
            <w:tcW w:w="1534" w:type="dxa"/>
            <w:vAlign w:val="center"/>
          </w:tcPr>
          <w:p>
            <w:pPr>
              <w:pStyle w:val="5"/>
              <w:rPr>
                <w:rFonts w:hint="default"/>
              </w:rPr>
            </w:pPr>
            <w:r>
              <w:t>2</w:t>
            </w:r>
          </w:p>
        </w:tc>
        <w:tc>
          <w:tcPr>
            <w:tcW w:w="1418" w:type="dxa"/>
            <w:vAlign w:val="center"/>
          </w:tcPr>
          <w:p>
            <w:pPr>
              <w:pStyle w:val="5"/>
              <w:rPr>
                <w:rFonts w:hint="default"/>
              </w:rPr>
            </w:pPr>
            <w:r>
              <w:t>20</w:t>
            </w:r>
          </w:p>
        </w:tc>
        <w:tc>
          <w:tcPr>
            <w:tcW w:w="1417" w:type="dxa"/>
            <w:vAlign w:val="center"/>
          </w:tcPr>
          <w:p>
            <w:pPr>
              <w:pStyle w:val="5"/>
              <w:rPr>
                <w:rFonts w:hint="default"/>
              </w:rPr>
            </w:pPr>
            <w:r>
              <w:t>25</w:t>
            </w:r>
          </w:p>
        </w:tc>
        <w:tc>
          <w:tcPr>
            <w:tcW w:w="1276" w:type="dxa"/>
            <w:vAlign w:val="center"/>
          </w:tcPr>
          <w:p>
            <w:pPr>
              <w:pStyle w:val="5"/>
              <w:rPr>
                <w:rFonts w:hint="default"/>
              </w:rPr>
            </w:pPr>
            <w:r>
              <w:t>10</w:t>
            </w:r>
          </w:p>
        </w:tc>
        <w:tc>
          <w:tcPr>
            <w:tcW w:w="1267" w:type="dxa"/>
            <w:vAlign w:val="center"/>
          </w:tcPr>
          <w:p>
            <w:pPr>
              <w:pStyle w:val="5"/>
              <w:rPr>
                <w:rFonts w:hint="default"/>
              </w:rPr>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428" w:type="dxa"/>
            <w:vAlign w:val="center"/>
          </w:tcPr>
          <w:p>
            <w:pPr>
              <w:pStyle w:val="5"/>
              <w:rPr>
                <w:rFonts w:hint="default"/>
              </w:rPr>
            </w:pPr>
            <w:r>
              <w:t>电焊工</w:t>
            </w:r>
          </w:p>
        </w:tc>
        <w:tc>
          <w:tcPr>
            <w:tcW w:w="1534" w:type="dxa"/>
            <w:vAlign w:val="center"/>
          </w:tcPr>
          <w:p>
            <w:pPr>
              <w:pStyle w:val="5"/>
              <w:rPr>
                <w:rFonts w:hint="default"/>
              </w:rPr>
            </w:pPr>
            <w:r>
              <w:t>-</w:t>
            </w:r>
          </w:p>
        </w:tc>
        <w:tc>
          <w:tcPr>
            <w:tcW w:w="1418" w:type="dxa"/>
            <w:vAlign w:val="center"/>
          </w:tcPr>
          <w:p>
            <w:pPr>
              <w:pStyle w:val="5"/>
              <w:rPr>
                <w:rFonts w:hint="default"/>
              </w:rPr>
            </w:pPr>
            <w:r>
              <w:t>2</w:t>
            </w:r>
          </w:p>
        </w:tc>
        <w:tc>
          <w:tcPr>
            <w:tcW w:w="1417" w:type="dxa"/>
            <w:vAlign w:val="center"/>
          </w:tcPr>
          <w:p>
            <w:pPr>
              <w:pStyle w:val="5"/>
              <w:rPr>
                <w:rFonts w:hint="default"/>
              </w:rPr>
            </w:pPr>
            <w:r>
              <w:t>7</w:t>
            </w:r>
          </w:p>
        </w:tc>
        <w:tc>
          <w:tcPr>
            <w:tcW w:w="1276" w:type="dxa"/>
            <w:vAlign w:val="center"/>
          </w:tcPr>
          <w:p>
            <w:pPr>
              <w:pStyle w:val="5"/>
              <w:rPr>
                <w:rFonts w:hint="default"/>
              </w:rPr>
            </w:pPr>
            <w:r>
              <w:t>1</w:t>
            </w:r>
          </w:p>
        </w:tc>
        <w:tc>
          <w:tcPr>
            <w:tcW w:w="1267" w:type="dxa"/>
            <w:vAlign w:val="center"/>
          </w:tcPr>
          <w:p>
            <w:pPr>
              <w:pStyle w:val="5"/>
              <w:rPr>
                <w:rFonts w:hint="default"/>
              </w:rP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428" w:type="dxa"/>
            <w:vAlign w:val="center"/>
          </w:tcPr>
          <w:p>
            <w:pPr>
              <w:pStyle w:val="5"/>
              <w:rPr>
                <w:rFonts w:hint="default"/>
              </w:rPr>
            </w:pPr>
            <w:r>
              <w:t>管道工</w:t>
            </w:r>
          </w:p>
        </w:tc>
        <w:tc>
          <w:tcPr>
            <w:tcW w:w="1534" w:type="dxa"/>
            <w:vAlign w:val="center"/>
          </w:tcPr>
          <w:p>
            <w:pPr>
              <w:pStyle w:val="5"/>
              <w:rPr>
                <w:rFonts w:hint="default"/>
              </w:rPr>
            </w:pPr>
            <w:r>
              <w:t>-</w:t>
            </w:r>
          </w:p>
        </w:tc>
        <w:tc>
          <w:tcPr>
            <w:tcW w:w="1418" w:type="dxa"/>
            <w:vAlign w:val="center"/>
          </w:tcPr>
          <w:p>
            <w:pPr>
              <w:pStyle w:val="5"/>
              <w:rPr>
                <w:rFonts w:hint="default"/>
              </w:rPr>
            </w:pPr>
            <w:r>
              <w:t>2</w:t>
            </w:r>
          </w:p>
        </w:tc>
        <w:tc>
          <w:tcPr>
            <w:tcW w:w="1417" w:type="dxa"/>
            <w:vAlign w:val="center"/>
          </w:tcPr>
          <w:p>
            <w:pPr>
              <w:pStyle w:val="5"/>
              <w:rPr>
                <w:rFonts w:hint="default"/>
              </w:rPr>
            </w:pPr>
            <w:r>
              <w:t>2</w:t>
            </w:r>
          </w:p>
        </w:tc>
        <w:tc>
          <w:tcPr>
            <w:tcW w:w="1276" w:type="dxa"/>
            <w:vAlign w:val="center"/>
          </w:tcPr>
          <w:p>
            <w:pPr>
              <w:pStyle w:val="5"/>
              <w:rPr>
                <w:rFonts w:hint="default"/>
              </w:rPr>
            </w:pPr>
            <w:r>
              <w:t>1</w:t>
            </w:r>
          </w:p>
        </w:tc>
        <w:tc>
          <w:tcPr>
            <w:tcW w:w="1267" w:type="dxa"/>
            <w:vAlign w:val="center"/>
          </w:tcPr>
          <w:p>
            <w:pPr>
              <w:pStyle w:val="5"/>
              <w:rPr>
                <w:rFonts w:hint="default"/>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428" w:type="dxa"/>
            <w:vAlign w:val="center"/>
          </w:tcPr>
          <w:p>
            <w:pPr>
              <w:pStyle w:val="5"/>
              <w:rPr>
                <w:rFonts w:hint="default"/>
              </w:rPr>
            </w:pPr>
            <w:r>
              <w:t>电工</w:t>
            </w:r>
          </w:p>
        </w:tc>
        <w:tc>
          <w:tcPr>
            <w:tcW w:w="1534" w:type="dxa"/>
            <w:vAlign w:val="center"/>
          </w:tcPr>
          <w:p>
            <w:pPr>
              <w:pStyle w:val="5"/>
              <w:rPr>
                <w:rFonts w:hint="default"/>
              </w:rPr>
            </w:pPr>
            <w:r>
              <w:t>2</w:t>
            </w:r>
          </w:p>
        </w:tc>
        <w:tc>
          <w:tcPr>
            <w:tcW w:w="1418" w:type="dxa"/>
            <w:vAlign w:val="center"/>
          </w:tcPr>
          <w:p>
            <w:pPr>
              <w:pStyle w:val="5"/>
              <w:rPr>
                <w:rFonts w:hint="default"/>
              </w:rPr>
            </w:pPr>
            <w:r>
              <w:t>6</w:t>
            </w:r>
          </w:p>
        </w:tc>
        <w:tc>
          <w:tcPr>
            <w:tcW w:w="1417" w:type="dxa"/>
            <w:vAlign w:val="center"/>
          </w:tcPr>
          <w:p>
            <w:pPr>
              <w:pStyle w:val="5"/>
              <w:rPr>
                <w:rFonts w:hint="default"/>
              </w:rPr>
            </w:pPr>
            <w:r>
              <w:t>3</w:t>
            </w:r>
          </w:p>
        </w:tc>
        <w:tc>
          <w:tcPr>
            <w:tcW w:w="1276" w:type="dxa"/>
            <w:vAlign w:val="center"/>
          </w:tcPr>
          <w:p>
            <w:pPr>
              <w:pStyle w:val="5"/>
              <w:rPr>
                <w:rFonts w:hint="default"/>
              </w:rPr>
            </w:pPr>
            <w:r>
              <w:t>3</w:t>
            </w:r>
          </w:p>
        </w:tc>
        <w:tc>
          <w:tcPr>
            <w:tcW w:w="1267" w:type="dxa"/>
            <w:vAlign w:val="center"/>
          </w:tcPr>
          <w:p>
            <w:pPr>
              <w:pStyle w:val="5"/>
              <w:rPr>
                <w:rFonts w:hint="default"/>
              </w:rP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428" w:type="dxa"/>
            <w:vAlign w:val="center"/>
          </w:tcPr>
          <w:p>
            <w:pPr>
              <w:pStyle w:val="5"/>
              <w:rPr>
                <w:rFonts w:hint="default"/>
              </w:rPr>
            </w:pPr>
            <w:r>
              <w:t>测量工</w:t>
            </w:r>
          </w:p>
        </w:tc>
        <w:tc>
          <w:tcPr>
            <w:tcW w:w="1534" w:type="dxa"/>
            <w:vAlign w:val="center"/>
          </w:tcPr>
          <w:p>
            <w:pPr>
              <w:pStyle w:val="5"/>
              <w:rPr>
                <w:rFonts w:hint="default"/>
              </w:rPr>
            </w:pPr>
            <w:r>
              <w:t>3</w:t>
            </w:r>
          </w:p>
        </w:tc>
        <w:tc>
          <w:tcPr>
            <w:tcW w:w="1418" w:type="dxa"/>
            <w:vAlign w:val="center"/>
          </w:tcPr>
          <w:p>
            <w:pPr>
              <w:pStyle w:val="5"/>
              <w:rPr>
                <w:rFonts w:hint="default"/>
              </w:rPr>
            </w:pPr>
            <w:r>
              <w:t>3</w:t>
            </w:r>
          </w:p>
        </w:tc>
        <w:tc>
          <w:tcPr>
            <w:tcW w:w="1417" w:type="dxa"/>
            <w:vAlign w:val="center"/>
          </w:tcPr>
          <w:p>
            <w:pPr>
              <w:pStyle w:val="5"/>
              <w:rPr>
                <w:rFonts w:hint="default"/>
              </w:rPr>
            </w:pPr>
            <w:r>
              <w:t>3</w:t>
            </w:r>
          </w:p>
        </w:tc>
        <w:tc>
          <w:tcPr>
            <w:tcW w:w="1276" w:type="dxa"/>
            <w:vAlign w:val="center"/>
          </w:tcPr>
          <w:p>
            <w:pPr>
              <w:pStyle w:val="5"/>
              <w:rPr>
                <w:rFonts w:hint="default"/>
              </w:rPr>
            </w:pPr>
            <w:r>
              <w:t>3</w:t>
            </w:r>
          </w:p>
        </w:tc>
        <w:tc>
          <w:tcPr>
            <w:tcW w:w="1267" w:type="dxa"/>
            <w:vAlign w:val="center"/>
          </w:tcPr>
          <w:p>
            <w:pPr>
              <w:pStyle w:val="5"/>
              <w:rPr>
                <w:rFonts w:hint="default"/>
              </w:rP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428" w:type="dxa"/>
            <w:vAlign w:val="center"/>
          </w:tcPr>
          <w:p>
            <w:pPr>
              <w:pStyle w:val="5"/>
              <w:rPr>
                <w:rFonts w:hint="default"/>
              </w:rPr>
            </w:pPr>
            <w:r>
              <w:t>机械维修工</w:t>
            </w:r>
          </w:p>
        </w:tc>
        <w:tc>
          <w:tcPr>
            <w:tcW w:w="1534" w:type="dxa"/>
            <w:vAlign w:val="center"/>
          </w:tcPr>
          <w:p>
            <w:pPr>
              <w:pStyle w:val="5"/>
              <w:rPr>
                <w:rFonts w:hint="default"/>
              </w:rPr>
            </w:pPr>
            <w:r>
              <w:t>-</w:t>
            </w:r>
          </w:p>
        </w:tc>
        <w:tc>
          <w:tcPr>
            <w:tcW w:w="1418" w:type="dxa"/>
            <w:vAlign w:val="center"/>
          </w:tcPr>
          <w:p>
            <w:pPr>
              <w:pStyle w:val="5"/>
              <w:rPr>
                <w:rFonts w:hint="default"/>
              </w:rPr>
            </w:pPr>
            <w:r>
              <w:t>4</w:t>
            </w:r>
          </w:p>
        </w:tc>
        <w:tc>
          <w:tcPr>
            <w:tcW w:w="1417" w:type="dxa"/>
            <w:vAlign w:val="center"/>
          </w:tcPr>
          <w:p>
            <w:pPr>
              <w:pStyle w:val="5"/>
              <w:rPr>
                <w:rFonts w:hint="default"/>
              </w:rPr>
            </w:pPr>
            <w:r>
              <w:t>4</w:t>
            </w:r>
          </w:p>
        </w:tc>
        <w:tc>
          <w:tcPr>
            <w:tcW w:w="1276" w:type="dxa"/>
            <w:vAlign w:val="center"/>
          </w:tcPr>
          <w:p>
            <w:pPr>
              <w:pStyle w:val="5"/>
              <w:rPr>
                <w:rFonts w:hint="default"/>
              </w:rPr>
            </w:pPr>
            <w:r>
              <w:t>2</w:t>
            </w:r>
          </w:p>
        </w:tc>
        <w:tc>
          <w:tcPr>
            <w:tcW w:w="1267" w:type="dxa"/>
            <w:vAlign w:val="center"/>
          </w:tcPr>
          <w:p>
            <w:pPr>
              <w:pStyle w:val="5"/>
              <w:rPr>
                <w:rFonts w:hint="default"/>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428" w:type="dxa"/>
            <w:vAlign w:val="center"/>
          </w:tcPr>
          <w:p>
            <w:pPr>
              <w:pStyle w:val="5"/>
              <w:rPr>
                <w:rFonts w:hint="default"/>
              </w:rPr>
            </w:pPr>
            <w:r>
              <w:t>起重工</w:t>
            </w:r>
          </w:p>
        </w:tc>
        <w:tc>
          <w:tcPr>
            <w:tcW w:w="1534" w:type="dxa"/>
            <w:vAlign w:val="center"/>
          </w:tcPr>
          <w:p>
            <w:pPr>
              <w:pStyle w:val="5"/>
              <w:rPr>
                <w:rFonts w:hint="default"/>
              </w:rPr>
            </w:pPr>
            <w:r>
              <w:t>-</w:t>
            </w:r>
          </w:p>
        </w:tc>
        <w:tc>
          <w:tcPr>
            <w:tcW w:w="1418" w:type="dxa"/>
            <w:vAlign w:val="center"/>
          </w:tcPr>
          <w:p>
            <w:pPr>
              <w:pStyle w:val="5"/>
              <w:rPr>
                <w:rFonts w:hint="default"/>
              </w:rPr>
            </w:pPr>
            <w:r>
              <w:t>2</w:t>
            </w:r>
          </w:p>
        </w:tc>
        <w:tc>
          <w:tcPr>
            <w:tcW w:w="1417" w:type="dxa"/>
            <w:vAlign w:val="center"/>
          </w:tcPr>
          <w:p>
            <w:pPr>
              <w:pStyle w:val="5"/>
              <w:rPr>
                <w:rFonts w:hint="default"/>
              </w:rPr>
            </w:pPr>
            <w:r>
              <w:t>2</w:t>
            </w:r>
          </w:p>
        </w:tc>
        <w:tc>
          <w:tcPr>
            <w:tcW w:w="1276" w:type="dxa"/>
            <w:vAlign w:val="center"/>
          </w:tcPr>
          <w:p>
            <w:pPr>
              <w:pStyle w:val="5"/>
              <w:rPr>
                <w:rFonts w:hint="default"/>
              </w:rPr>
            </w:pPr>
            <w:r>
              <w:t>-</w:t>
            </w:r>
          </w:p>
        </w:tc>
        <w:tc>
          <w:tcPr>
            <w:tcW w:w="1267" w:type="dxa"/>
            <w:vAlign w:val="center"/>
          </w:tcPr>
          <w:p>
            <w:pPr>
              <w:pStyle w:val="5"/>
              <w:rPr>
                <w:rFonts w:hint="default"/>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428" w:type="dxa"/>
            <w:vAlign w:val="center"/>
          </w:tcPr>
          <w:p>
            <w:pPr>
              <w:pStyle w:val="5"/>
              <w:rPr>
                <w:rFonts w:hint="default"/>
              </w:rPr>
            </w:pPr>
            <w:r>
              <w:t>壮工</w:t>
            </w:r>
          </w:p>
        </w:tc>
        <w:tc>
          <w:tcPr>
            <w:tcW w:w="1534" w:type="dxa"/>
            <w:vAlign w:val="center"/>
          </w:tcPr>
          <w:p>
            <w:pPr>
              <w:pStyle w:val="5"/>
              <w:rPr>
                <w:rFonts w:hint="default"/>
              </w:rPr>
            </w:pPr>
            <w:r>
              <w:t>10</w:t>
            </w:r>
          </w:p>
        </w:tc>
        <w:tc>
          <w:tcPr>
            <w:tcW w:w="1418" w:type="dxa"/>
            <w:vAlign w:val="center"/>
          </w:tcPr>
          <w:p>
            <w:pPr>
              <w:pStyle w:val="5"/>
              <w:rPr>
                <w:rFonts w:hint="default"/>
              </w:rPr>
            </w:pPr>
            <w:r>
              <w:t>60</w:t>
            </w:r>
          </w:p>
        </w:tc>
        <w:tc>
          <w:tcPr>
            <w:tcW w:w="1417" w:type="dxa"/>
            <w:vAlign w:val="center"/>
          </w:tcPr>
          <w:p>
            <w:pPr>
              <w:pStyle w:val="5"/>
              <w:rPr>
                <w:rFonts w:hint="default"/>
              </w:rPr>
            </w:pPr>
            <w:r>
              <w:t>30</w:t>
            </w:r>
          </w:p>
        </w:tc>
        <w:tc>
          <w:tcPr>
            <w:tcW w:w="1276" w:type="dxa"/>
            <w:vAlign w:val="center"/>
          </w:tcPr>
          <w:p>
            <w:pPr>
              <w:pStyle w:val="5"/>
              <w:rPr>
                <w:rFonts w:hint="default"/>
              </w:rPr>
            </w:pPr>
            <w:r>
              <w:t>15</w:t>
            </w:r>
          </w:p>
        </w:tc>
        <w:tc>
          <w:tcPr>
            <w:tcW w:w="1267" w:type="dxa"/>
            <w:vAlign w:val="center"/>
          </w:tcPr>
          <w:p>
            <w:pPr>
              <w:pStyle w:val="5"/>
              <w:rPr>
                <w:rFonts w:hint="default"/>
              </w:rPr>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428" w:type="dxa"/>
            <w:vAlign w:val="center"/>
          </w:tcPr>
          <w:p>
            <w:pPr>
              <w:pStyle w:val="5"/>
              <w:rPr>
                <w:rFonts w:hint="default"/>
              </w:rPr>
            </w:pPr>
            <w:r>
              <w:t>安装工</w:t>
            </w:r>
          </w:p>
        </w:tc>
        <w:tc>
          <w:tcPr>
            <w:tcW w:w="1534" w:type="dxa"/>
            <w:vAlign w:val="center"/>
          </w:tcPr>
          <w:p>
            <w:pPr>
              <w:pStyle w:val="5"/>
              <w:rPr>
                <w:rFonts w:hint="default"/>
              </w:rPr>
            </w:pPr>
            <w:r>
              <w:t>-</w:t>
            </w:r>
          </w:p>
        </w:tc>
        <w:tc>
          <w:tcPr>
            <w:tcW w:w="1418" w:type="dxa"/>
            <w:vAlign w:val="center"/>
          </w:tcPr>
          <w:p>
            <w:pPr>
              <w:pStyle w:val="5"/>
              <w:rPr>
                <w:rFonts w:hint="default"/>
              </w:rPr>
            </w:pPr>
            <w:r>
              <w:t>6</w:t>
            </w:r>
          </w:p>
        </w:tc>
        <w:tc>
          <w:tcPr>
            <w:tcW w:w="1417" w:type="dxa"/>
            <w:vAlign w:val="center"/>
          </w:tcPr>
          <w:p>
            <w:pPr>
              <w:pStyle w:val="5"/>
              <w:rPr>
                <w:rFonts w:hint="default"/>
              </w:rPr>
            </w:pPr>
            <w:r>
              <w:t>3</w:t>
            </w:r>
          </w:p>
        </w:tc>
        <w:tc>
          <w:tcPr>
            <w:tcW w:w="1276" w:type="dxa"/>
            <w:vAlign w:val="center"/>
          </w:tcPr>
          <w:p>
            <w:pPr>
              <w:pStyle w:val="5"/>
              <w:rPr>
                <w:rFonts w:hint="default"/>
              </w:rPr>
            </w:pPr>
            <w:r>
              <w:t>2</w:t>
            </w:r>
          </w:p>
        </w:tc>
        <w:tc>
          <w:tcPr>
            <w:tcW w:w="1267" w:type="dxa"/>
            <w:vAlign w:val="center"/>
          </w:tcPr>
          <w:p>
            <w:pPr>
              <w:pStyle w:val="5"/>
              <w:rPr>
                <w:rFonts w:hint="default"/>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428" w:type="dxa"/>
            <w:vAlign w:val="center"/>
          </w:tcPr>
          <w:p>
            <w:pPr>
              <w:pStyle w:val="5"/>
              <w:rPr>
                <w:rFonts w:hint="default"/>
              </w:rPr>
            </w:pPr>
          </w:p>
        </w:tc>
        <w:tc>
          <w:tcPr>
            <w:tcW w:w="1534" w:type="dxa"/>
            <w:vAlign w:val="center"/>
          </w:tcPr>
          <w:p>
            <w:pPr>
              <w:pStyle w:val="5"/>
              <w:rPr>
                <w:rFonts w:hint="default"/>
              </w:rPr>
            </w:pPr>
          </w:p>
        </w:tc>
        <w:tc>
          <w:tcPr>
            <w:tcW w:w="1418" w:type="dxa"/>
            <w:vAlign w:val="center"/>
          </w:tcPr>
          <w:p>
            <w:pPr>
              <w:pStyle w:val="5"/>
              <w:rPr>
                <w:rFonts w:hint="default"/>
              </w:rPr>
            </w:pPr>
          </w:p>
        </w:tc>
        <w:tc>
          <w:tcPr>
            <w:tcW w:w="1417" w:type="dxa"/>
            <w:vAlign w:val="center"/>
          </w:tcPr>
          <w:p>
            <w:pPr>
              <w:pStyle w:val="5"/>
              <w:rPr>
                <w:rFonts w:hint="default"/>
              </w:rPr>
            </w:pPr>
          </w:p>
        </w:tc>
        <w:tc>
          <w:tcPr>
            <w:tcW w:w="1276" w:type="dxa"/>
            <w:vAlign w:val="center"/>
          </w:tcPr>
          <w:p>
            <w:pPr>
              <w:pStyle w:val="5"/>
              <w:rPr>
                <w:rFonts w:hint="default"/>
              </w:rPr>
            </w:pPr>
          </w:p>
        </w:tc>
        <w:tc>
          <w:tcPr>
            <w:tcW w:w="1267" w:type="dxa"/>
            <w:vAlign w:val="center"/>
          </w:tcPr>
          <w:p>
            <w:pPr>
              <w:pStyle w:val="5"/>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428" w:type="dxa"/>
            <w:vAlign w:val="center"/>
          </w:tcPr>
          <w:p>
            <w:pPr>
              <w:pStyle w:val="5"/>
              <w:rPr>
                <w:rFonts w:hint="default"/>
              </w:rPr>
            </w:pPr>
          </w:p>
        </w:tc>
        <w:tc>
          <w:tcPr>
            <w:tcW w:w="1534" w:type="dxa"/>
            <w:vAlign w:val="center"/>
          </w:tcPr>
          <w:p>
            <w:pPr>
              <w:pStyle w:val="5"/>
              <w:rPr>
                <w:rFonts w:hint="default"/>
              </w:rPr>
            </w:pPr>
          </w:p>
        </w:tc>
        <w:tc>
          <w:tcPr>
            <w:tcW w:w="1418" w:type="dxa"/>
            <w:vAlign w:val="center"/>
          </w:tcPr>
          <w:p>
            <w:pPr>
              <w:pStyle w:val="5"/>
              <w:rPr>
                <w:rFonts w:hint="default"/>
              </w:rPr>
            </w:pPr>
          </w:p>
        </w:tc>
        <w:tc>
          <w:tcPr>
            <w:tcW w:w="1417" w:type="dxa"/>
            <w:vAlign w:val="center"/>
          </w:tcPr>
          <w:p>
            <w:pPr>
              <w:pStyle w:val="5"/>
              <w:rPr>
                <w:rFonts w:hint="default"/>
              </w:rPr>
            </w:pPr>
          </w:p>
        </w:tc>
        <w:tc>
          <w:tcPr>
            <w:tcW w:w="1276" w:type="dxa"/>
            <w:vAlign w:val="center"/>
          </w:tcPr>
          <w:p>
            <w:pPr>
              <w:pStyle w:val="5"/>
              <w:rPr>
                <w:rFonts w:hint="default"/>
              </w:rPr>
            </w:pPr>
          </w:p>
        </w:tc>
        <w:tc>
          <w:tcPr>
            <w:tcW w:w="1267" w:type="dxa"/>
            <w:vAlign w:val="center"/>
          </w:tcPr>
          <w:p>
            <w:pPr>
              <w:pStyle w:val="5"/>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428" w:type="dxa"/>
            <w:vAlign w:val="center"/>
          </w:tcPr>
          <w:p>
            <w:pPr>
              <w:spacing w:line="240" w:lineRule="atLeast"/>
              <w:ind w:firstLine="480"/>
              <w:jc w:val="center"/>
              <w:rPr>
                <w:rFonts w:ascii="宋体" w:hAnsi="宋体"/>
                <w:szCs w:val="21"/>
              </w:rPr>
            </w:pPr>
          </w:p>
        </w:tc>
        <w:tc>
          <w:tcPr>
            <w:tcW w:w="1534" w:type="dxa"/>
            <w:vAlign w:val="center"/>
          </w:tcPr>
          <w:p>
            <w:pPr>
              <w:spacing w:line="240" w:lineRule="atLeast"/>
              <w:ind w:firstLine="480"/>
              <w:jc w:val="center"/>
              <w:rPr>
                <w:rFonts w:ascii="宋体" w:hAnsi="宋体"/>
                <w:szCs w:val="21"/>
              </w:rPr>
            </w:pPr>
          </w:p>
        </w:tc>
        <w:tc>
          <w:tcPr>
            <w:tcW w:w="1418" w:type="dxa"/>
            <w:vAlign w:val="center"/>
          </w:tcPr>
          <w:p>
            <w:pPr>
              <w:spacing w:line="240" w:lineRule="atLeast"/>
              <w:ind w:firstLine="480"/>
              <w:jc w:val="center"/>
              <w:rPr>
                <w:rFonts w:ascii="宋体" w:hAnsi="宋体"/>
                <w:szCs w:val="21"/>
              </w:rPr>
            </w:pPr>
          </w:p>
        </w:tc>
        <w:tc>
          <w:tcPr>
            <w:tcW w:w="1417" w:type="dxa"/>
            <w:vAlign w:val="center"/>
          </w:tcPr>
          <w:p>
            <w:pPr>
              <w:spacing w:line="240" w:lineRule="atLeast"/>
              <w:ind w:firstLine="480"/>
              <w:jc w:val="center"/>
              <w:rPr>
                <w:rFonts w:hAnsi="宋体"/>
                <w:szCs w:val="21"/>
              </w:rPr>
            </w:pPr>
          </w:p>
        </w:tc>
        <w:tc>
          <w:tcPr>
            <w:tcW w:w="1276" w:type="dxa"/>
            <w:vAlign w:val="center"/>
          </w:tcPr>
          <w:p>
            <w:pPr>
              <w:spacing w:line="240" w:lineRule="atLeast"/>
              <w:ind w:firstLine="480"/>
              <w:jc w:val="center"/>
              <w:rPr>
                <w:rFonts w:hAnsi="宋体"/>
                <w:szCs w:val="21"/>
              </w:rPr>
            </w:pPr>
          </w:p>
        </w:tc>
        <w:tc>
          <w:tcPr>
            <w:tcW w:w="1267" w:type="dxa"/>
            <w:vAlign w:val="center"/>
          </w:tcPr>
          <w:p>
            <w:pPr>
              <w:spacing w:line="240" w:lineRule="atLeast"/>
              <w:ind w:firstLine="480"/>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428" w:type="dxa"/>
            <w:vAlign w:val="center"/>
          </w:tcPr>
          <w:p>
            <w:pPr>
              <w:spacing w:line="240" w:lineRule="atLeast"/>
              <w:ind w:firstLine="480"/>
              <w:jc w:val="center"/>
              <w:rPr>
                <w:rFonts w:ascii="宋体" w:hAnsi="宋体"/>
                <w:szCs w:val="21"/>
              </w:rPr>
            </w:pPr>
          </w:p>
        </w:tc>
        <w:tc>
          <w:tcPr>
            <w:tcW w:w="1534" w:type="dxa"/>
            <w:vAlign w:val="center"/>
          </w:tcPr>
          <w:p>
            <w:pPr>
              <w:spacing w:line="240" w:lineRule="atLeast"/>
              <w:ind w:firstLine="480"/>
              <w:jc w:val="center"/>
              <w:rPr>
                <w:rFonts w:ascii="宋体" w:hAnsi="宋体"/>
                <w:szCs w:val="21"/>
              </w:rPr>
            </w:pPr>
          </w:p>
        </w:tc>
        <w:tc>
          <w:tcPr>
            <w:tcW w:w="1418" w:type="dxa"/>
            <w:vAlign w:val="center"/>
          </w:tcPr>
          <w:p>
            <w:pPr>
              <w:spacing w:line="240" w:lineRule="atLeast"/>
              <w:ind w:firstLine="480"/>
              <w:jc w:val="center"/>
              <w:rPr>
                <w:rFonts w:ascii="宋体" w:hAnsi="宋体"/>
                <w:szCs w:val="21"/>
              </w:rPr>
            </w:pPr>
          </w:p>
        </w:tc>
        <w:tc>
          <w:tcPr>
            <w:tcW w:w="1417" w:type="dxa"/>
            <w:vAlign w:val="center"/>
          </w:tcPr>
          <w:p>
            <w:pPr>
              <w:spacing w:line="240" w:lineRule="atLeast"/>
              <w:ind w:firstLine="480"/>
              <w:jc w:val="center"/>
              <w:rPr>
                <w:rFonts w:hAnsi="宋体"/>
                <w:szCs w:val="21"/>
              </w:rPr>
            </w:pPr>
          </w:p>
        </w:tc>
        <w:tc>
          <w:tcPr>
            <w:tcW w:w="1276" w:type="dxa"/>
            <w:vAlign w:val="center"/>
          </w:tcPr>
          <w:p>
            <w:pPr>
              <w:spacing w:line="240" w:lineRule="atLeast"/>
              <w:ind w:firstLine="480"/>
              <w:jc w:val="center"/>
              <w:rPr>
                <w:rFonts w:hAnsi="宋体"/>
                <w:szCs w:val="21"/>
              </w:rPr>
            </w:pPr>
          </w:p>
        </w:tc>
        <w:tc>
          <w:tcPr>
            <w:tcW w:w="1267" w:type="dxa"/>
            <w:vAlign w:val="center"/>
          </w:tcPr>
          <w:p>
            <w:pPr>
              <w:spacing w:line="240" w:lineRule="atLeast"/>
              <w:ind w:firstLine="480"/>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428" w:type="dxa"/>
            <w:vAlign w:val="center"/>
          </w:tcPr>
          <w:p>
            <w:pPr>
              <w:spacing w:line="240" w:lineRule="atLeast"/>
              <w:ind w:firstLine="480"/>
              <w:jc w:val="center"/>
              <w:rPr>
                <w:szCs w:val="21"/>
              </w:rPr>
            </w:pPr>
          </w:p>
        </w:tc>
        <w:tc>
          <w:tcPr>
            <w:tcW w:w="1534" w:type="dxa"/>
            <w:vAlign w:val="center"/>
          </w:tcPr>
          <w:p>
            <w:pPr>
              <w:spacing w:line="240" w:lineRule="atLeast"/>
              <w:ind w:firstLine="480"/>
              <w:jc w:val="center"/>
              <w:rPr>
                <w:rFonts w:hAnsi="宋体"/>
                <w:szCs w:val="21"/>
              </w:rPr>
            </w:pPr>
          </w:p>
        </w:tc>
        <w:tc>
          <w:tcPr>
            <w:tcW w:w="1418" w:type="dxa"/>
            <w:vAlign w:val="center"/>
          </w:tcPr>
          <w:p>
            <w:pPr>
              <w:spacing w:line="240" w:lineRule="atLeast"/>
              <w:ind w:firstLine="480"/>
              <w:jc w:val="center"/>
              <w:rPr>
                <w:rFonts w:hAnsi="宋体"/>
                <w:szCs w:val="21"/>
              </w:rPr>
            </w:pPr>
          </w:p>
        </w:tc>
        <w:tc>
          <w:tcPr>
            <w:tcW w:w="1417" w:type="dxa"/>
            <w:vAlign w:val="center"/>
          </w:tcPr>
          <w:p>
            <w:pPr>
              <w:spacing w:line="240" w:lineRule="atLeast"/>
              <w:ind w:firstLine="480"/>
              <w:jc w:val="center"/>
              <w:rPr>
                <w:rFonts w:hAnsi="宋体"/>
                <w:szCs w:val="21"/>
              </w:rPr>
            </w:pPr>
          </w:p>
        </w:tc>
        <w:tc>
          <w:tcPr>
            <w:tcW w:w="1276" w:type="dxa"/>
            <w:vAlign w:val="center"/>
          </w:tcPr>
          <w:p>
            <w:pPr>
              <w:spacing w:line="240" w:lineRule="atLeast"/>
              <w:ind w:firstLine="480"/>
              <w:jc w:val="center"/>
              <w:rPr>
                <w:rFonts w:hAnsi="宋体"/>
                <w:szCs w:val="21"/>
              </w:rPr>
            </w:pPr>
          </w:p>
        </w:tc>
        <w:tc>
          <w:tcPr>
            <w:tcW w:w="1267" w:type="dxa"/>
            <w:vAlign w:val="center"/>
          </w:tcPr>
          <w:p>
            <w:pPr>
              <w:spacing w:line="240" w:lineRule="atLeast"/>
              <w:ind w:firstLine="480"/>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428" w:type="dxa"/>
            <w:vAlign w:val="center"/>
          </w:tcPr>
          <w:p>
            <w:pPr>
              <w:spacing w:line="240" w:lineRule="atLeast"/>
              <w:ind w:firstLine="480"/>
              <w:jc w:val="center"/>
              <w:rPr>
                <w:szCs w:val="21"/>
              </w:rPr>
            </w:pPr>
          </w:p>
        </w:tc>
        <w:tc>
          <w:tcPr>
            <w:tcW w:w="1534" w:type="dxa"/>
            <w:vAlign w:val="center"/>
          </w:tcPr>
          <w:p>
            <w:pPr>
              <w:spacing w:line="240" w:lineRule="atLeast"/>
              <w:ind w:firstLine="480"/>
              <w:jc w:val="center"/>
              <w:rPr>
                <w:rFonts w:hAnsi="宋体"/>
                <w:szCs w:val="21"/>
              </w:rPr>
            </w:pPr>
          </w:p>
        </w:tc>
        <w:tc>
          <w:tcPr>
            <w:tcW w:w="1418" w:type="dxa"/>
            <w:vAlign w:val="center"/>
          </w:tcPr>
          <w:p>
            <w:pPr>
              <w:spacing w:line="240" w:lineRule="atLeast"/>
              <w:ind w:firstLine="480"/>
              <w:jc w:val="center"/>
              <w:rPr>
                <w:rFonts w:hAnsi="宋体"/>
                <w:szCs w:val="21"/>
              </w:rPr>
            </w:pPr>
          </w:p>
        </w:tc>
        <w:tc>
          <w:tcPr>
            <w:tcW w:w="1417" w:type="dxa"/>
            <w:vAlign w:val="center"/>
          </w:tcPr>
          <w:p>
            <w:pPr>
              <w:spacing w:line="240" w:lineRule="atLeast"/>
              <w:ind w:firstLine="480"/>
              <w:jc w:val="center"/>
              <w:rPr>
                <w:rFonts w:hAnsi="宋体"/>
                <w:szCs w:val="21"/>
              </w:rPr>
            </w:pPr>
          </w:p>
        </w:tc>
        <w:tc>
          <w:tcPr>
            <w:tcW w:w="1276" w:type="dxa"/>
            <w:vAlign w:val="center"/>
          </w:tcPr>
          <w:p>
            <w:pPr>
              <w:spacing w:line="240" w:lineRule="atLeast"/>
              <w:ind w:firstLine="480"/>
              <w:jc w:val="center"/>
              <w:rPr>
                <w:rFonts w:hAnsi="宋体"/>
                <w:szCs w:val="21"/>
              </w:rPr>
            </w:pPr>
          </w:p>
        </w:tc>
        <w:tc>
          <w:tcPr>
            <w:tcW w:w="1267" w:type="dxa"/>
            <w:vAlign w:val="center"/>
          </w:tcPr>
          <w:p>
            <w:pPr>
              <w:spacing w:line="240" w:lineRule="atLeast"/>
              <w:ind w:firstLine="480"/>
              <w:jc w:val="center"/>
              <w:rPr>
                <w:rFonts w:hAnsi="宋体"/>
                <w:szCs w:val="21"/>
              </w:rPr>
            </w:pPr>
          </w:p>
        </w:tc>
      </w:tr>
    </w:tbl>
    <w:p>
      <w:pPr>
        <w:ind w:firstLine="480"/>
        <w:rPr>
          <w:rFonts w:ascii="宋体" w:hAnsi="宋体"/>
          <w:szCs w:val="21"/>
        </w:rPr>
        <w:sectPr>
          <w:pgSz w:w="11907" w:h="16840"/>
          <w:pgMar w:top="1440" w:right="1202" w:bottom="2041" w:left="1202" w:header="1202" w:footer="1202" w:gutter="998"/>
          <w:cols w:space="720" w:num="1"/>
          <w:docGrid w:type="lines" w:linePitch="556" w:charSpace="0"/>
        </w:sectPr>
      </w:pPr>
    </w:p>
    <w:p>
      <w:pPr>
        <w:ind w:firstLine="480"/>
        <w:rPr>
          <w:rFonts w:ascii="宋体" w:hAnsi="宋体"/>
          <w:szCs w:val="21"/>
        </w:rPr>
      </w:pPr>
      <w:bookmarkStart w:id="516" w:name="_Toc4500"/>
      <w:r>
        <w:rPr>
          <w:rFonts w:hint="eastAsia" w:ascii="宋体" w:hAnsi="宋体" w:cs="宋体"/>
        </w:rPr>
        <w:t>附表三：进度</w:t>
      </w:r>
      <w:bookmarkEnd w:id="516"/>
      <w:r>
        <w:rPr>
          <w:rFonts w:hint="eastAsia" w:ascii="宋体" w:hAnsi="宋体" w:cs="宋体"/>
        </w:rPr>
        <w:t>计划</w:t>
      </w:r>
    </w:p>
    <w:p>
      <w:pPr>
        <w:ind w:firstLine="480"/>
        <w:rPr>
          <w:rFonts w:ascii="宋体" w:hAnsi="宋体" w:cs="宋体"/>
        </w:rPr>
      </w:pPr>
      <w:r>
        <w:rPr>
          <w:rFonts w:hint="eastAsia" w:ascii="宋体" w:hAnsi="宋体" w:cs="宋体"/>
        </w:rPr>
        <w:t>根据现场实际情况确定的分组（每五栋楼为一组）及每组的具体开工时间进行，每组工期为12日历天</w:t>
      </w:r>
    </w:p>
    <w:p>
      <w:pPr>
        <w:ind w:firstLine="480"/>
        <w:rPr>
          <w:rFonts w:ascii="宋体" w:hAnsi="宋体"/>
          <w:szCs w:val="21"/>
        </w:rPr>
      </w:pPr>
      <w:r>
        <w:drawing>
          <wp:inline distT="0" distB="0" distL="0" distR="0">
            <wp:extent cx="8850630" cy="4202430"/>
            <wp:effectExtent l="0" t="0" r="762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8873831" cy="4213395"/>
                    </a:xfrm>
                    <a:prstGeom prst="rect">
                      <a:avLst/>
                    </a:prstGeom>
                  </pic:spPr>
                </pic:pic>
              </a:graphicData>
            </a:graphic>
          </wp:inline>
        </w:drawing>
      </w:r>
    </w:p>
    <w:p>
      <w:pPr>
        <w:ind w:firstLine="480"/>
        <w:jc w:val="center"/>
      </w:pPr>
    </w:p>
    <w:p>
      <w:pPr>
        <w:ind w:firstLine="480"/>
        <w:jc w:val="center"/>
        <w:rPr>
          <w:rFonts w:ascii="宋体" w:hAnsi="宋体"/>
          <w:szCs w:val="21"/>
        </w:rPr>
      </w:pPr>
    </w:p>
    <w:p>
      <w:pPr>
        <w:ind w:firstLine="480"/>
        <w:rPr>
          <w:rFonts w:ascii="宋体" w:hAnsi="宋体"/>
          <w:szCs w:val="21"/>
        </w:rPr>
        <w:sectPr>
          <w:pgSz w:w="16838" w:h="11905" w:orient="landscape"/>
          <w:pgMar w:top="1134" w:right="1134" w:bottom="1134" w:left="1134" w:header="1202" w:footer="1202" w:gutter="0"/>
          <w:cols w:space="720" w:num="1"/>
          <w:docGrid w:type="lines" w:linePitch="560" w:charSpace="0"/>
        </w:sectPr>
      </w:pPr>
    </w:p>
    <w:p>
      <w:pPr>
        <w:ind w:firstLine="480"/>
        <w:rPr>
          <w:rFonts w:ascii="宋体" w:hAnsi="宋体"/>
        </w:rPr>
      </w:pPr>
      <w:bookmarkStart w:id="517" w:name="_Toc835"/>
      <w:bookmarkStart w:id="518" w:name="_Toc495498323"/>
      <w:bookmarkStart w:id="519" w:name="_Toc524618571"/>
      <w:r>
        <w:rPr>
          <w:rFonts w:hint="eastAsia" w:ascii="宋体" w:hAnsi="宋体"/>
        </w:rPr>
        <w:t>附表四: 施工总平面图</w:t>
      </w:r>
      <w:bookmarkEnd w:id="517"/>
      <w:bookmarkEnd w:id="518"/>
      <w:bookmarkEnd w:id="519"/>
    </w:p>
    <w:p>
      <w:pPr>
        <w:ind w:firstLine="480"/>
        <w:rPr>
          <w:rFonts w:ascii="宋体" w:hAnsi="宋体"/>
          <w:b/>
          <w:bCs/>
        </w:rPr>
      </w:pPr>
      <w:r>
        <w:drawing>
          <wp:inline distT="0" distB="0" distL="114300" distR="114300">
            <wp:extent cx="7736205" cy="4238625"/>
            <wp:effectExtent l="0" t="0" r="0" b="9525"/>
            <wp:docPr id="18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3"/>
                    <pic:cNvPicPr>
                      <a:picLocks noChangeAspect="1"/>
                    </pic:cNvPicPr>
                  </pic:nvPicPr>
                  <pic:blipFill>
                    <a:blip r:embed="rId15"/>
                    <a:stretch>
                      <a:fillRect/>
                    </a:stretch>
                  </pic:blipFill>
                  <pic:spPr>
                    <a:xfrm>
                      <a:off x="0" y="0"/>
                      <a:ext cx="7736205" cy="4238625"/>
                    </a:xfrm>
                    <a:prstGeom prst="rect">
                      <a:avLst/>
                    </a:prstGeom>
                    <a:noFill/>
                    <a:ln>
                      <a:noFill/>
                    </a:ln>
                  </pic:spPr>
                </pic:pic>
              </a:graphicData>
            </a:graphic>
          </wp:inline>
        </w:drawing>
      </w:r>
    </w:p>
    <w:p>
      <w:pPr>
        <w:ind w:firstLine="480"/>
        <w:jc w:val="center"/>
      </w:pPr>
    </w:p>
    <w:p>
      <w:pPr>
        <w:adjustRightInd w:val="0"/>
        <w:snapToGrid w:val="0"/>
        <w:spacing w:line="360" w:lineRule="auto"/>
        <w:ind w:leftChars="-67" w:hanging="187" w:hangingChars="67"/>
        <w:jc w:val="center"/>
        <w:rPr>
          <w:rFonts w:ascii="宋体" w:hAnsi="宋体"/>
        </w:rPr>
        <w:sectPr>
          <w:pgSz w:w="16838" w:h="11905" w:orient="landscape"/>
          <w:pgMar w:top="1134" w:right="1134" w:bottom="1134" w:left="1134" w:header="1202" w:footer="1202" w:gutter="0"/>
          <w:cols w:space="720" w:num="1"/>
          <w:docGrid w:type="lines" w:linePitch="560" w:charSpace="0"/>
        </w:sectPr>
      </w:pPr>
    </w:p>
    <w:p>
      <w:pPr>
        <w:ind w:firstLine="480"/>
        <w:rPr>
          <w:rFonts w:ascii="黑体" w:hAnsi="宋体" w:eastAsia="黑体"/>
        </w:rPr>
      </w:pPr>
      <w:r>
        <w:drawing>
          <wp:inline distT="0" distB="0" distL="0" distR="0">
            <wp:extent cx="8534400" cy="59429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8538448" cy="5945879"/>
                    </a:xfrm>
                    <a:prstGeom prst="rect">
                      <a:avLst/>
                    </a:prstGeom>
                  </pic:spPr>
                </pic:pic>
              </a:graphicData>
            </a:graphic>
          </wp:inline>
        </w:drawing>
      </w:r>
    </w:p>
    <w:sectPr>
      <w:pgSz w:w="16838" w:h="11905" w:orient="landscape"/>
      <w:pgMar w:top="1134" w:right="1134" w:bottom="1134" w:left="1134" w:header="1202" w:footer="1202" w:gutter="0"/>
      <w:cols w:space="720" w:num="1"/>
      <w:docGrid w:type="lines" w:linePitch="5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GungsuhChe">
    <w:altName w:val="Malgun Gothic"/>
    <w:panose1 w:val="02030609000101010101"/>
    <w:charset w:val="81"/>
    <w:family w:val="modern"/>
    <w:pitch w:val="default"/>
    <w:sig w:usb0="00000000" w:usb1="00000000" w:usb2="00000030" w:usb3="00000000" w:csb0="4008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framePr w:wrap="around" w:vAnchor="text" w:hAnchor="margin" w:xAlign="center" w:y="1"/>
      <w:ind w:firstLine="360"/>
      <w:rPr>
        <w:rStyle w:val="136"/>
      </w:rPr>
    </w:pPr>
    <w:r>
      <w:rPr>
        <w:rStyle w:val="136"/>
      </w:rPr>
      <w:fldChar w:fldCharType="begin"/>
    </w:r>
    <w:r>
      <w:rPr>
        <w:rStyle w:val="136"/>
      </w:rPr>
      <w:instrText xml:space="preserve">PAGE  </w:instrText>
    </w:r>
    <w:r>
      <w:rPr>
        <w:rStyle w:val="136"/>
      </w:rPr>
      <w:fldChar w:fldCharType="end"/>
    </w:r>
  </w:p>
  <w:p>
    <w:pPr>
      <w:pStyle w:val="5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65"/>
      <w:lvlText w:val="%1."/>
      <w:lvlJc w:val="left"/>
      <w:pPr>
        <w:tabs>
          <w:tab w:val="left" w:pos="2040"/>
        </w:tabs>
        <w:ind w:left="2040" w:hanging="360"/>
      </w:pPr>
    </w:lvl>
  </w:abstractNum>
  <w:abstractNum w:abstractNumId="1">
    <w:nsid w:val="FFFFFF80"/>
    <w:multiLevelType w:val="singleLevel"/>
    <w:tmpl w:val="FFFFFF80"/>
    <w:lvl w:ilvl="0" w:tentative="0">
      <w:start w:val="1"/>
      <w:numFmt w:val="bullet"/>
      <w:pStyle w:val="37"/>
      <w:lvlText w:val=""/>
      <w:lvlJc w:val="left"/>
      <w:pPr>
        <w:tabs>
          <w:tab w:val="left" w:pos="2040"/>
        </w:tabs>
        <w:ind w:left="2040" w:hanging="360"/>
      </w:pPr>
      <w:rPr>
        <w:rFonts w:hint="default" w:ascii="Wingdings" w:hAnsi="Wingdings"/>
      </w:rPr>
    </w:lvl>
  </w:abstractNum>
  <w:abstractNum w:abstractNumId="2">
    <w:nsid w:val="FFFFFF81"/>
    <w:multiLevelType w:val="singleLevel"/>
    <w:tmpl w:val="FFFFFF81"/>
    <w:lvl w:ilvl="0" w:tentative="0">
      <w:start w:val="1"/>
      <w:numFmt w:val="bullet"/>
      <w:pStyle w:val="18"/>
      <w:lvlText w:val=""/>
      <w:lvlJc w:val="left"/>
      <w:pPr>
        <w:tabs>
          <w:tab w:val="left" w:pos="1620"/>
        </w:tabs>
        <w:ind w:left="1620" w:hanging="360"/>
      </w:pPr>
      <w:rPr>
        <w:rFonts w:hint="default" w:ascii="Wingdings" w:hAnsi="Wingdings"/>
      </w:rPr>
    </w:lvl>
  </w:abstractNum>
  <w:abstractNum w:abstractNumId="3">
    <w:nsid w:val="FFFFFF82"/>
    <w:multiLevelType w:val="singleLevel"/>
    <w:tmpl w:val="FFFFFF82"/>
    <w:lvl w:ilvl="0" w:tentative="0">
      <w:start w:val="1"/>
      <w:numFmt w:val="bullet"/>
      <w:pStyle w:val="33"/>
      <w:lvlText w:val=""/>
      <w:lvlJc w:val="left"/>
      <w:pPr>
        <w:tabs>
          <w:tab w:val="left" w:pos="1200"/>
        </w:tabs>
        <w:ind w:left="1200" w:hanging="360"/>
      </w:pPr>
      <w:rPr>
        <w:rFonts w:hint="default" w:ascii="Wingdings" w:hAnsi="Wingdings"/>
      </w:rPr>
    </w:lvl>
  </w:abstractNum>
  <w:abstractNum w:abstractNumId="4">
    <w:nsid w:val="FFFFFF83"/>
    <w:multiLevelType w:val="singleLevel"/>
    <w:tmpl w:val="FFFFFF83"/>
    <w:lvl w:ilvl="0" w:tentative="0">
      <w:start w:val="1"/>
      <w:numFmt w:val="bullet"/>
      <w:pStyle w:val="40"/>
      <w:lvlText w:val=""/>
      <w:lvlJc w:val="left"/>
      <w:pPr>
        <w:tabs>
          <w:tab w:val="left" w:pos="780"/>
        </w:tabs>
        <w:ind w:left="780" w:hanging="360"/>
      </w:pPr>
      <w:rPr>
        <w:rFonts w:hint="default" w:ascii="Wingdings" w:hAnsi="Wingdings"/>
      </w:rPr>
    </w:lvl>
  </w:abstractNum>
  <w:abstractNum w:abstractNumId="5">
    <w:nsid w:val="FFFFFF89"/>
    <w:multiLevelType w:val="singleLevel"/>
    <w:tmpl w:val="FFFFFF89"/>
    <w:lvl w:ilvl="0" w:tentative="0">
      <w:start w:val="1"/>
      <w:numFmt w:val="bullet"/>
      <w:pStyle w:val="24"/>
      <w:lvlText w:val=""/>
      <w:lvlJc w:val="left"/>
      <w:pPr>
        <w:tabs>
          <w:tab w:val="left" w:pos="360"/>
        </w:tabs>
        <w:ind w:left="360" w:hanging="360"/>
      </w:pPr>
      <w:rPr>
        <w:rFonts w:hint="default" w:ascii="Wingdings" w:hAnsi="Wingdings"/>
      </w:rPr>
    </w:lvl>
  </w:abstractNum>
  <w:abstractNum w:abstractNumId="6">
    <w:nsid w:val="06161D56"/>
    <w:multiLevelType w:val="multilevel"/>
    <w:tmpl w:val="06161D56"/>
    <w:lvl w:ilvl="0" w:tentative="0">
      <w:start w:val="3"/>
      <w:numFmt w:val="upperLetter"/>
      <w:pStyle w:val="7"/>
      <w:lvlText w:val="%1．"/>
      <w:lvlJc w:val="left"/>
      <w:pPr>
        <w:tabs>
          <w:tab w:val="left" w:pos="721"/>
        </w:tabs>
        <w:ind w:left="721" w:hanging="720"/>
      </w:pPr>
      <w:rPr>
        <w:rFonts w:hint="eastAsia"/>
      </w:rPr>
    </w:lvl>
    <w:lvl w:ilvl="1" w:tentative="0">
      <w:start w:val="1"/>
      <w:numFmt w:val="lowerLetter"/>
      <w:lvlText w:val="%2、"/>
      <w:lvlJc w:val="left"/>
      <w:pPr>
        <w:tabs>
          <w:tab w:val="left" w:pos="1140"/>
        </w:tabs>
        <w:ind w:left="1140" w:hanging="720"/>
      </w:pPr>
      <w:rPr>
        <w:rFonts w:hint="default"/>
      </w:rPr>
    </w:lvl>
    <w:lvl w:ilvl="2" w:tentative="0">
      <w:start w:val="3"/>
      <w:numFmt w:val="upperLetter"/>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1ED3AD0"/>
    <w:multiLevelType w:val="multilevel"/>
    <w:tmpl w:val="21ED3AD0"/>
    <w:lvl w:ilvl="0" w:tentative="0">
      <w:start w:val="1"/>
      <w:numFmt w:val="upperLetter"/>
      <w:pStyle w:val="11"/>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A035222"/>
    <w:multiLevelType w:val="multilevel"/>
    <w:tmpl w:val="3A035222"/>
    <w:lvl w:ilvl="0" w:tentative="0">
      <w:start w:val="1"/>
      <w:numFmt w:val="decimalEnclosedCircle"/>
      <w:lvlText w:val="%1"/>
      <w:lvlJc w:val="left"/>
      <w:pPr>
        <w:tabs>
          <w:tab w:val="left" w:pos="930"/>
        </w:tabs>
        <w:ind w:left="930" w:hanging="360"/>
      </w:pPr>
      <w:rPr>
        <w:rFonts w:hint="eastAsia"/>
      </w:rPr>
    </w:lvl>
    <w:lvl w:ilvl="1" w:tentative="0">
      <w:start w:val="1"/>
      <w:numFmt w:val="decimal"/>
      <w:lvlText w:val="%2、"/>
      <w:lvlJc w:val="left"/>
      <w:pPr>
        <w:tabs>
          <w:tab w:val="left" w:pos="1710"/>
        </w:tabs>
        <w:ind w:left="1710" w:hanging="720"/>
      </w:pPr>
      <w:rPr>
        <w:rFonts w:hint="eastAsia"/>
      </w:rPr>
    </w:lvl>
    <w:lvl w:ilvl="2" w:tentative="0">
      <w:start w:val="1"/>
      <w:numFmt w:val="upperLetter"/>
      <w:pStyle w:val="6"/>
      <w:lvlText w:val="%3、"/>
      <w:lvlJc w:val="left"/>
      <w:pPr>
        <w:tabs>
          <w:tab w:val="left" w:pos="2130"/>
        </w:tabs>
        <w:ind w:left="2130" w:hanging="720"/>
      </w:pPr>
      <w:rPr>
        <w:rFonts w:hint="eastAsia"/>
      </w:rPr>
    </w:lvl>
    <w:lvl w:ilvl="3" w:tentative="0">
      <w:start w:val="4"/>
      <w:numFmt w:val="decimal"/>
      <w:lvlText w:val="%4、"/>
      <w:lvlJc w:val="left"/>
      <w:pPr>
        <w:tabs>
          <w:tab w:val="left" w:pos="2550"/>
        </w:tabs>
        <w:ind w:left="2550" w:hanging="720"/>
      </w:pPr>
      <w:rPr>
        <w:rFonts w:hint="eastAsia"/>
      </w:rPr>
    </w:lvl>
    <w:lvl w:ilvl="4" w:tentative="0">
      <w:start w:val="1"/>
      <w:numFmt w:val="lowerLetter"/>
      <w:lvlText w:val="%5)"/>
      <w:lvlJc w:val="left"/>
      <w:pPr>
        <w:tabs>
          <w:tab w:val="left" w:pos="2670"/>
        </w:tabs>
        <w:ind w:left="2670" w:hanging="420"/>
      </w:pPr>
    </w:lvl>
    <w:lvl w:ilvl="5" w:tentative="0">
      <w:start w:val="1"/>
      <w:numFmt w:val="decimal"/>
      <w:lvlText w:val="%6）"/>
      <w:lvlJc w:val="left"/>
      <w:pPr>
        <w:tabs>
          <w:tab w:val="left" w:pos="3390"/>
        </w:tabs>
        <w:ind w:left="3390" w:hanging="720"/>
      </w:pPr>
      <w:rPr>
        <w:rFonts w:hint="eastAsia"/>
      </w:r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abstractNum w:abstractNumId="9">
    <w:nsid w:val="62646C87"/>
    <w:multiLevelType w:val="multilevel"/>
    <w:tmpl w:val="62646C87"/>
    <w:lvl w:ilvl="0" w:tentative="0">
      <w:start w:val="1"/>
      <w:numFmt w:val="decimal"/>
      <w:pStyle w:val="170"/>
      <w:lvlText w:val="%1."/>
      <w:lvlJc w:val="left"/>
      <w:pPr>
        <w:tabs>
          <w:tab w:val="left" w:pos="965"/>
        </w:tabs>
        <w:ind w:left="965" w:hanging="420"/>
      </w:pPr>
      <w:rPr>
        <w:rFonts w:hint="default"/>
      </w:rPr>
    </w:lvl>
    <w:lvl w:ilvl="1" w:tentative="0">
      <w:start w:val="1"/>
      <w:numFmt w:val="lowerLetter"/>
      <w:lvlText w:val="%2)"/>
      <w:lvlJc w:val="left"/>
      <w:pPr>
        <w:tabs>
          <w:tab w:val="left" w:pos="1385"/>
        </w:tabs>
        <w:ind w:left="1385" w:hanging="420"/>
      </w:pPr>
    </w:lvl>
    <w:lvl w:ilvl="2" w:tentative="0">
      <w:start w:val="1"/>
      <w:numFmt w:val="lowerRoman"/>
      <w:lvlText w:val="%3."/>
      <w:lvlJc w:val="right"/>
      <w:pPr>
        <w:tabs>
          <w:tab w:val="left" w:pos="1805"/>
        </w:tabs>
        <w:ind w:left="1805" w:hanging="420"/>
      </w:pPr>
    </w:lvl>
    <w:lvl w:ilvl="3" w:tentative="0">
      <w:start w:val="1"/>
      <w:numFmt w:val="decimal"/>
      <w:lvlText w:val="%4."/>
      <w:lvlJc w:val="left"/>
      <w:pPr>
        <w:tabs>
          <w:tab w:val="left" w:pos="2225"/>
        </w:tabs>
        <w:ind w:left="2225" w:hanging="420"/>
      </w:pPr>
    </w:lvl>
    <w:lvl w:ilvl="4" w:tentative="0">
      <w:start w:val="1"/>
      <w:numFmt w:val="lowerLetter"/>
      <w:lvlText w:val="%5)"/>
      <w:lvlJc w:val="left"/>
      <w:pPr>
        <w:tabs>
          <w:tab w:val="left" w:pos="2645"/>
        </w:tabs>
        <w:ind w:left="2645" w:hanging="420"/>
      </w:pPr>
    </w:lvl>
    <w:lvl w:ilvl="5" w:tentative="0">
      <w:start w:val="1"/>
      <w:numFmt w:val="lowerRoman"/>
      <w:lvlText w:val="%6."/>
      <w:lvlJc w:val="right"/>
      <w:pPr>
        <w:tabs>
          <w:tab w:val="left" w:pos="3065"/>
        </w:tabs>
        <w:ind w:left="3065" w:hanging="420"/>
      </w:pPr>
    </w:lvl>
    <w:lvl w:ilvl="6" w:tentative="0">
      <w:start w:val="1"/>
      <w:numFmt w:val="decimal"/>
      <w:lvlText w:val="%7."/>
      <w:lvlJc w:val="left"/>
      <w:pPr>
        <w:tabs>
          <w:tab w:val="left" w:pos="3485"/>
        </w:tabs>
        <w:ind w:left="3485" w:hanging="420"/>
      </w:pPr>
    </w:lvl>
    <w:lvl w:ilvl="7" w:tentative="0">
      <w:start w:val="1"/>
      <w:numFmt w:val="lowerLetter"/>
      <w:lvlText w:val="%8)"/>
      <w:lvlJc w:val="left"/>
      <w:pPr>
        <w:tabs>
          <w:tab w:val="left" w:pos="3905"/>
        </w:tabs>
        <w:ind w:left="3905" w:hanging="420"/>
      </w:pPr>
    </w:lvl>
    <w:lvl w:ilvl="8" w:tentative="0">
      <w:start w:val="1"/>
      <w:numFmt w:val="lowerRoman"/>
      <w:lvlText w:val="%9."/>
      <w:lvlJc w:val="right"/>
      <w:pPr>
        <w:tabs>
          <w:tab w:val="left" w:pos="4325"/>
        </w:tabs>
        <w:ind w:left="4325" w:hanging="420"/>
      </w:pPr>
    </w:lvl>
  </w:abstractNum>
  <w:abstractNum w:abstractNumId="10">
    <w:nsid w:val="649E4A0D"/>
    <w:multiLevelType w:val="singleLevel"/>
    <w:tmpl w:val="649E4A0D"/>
    <w:lvl w:ilvl="0" w:tentative="0">
      <w:start w:val="1"/>
      <w:numFmt w:val="upperLetter"/>
      <w:pStyle w:val="8"/>
      <w:lvlText w:val="%1、"/>
      <w:lvlJc w:val="left"/>
      <w:pPr>
        <w:tabs>
          <w:tab w:val="left" w:pos="750"/>
        </w:tabs>
        <w:ind w:left="750" w:hanging="465"/>
      </w:pPr>
      <w:rPr>
        <w:rFonts w:hint="eastAsia"/>
      </w:rPr>
    </w:lvl>
  </w:abstractNum>
  <w:abstractNum w:abstractNumId="11">
    <w:nsid w:val="6AFD2C70"/>
    <w:multiLevelType w:val="multilevel"/>
    <w:tmpl w:val="6AFD2C70"/>
    <w:lvl w:ilvl="0" w:tentative="0">
      <w:start w:val="1"/>
      <w:numFmt w:val="decimal"/>
      <w:pStyle w:val="46"/>
      <w:lvlText w:val="%1、"/>
      <w:lvlJc w:val="left"/>
      <w:pPr>
        <w:tabs>
          <w:tab w:val="left" w:pos="887"/>
        </w:tabs>
        <w:ind w:left="887" w:hanging="360"/>
      </w:pPr>
      <w:rPr>
        <w:rFonts w:hint="eastAsia"/>
      </w:rPr>
    </w:lvl>
    <w:lvl w:ilvl="1" w:tentative="0">
      <w:start w:val="1"/>
      <w:numFmt w:val="lowerLetter"/>
      <w:lvlText w:val="%2)"/>
      <w:lvlJc w:val="left"/>
      <w:pPr>
        <w:tabs>
          <w:tab w:val="left" w:pos="1367"/>
        </w:tabs>
        <w:ind w:left="1367" w:hanging="420"/>
      </w:pPr>
    </w:lvl>
    <w:lvl w:ilvl="2" w:tentative="0">
      <w:start w:val="1"/>
      <w:numFmt w:val="lowerRoman"/>
      <w:lvlText w:val="%3."/>
      <w:lvlJc w:val="right"/>
      <w:pPr>
        <w:tabs>
          <w:tab w:val="left" w:pos="1787"/>
        </w:tabs>
        <w:ind w:left="1787" w:hanging="420"/>
      </w:pPr>
    </w:lvl>
    <w:lvl w:ilvl="3" w:tentative="0">
      <w:start w:val="1"/>
      <w:numFmt w:val="decimal"/>
      <w:lvlText w:val="%4."/>
      <w:lvlJc w:val="left"/>
      <w:pPr>
        <w:tabs>
          <w:tab w:val="left" w:pos="2207"/>
        </w:tabs>
        <w:ind w:left="2207" w:hanging="420"/>
      </w:pPr>
    </w:lvl>
    <w:lvl w:ilvl="4" w:tentative="0">
      <w:start w:val="1"/>
      <w:numFmt w:val="lowerLetter"/>
      <w:lvlText w:val="%5)"/>
      <w:lvlJc w:val="left"/>
      <w:pPr>
        <w:tabs>
          <w:tab w:val="left" w:pos="2627"/>
        </w:tabs>
        <w:ind w:left="2627" w:hanging="420"/>
      </w:pPr>
    </w:lvl>
    <w:lvl w:ilvl="5" w:tentative="0">
      <w:start w:val="1"/>
      <w:numFmt w:val="lowerRoman"/>
      <w:lvlText w:val="%6."/>
      <w:lvlJc w:val="right"/>
      <w:pPr>
        <w:tabs>
          <w:tab w:val="left" w:pos="3047"/>
        </w:tabs>
        <w:ind w:left="3047" w:hanging="420"/>
      </w:pPr>
    </w:lvl>
    <w:lvl w:ilvl="6" w:tentative="0">
      <w:start w:val="1"/>
      <w:numFmt w:val="decimal"/>
      <w:lvlText w:val="%7."/>
      <w:lvlJc w:val="left"/>
      <w:pPr>
        <w:tabs>
          <w:tab w:val="left" w:pos="3467"/>
        </w:tabs>
        <w:ind w:left="3467" w:hanging="420"/>
      </w:pPr>
    </w:lvl>
    <w:lvl w:ilvl="7" w:tentative="0">
      <w:start w:val="1"/>
      <w:numFmt w:val="lowerLetter"/>
      <w:lvlText w:val="%8)"/>
      <w:lvlJc w:val="left"/>
      <w:pPr>
        <w:tabs>
          <w:tab w:val="left" w:pos="3887"/>
        </w:tabs>
        <w:ind w:left="3887" w:hanging="420"/>
      </w:pPr>
    </w:lvl>
    <w:lvl w:ilvl="8" w:tentative="0">
      <w:start w:val="1"/>
      <w:numFmt w:val="lowerRoman"/>
      <w:lvlText w:val="%9."/>
      <w:lvlJc w:val="right"/>
      <w:pPr>
        <w:tabs>
          <w:tab w:val="left" w:pos="4307"/>
        </w:tabs>
        <w:ind w:left="4307" w:hanging="420"/>
      </w:pPr>
    </w:lvl>
  </w:abstractNum>
  <w:abstractNum w:abstractNumId="12">
    <w:nsid w:val="6CDE4622"/>
    <w:multiLevelType w:val="singleLevel"/>
    <w:tmpl w:val="6CDE4622"/>
    <w:lvl w:ilvl="0" w:tentative="0">
      <w:start w:val="1"/>
      <w:numFmt w:val="upperLetter"/>
      <w:pStyle w:val="10"/>
      <w:lvlText w:val="%1、"/>
      <w:lvlJc w:val="left"/>
      <w:pPr>
        <w:tabs>
          <w:tab w:val="left" w:pos="1125"/>
        </w:tabs>
        <w:ind w:left="1125" w:hanging="435"/>
      </w:pPr>
      <w:rPr>
        <w:rFonts w:hint="eastAsia"/>
      </w:rPr>
    </w:lvl>
  </w:abstractNum>
  <w:num w:numId="1">
    <w:abstractNumId w:val="8"/>
  </w:num>
  <w:num w:numId="2">
    <w:abstractNumId w:val="6"/>
  </w:num>
  <w:num w:numId="3">
    <w:abstractNumId w:val="10"/>
  </w:num>
  <w:num w:numId="4">
    <w:abstractNumId w:val="12"/>
  </w:num>
  <w:num w:numId="5">
    <w:abstractNumId w:val="7"/>
  </w:num>
  <w:num w:numId="6">
    <w:abstractNumId w:val="2"/>
  </w:num>
  <w:num w:numId="7">
    <w:abstractNumId w:val="5"/>
  </w:num>
  <w:num w:numId="8">
    <w:abstractNumId w:val="3"/>
  </w:num>
  <w:num w:numId="9">
    <w:abstractNumId w:val="1"/>
  </w:num>
  <w:num w:numId="10">
    <w:abstractNumId w:val="4"/>
  </w:num>
  <w:num w:numId="11">
    <w:abstractNumId w:val="11"/>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28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963"/>
    <w:rsid w:val="0000770B"/>
    <w:rsid w:val="00010D0E"/>
    <w:rsid w:val="00011907"/>
    <w:rsid w:val="00013ABC"/>
    <w:rsid w:val="00017E0F"/>
    <w:rsid w:val="000213A5"/>
    <w:rsid w:val="000218CA"/>
    <w:rsid w:val="00022037"/>
    <w:rsid w:val="000244AB"/>
    <w:rsid w:val="000309A3"/>
    <w:rsid w:val="000309FC"/>
    <w:rsid w:val="00034319"/>
    <w:rsid w:val="00035FAE"/>
    <w:rsid w:val="0004275A"/>
    <w:rsid w:val="00042F2E"/>
    <w:rsid w:val="000452D0"/>
    <w:rsid w:val="00045B85"/>
    <w:rsid w:val="00054B74"/>
    <w:rsid w:val="000612FE"/>
    <w:rsid w:val="00067265"/>
    <w:rsid w:val="000724C7"/>
    <w:rsid w:val="00076208"/>
    <w:rsid w:val="000831C5"/>
    <w:rsid w:val="00086300"/>
    <w:rsid w:val="00087CE8"/>
    <w:rsid w:val="0009145E"/>
    <w:rsid w:val="00091852"/>
    <w:rsid w:val="000926C3"/>
    <w:rsid w:val="00093FA2"/>
    <w:rsid w:val="000963C8"/>
    <w:rsid w:val="000B166D"/>
    <w:rsid w:val="000B4D33"/>
    <w:rsid w:val="000B54E7"/>
    <w:rsid w:val="000C306D"/>
    <w:rsid w:val="000C38D5"/>
    <w:rsid w:val="000C5385"/>
    <w:rsid w:val="000D083C"/>
    <w:rsid w:val="000D0890"/>
    <w:rsid w:val="000D1F2F"/>
    <w:rsid w:val="000D3532"/>
    <w:rsid w:val="000D47DF"/>
    <w:rsid w:val="000E2DC8"/>
    <w:rsid w:val="000E402A"/>
    <w:rsid w:val="000E485D"/>
    <w:rsid w:val="000E5175"/>
    <w:rsid w:val="000F404F"/>
    <w:rsid w:val="000F53F4"/>
    <w:rsid w:val="000F7512"/>
    <w:rsid w:val="0010137D"/>
    <w:rsid w:val="00102A5B"/>
    <w:rsid w:val="00105F0C"/>
    <w:rsid w:val="0010643C"/>
    <w:rsid w:val="0010648E"/>
    <w:rsid w:val="00111535"/>
    <w:rsid w:val="00111598"/>
    <w:rsid w:val="00111D9E"/>
    <w:rsid w:val="00113090"/>
    <w:rsid w:val="00113235"/>
    <w:rsid w:val="00115B20"/>
    <w:rsid w:val="001229E3"/>
    <w:rsid w:val="00122FEE"/>
    <w:rsid w:val="001236FE"/>
    <w:rsid w:val="00124346"/>
    <w:rsid w:val="0012798C"/>
    <w:rsid w:val="00131E16"/>
    <w:rsid w:val="00132AC7"/>
    <w:rsid w:val="001368A2"/>
    <w:rsid w:val="00145467"/>
    <w:rsid w:val="00146652"/>
    <w:rsid w:val="00146ECF"/>
    <w:rsid w:val="0015221C"/>
    <w:rsid w:val="001540C7"/>
    <w:rsid w:val="00154663"/>
    <w:rsid w:val="00155C24"/>
    <w:rsid w:val="00157D33"/>
    <w:rsid w:val="00165DE6"/>
    <w:rsid w:val="0016631E"/>
    <w:rsid w:val="0017125C"/>
    <w:rsid w:val="00171447"/>
    <w:rsid w:val="00173F4C"/>
    <w:rsid w:val="00175187"/>
    <w:rsid w:val="00175D59"/>
    <w:rsid w:val="001771B1"/>
    <w:rsid w:val="00180F8D"/>
    <w:rsid w:val="00185FE5"/>
    <w:rsid w:val="00187180"/>
    <w:rsid w:val="00187838"/>
    <w:rsid w:val="001879E8"/>
    <w:rsid w:val="0019111E"/>
    <w:rsid w:val="00197549"/>
    <w:rsid w:val="001A21B9"/>
    <w:rsid w:val="001A3E3B"/>
    <w:rsid w:val="001B1C85"/>
    <w:rsid w:val="001B3223"/>
    <w:rsid w:val="001B3658"/>
    <w:rsid w:val="001B68E5"/>
    <w:rsid w:val="001C0F5D"/>
    <w:rsid w:val="001C0F97"/>
    <w:rsid w:val="001C5D0F"/>
    <w:rsid w:val="001C697A"/>
    <w:rsid w:val="001D0EC0"/>
    <w:rsid w:val="001D3118"/>
    <w:rsid w:val="001D38D2"/>
    <w:rsid w:val="001D4FF0"/>
    <w:rsid w:val="001D56CD"/>
    <w:rsid w:val="001E0D40"/>
    <w:rsid w:val="001E1500"/>
    <w:rsid w:val="001E397B"/>
    <w:rsid w:val="001F7E51"/>
    <w:rsid w:val="00200626"/>
    <w:rsid w:val="002044C7"/>
    <w:rsid w:val="00216E8B"/>
    <w:rsid w:val="00216FE6"/>
    <w:rsid w:val="00217DCC"/>
    <w:rsid w:val="00225AFB"/>
    <w:rsid w:val="00231C7A"/>
    <w:rsid w:val="002325D2"/>
    <w:rsid w:val="002330F8"/>
    <w:rsid w:val="00244427"/>
    <w:rsid w:val="00245407"/>
    <w:rsid w:val="00247847"/>
    <w:rsid w:val="00250296"/>
    <w:rsid w:val="00250D79"/>
    <w:rsid w:val="00251572"/>
    <w:rsid w:val="002523E4"/>
    <w:rsid w:val="00253DC2"/>
    <w:rsid w:val="00254C34"/>
    <w:rsid w:val="002550FE"/>
    <w:rsid w:val="00262CA7"/>
    <w:rsid w:val="0026706D"/>
    <w:rsid w:val="002707E4"/>
    <w:rsid w:val="002721A4"/>
    <w:rsid w:val="00275323"/>
    <w:rsid w:val="00283E94"/>
    <w:rsid w:val="002866A0"/>
    <w:rsid w:val="002879E0"/>
    <w:rsid w:val="002927C3"/>
    <w:rsid w:val="00293290"/>
    <w:rsid w:val="0029670D"/>
    <w:rsid w:val="002A5A61"/>
    <w:rsid w:val="002A629D"/>
    <w:rsid w:val="002A7F02"/>
    <w:rsid w:val="002B10C3"/>
    <w:rsid w:val="002C2CED"/>
    <w:rsid w:val="002C36E0"/>
    <w:rsid w:val="002C4E93"/>
    <w:rsid w:val="002C671A"/>
    <w:rsid w:val="002D1008"/>
    <w:rsid w:val="002D1850"/>
    <w:rsid w:val="002D1D4F"/>
    <w:rsid w:val="002D39FF"/>
    <w:rsid w:val="002D4FF4"/>
    <w:rsid w:val="002D6E49"/>
    <w:rsid w:val="002E14D4"/>
    <w:rsid w:val="002E1AE7"/>
    <w:rsid w:val="002E1B99"/>
    <w:rsid w:val="002E5015"/>
    <w:rsid w:val="002F1853"/>
    <w:rsid w:val="002F197F"/>
    <w:rsid w:val="002F41BE"/>
    <w:rsid w:val="002F48D5"/>
    <w:rsid w:val="002F7BCC"/>
    <w:rsid w:val="0030039C"/>
    <w:rsid w:val="003007DC"/>
    <w:rsid w:val="00302994"/>
    <w:rsid w:val="0030410D"/>
    <w:rsid w:val="003049B1"/>
    <w:rsid w:val="003118E6"/>
    <w:rsid w:val="003135B0"/>
    <w:rsid w:val="00314E6F"/>
    <w:rsid w:val="00320D57"/>
    <w:rsid w:val="00321098"/>
    <w:rsid w:val="003242BF"/>
    <w:rsid w:val="00325B24"/>
    <w:rsid w:val="00326654"/>
    <w:rsid w:val="00331DDE"/>
    <w:rsid w:val="00333333"/>
    <w:rsid w:val="00336202"/>
    <w:rsid w:val="003373A4"/>
    <w:rsid w:val="0033782A"/>
    <w:rsid w:val="003417A5"/>
    <w:rsid w:val="00342181"/>
    <w:rsid w:val="003465FE"/>
    <w:rsid w:val="003529AE"/>
    <w:rsid w:val="00354B45"/>
    <w:rsid w:val="00355169"/>
    <w:rsid w:val="00361B39"/>
    <w:rsid w:val="00362AE1"/>
    <w:rsid w:val="00362E93"/>
    <w:rsid w:val="0036397D"/>
    <w:rsid w:val="003655E7"/>
    <w:rsid w:val="0037076C"/>
    <w:rsid w:val="00371970"/>
    <w:rsid w:val="00372014"/>
    <w:rsid w:val="00374501"/>
    <w:rsid w:val="0038081D"/>
    <w:rsid w:val="00381CED"/>
    <w:rsid w:val="0038627E"/>
    <w:rsid w:val="00387B6B"/>
    <w:rsid w:val="003916B8"/>
    <w:rsid w:val="00391A5B"/>
    <w:rsid w:val="003922BB"/>
    <w:rsid w:val="0039331F"/>
    <w:rsid w:val="0039752B"/>
    <w:rsid w:val="00397A4C"/>
    <w:rsid w:val="003A249C"/>
    <w:rsid w:val="003A2F48"/>
    <w:rsid w:val="003A3AFC"/>
    <w:rsid w:val="003A4FA4"/>
    <w:rsid w:val="003A56F4"/>
    <w:rsid w:val="003A5A6B"/>
    <w:rsid w:val="003B7345"/>
    <w:rsid w:val="003B73BA"/>
    <w:rsid w:val="003C6E30"/>
    <w:rsid w:val="003C6E3D"/>
    <w:rsid w:val="003C7B6C"/>
    <w:rsid w:val="003D4A40"/>
    <w:rsid w:val="003D706F"/>
    <w:rsid w:val="003E07B9"/>
    <w:rsid w:val="003E3D6D"/>
    <w:rsid w:val="003E44AC"/>
    <w:rsid w:val="003E517E"/>
    <w:rsid w:val="003E6C64"/>
    <w:rsid w:val="003F1BAD"/>
    <w:rsid w:val="003F4C8F"/>
    <w:rsid w:val="003F7D71"/>
    <w:rsid w:val="00404F83"/>
    <w:rsid w:val="004172D6"/>
    <w:rsid w:val="00420326"/>
    <w:rsid w:val="00422490"/>
    <w:rsid w:val="00422D9B"/>
    <w:rsid w:val="00424258"/>
    <w:rsid w:val="00425C60"/>
    <w:rsid w:val="00425D6B"/>
    <w:rsid w:val="004317A9"/>
    <w:rsid w:val="00440F54"/>
    <w:rsid w:val="0044191A"/>
    <w:rsid w:val="00445804"/>
    <w:rsid w:val="0044729E"/>
    <w:rsid w:val="004503BB"/>
    <w:rsid w:val="00452199"/>
    <w:rsid w:val="0045229A"/>
    <w:rsid w:val="00453337"/>
    <w:rsid w:val="0045479B"/>
    <w:rsid w:val="00455295"/>
    <w:rsid w:val="004639E6"/>
    <w:rsid w:val="00467032"/>
    <w:rsid w:val="004743F4"/>
    <w:rsid w:val="00474C10"/>
    <w:rsid w:val="00474E46"/>
    <w:rsid w:val="00474F16"/>
    <w:rsid w:val="00477DE2"/>
    <w:rsid w:val="004911AB"/>
    <w:rsid w:val="00492E41"/>
    <w:rsid w:val="00492EA3"/>
    <w:rsid w:val="004A09A1"/>
    <w:rsid w:val="004A1B80"/>
    <w:rsid w:val="004B4177"/>
    <w:rsid w:val="004B6B75"/>
    <w:rsid w:val="004C4F03"/>
    <w:rsid w:val="004C75EB"/>
    <w:rsid w:val="004C7924"/>
    <w:rsid w:val="004D23C7"/>
    <w:rsid w:val="004D4C47"/>
    <w:rsid w:val="004D6F6A"/>
    <w:rsid w:val="004E2994"/>
    <w:rsid w:val="004E41EE"/>
    <w:rsid w:val="004E54E5"/>
    <w:rsid w:val="004E60CC"/>
    <w:rsid w:val="004E64D2"/>
    <w:rsid w:val="004F1CD9"/>
    <w:rsid w:val="004F456D"/>
    <w:rsid w:val="004F6539"/>
    <w:rsid w:val="00502BB7"/>
    <w:rsid w:val="005052D7"/>
    <w:rsid w:val="00505D8B"/>
    <w:rsid w:val="00506FB9"/>
    <w:rsid w:val="0050768D"/>
    <w:rsid w:val="00510B1A"/>
    <w:rsid w:val="00511094"/>
    <w:rsid w:val="00511653"/>
    <w:rsid w:val="00513C5D"/>
    <w:rsid w:val="00516808"/>
    <w:rsid w:val="00523B49"/>
    <w:rsid w:val="00524073"/>
    <w:rsid w:val="0052535B"/>
    <w:rsid w:val="005268D0"/>
    <w:rsid w:val="00527B2D"/>
    <w:rsid w:val="00537E0A"/>
    <w:rsid w:val="005402D3"/>
    <w:rsid w:val="005429F6"/>
    <w:rsid w:val="005439ED"/>
    <w:rsid w:val="00543F78"/>
    <w:rsid w:val="00544A06"/>
    <w:rsid w:val="00544B65"/>
    <w:rsid w:val="00550883"/>
    <w:rsid w:val="00553809"/>
    <w:rsid w:val="00555387"/>
    <w:rsid w:val="005560B0"/>
    <w:rsid w:val="00562AD7"/>
    <w:rsid w:val="00563EE3"/>
    <w:rsid w:val="00564ED3"/>
    <w:rsid w:val="00564FDC"/>
    <w:rsid w:val="00566817"/>
    <w:rsid w:val="00570BF3"/>
    <w:rsid w:val="00571C38"/>
    <w:rsid w:val="00574D29"/>
    <w:rsid w:val="00581D7F"/>
    <w:rsid w:val="00585AE1"/>
    <w:rsid w:val="00590433"/>
    <w:rsid w:val="00590DE9"/>
    <w:rsid w:val="00592415"/>
    <w:rsid w:val="00595591"/>
    <w:rsid w:val="00595886"/>
    <w:rsid w:val="005A04E0"/>
    <w:rsid w:val="005A3297"/>
    <w:rsid w:val="005A44BF"/>
    <w:rsid w:val="005A58FE"/>
    <w:rsid w:val="005B0209"/>
    <w:rsid w:val="005B3554"/>
    <w:rsid w:val="005B6175"/>
    <w:rsid w:val="005C1607"/>
    <w:rsid w:val="005C21EE"/>
    <w:rsid w:val="005C3652"/>
    <w:rsid w:val="005C6188"/>
    <w:rsid w:val="005C6190"/>
    <w:rsid w:val="005C70A8"/>
    <w:rsid w:val="005C7592"/>
    <w:rsid w:val="005C7840"/>
    <w:rsid w:val="005D23EF"/>
    <w:rsid w:val="005D2557"/>
    <w:rsid w:val="005D46FB"/>
    <w:rsid w:val="005D7104"/>
    <w:rsid w:val="005E2946"/>
    <w:rsid w:val="005E3B7C"/>
    <w:rsid w:val="005E3CB5"/>
    <w:rsid w:val="005E3F75"/>
    <w:rsid w:val="005E71D8"/>
    <w:rsid w:val="005E764B"/>
    <w:rsid w:val="005F2046"/>
    <w:rsid w:val="005F38FA"/>
    <w:rsid w:val="005F3F1B"/>
    <w:rsid w:val="005F7B4F"/>
    <w:rsid w:val="005F7C08"/>
    <w:rsid w:val="00601890"/>
    <w:rsid w:val="00603226"/>
    <w:rsid w:val="0060391F"/>
    <w:rsid w:val="006079A0"/>
    <w:rsid w:val="00610DA4"/>
    <w:rsid w:val="00613DB3"/>
    <w:rsid w:val="0061618A"/>
    <w:rsid w:val="00620CE3"/>
    <w:rsid w:val="00620E59"/>
    <w:rsid w:val="006216B6"/>
    <w:rsid w:val="00621775"/>
    <w:rsid w:val="00623D6F"/>
    <w:rsid w:val="00623FF5"/>
    <w:rsid w:val="00625EBC"/>
    <w:rsid w:val="006265BD"/>
    <w:rsid w:val="0062675E"/>
    <w:rsid w:val="0063244C"/>
    <w:rsid w:val="0063268B"/>
    <w:rsid w:val="006343F2"/>
    <w:rsid w:val="00636050"/>
    <w:rsid w:val="00640272"/>
    <w:rsid w:val="00642309"/>
    <w:rsid w:val="00646225"/>
    <w:rsid w:val="00653976"/>
    <w:rsid w:val="00660C91"/>
    <w:rsid w:val="006618F7"/>
    <w:rsid w:val="0066463A"/>
    <w:rsid w:val="00664CCF"/>
    <w:rsid w:val="00666E15"/>
    <w:rsid w:val="0066745C"/>
    <w:rsid w:val="00670543"/>
    <w:rsid w:val="006711C2"/>
    <w:rsid w:val="00671AD7"/>
    <w:rsid w:val="00671F64"/>
    <w:rsid w:val="00672602"/>
    <w:rsid w:val="00677EDA"/>
    <w:rsid w:val="00686631"/>
    <w:rsid w:val="006910A4"/>
    <w:rsid w:val="00694C46"/>
    <w:rsid w:val="006956A1"/>
    <w:rsid w:val="00695875"/>
    <w:rsid w:val="006A13AF"/>
    <w:rsid w:val="006A303F"/>
    <w:rsid w:val="006A53C9"/>
    <w:rsid w:val="006B069B"/>
    <w:rsid w:val="006B08CA"/>
    <w:rsid w:val="006B0B43"/>
    <w:rsid w:val="006B140F"/>
    <w:rsid w:val="006B160D"/>
    <w:rsid w:val="006B44DE"/>
    <w:rsid w:val="006B54A5"/>
    <w:rsid w:val="006C6C2E"/>
    <w:rsid w:val="006D0016"/>
    <w:rsid w:val="006D124F"/>
    <w:rsid w:val="006D48B2"/>
    <w:rsid w:val="006D55B5"/>
    <w:rsid w:val="006D7ACC"/>
    <w:rsid w:val="006E2490"/>
    <w:rsid w:val="006E25D2"/>
    <w:rsid w:val="006E2B23"/>
    <w:rsid w:val="006E4D50"/>
    <w:rsid w:val="006F0073"/>
    <w:rsid w:val="006F1FA2"/>
    <w:rsid w:val="006F223C"/>
    <w:rsid w:val="006F2406"/>
    <w:rsid w:val="006F3644"/>
    <w:rsid w:val="006F42B8"/>
    <w:rsid w:val="006F5F57"/>
    <w:rsid w:val="00700B61"/>
    <w:rsid w:val="00701F14"/>
    <w:rsid w:val="00704BD0"/>
    <w:rsid w:val="00711847"/>
    <w:rsid w:val="00713F1D"/>
    <w:rsid w:val="00717931"/>
    <w:rsid w:val="00722059"/>
    <w:rsid w:val="0072333E"/>
    <w:rsid w:val="00723659"/>
    <w:rsid w:val="007310F8"/>
    <w:rsid w:val="007311E4"/>
    <w:rsid w:val="00733990"/>
    <w:rsid w:val="00734D3A"/>
    <w:rsid w:val="00750673"/>
    <w:rsid w:val="007511A8"/>
    <w:rsid w:val="00751E7B"/>
    <w:rsid w:val="00764BEA"/>
    <w:rsid w:val="00766C44"/>
    <w:rsid w:val="0076780E"/>
    <w:rsid w:val="00772488"/>
    <w:rsid w:val="007764E0"/>
    <w:rsid w:val="00776B8A"/>
    <w:rsid w:val="0077728E"/>
    <w:rsid w:val="00777426"/>
    <w:rsid w:val="00777CC7"/>
    <w:rsid w:val="0078145D"/>
    <w:rsid w:val="0078165C"/>
    <w:rsid w:val="00781E31"/>
    <w:rsid w:val="00781FC7"/>
    <w:rsid w:val="0078201C"/>
    <w:rsid w:val="00783BE9"/>
    <w:rsid w:val="00785571"/>
    <w:rsid w:val="00785EEF"/>
    <w:rsid w:val="0078656F"/>
    <w:rsid w:val="00786C78"/>
    <w:rsid w:val="00793F84"/>
    <w:rsid w:val="00797C36"/>
    <w:rsid w:val="007A0132"/>
    <w:rsid w:val="007A0F7D"/>
    <w:rsid w:val="007A1EA8"/>
    <w:rsid w:val="007A2909"/>
    <w:rsid w:val="007A5BD6"/>
    <w:rsid w:val="007A6872"/>
    <w:rsid w:val="007A691C"/>
    <w:rsid w:val="007B2B69"/>
    <w:rsid w:val="007B7B56"/>
    <w:rsid w:val="007B7EF1"/>
    <w:rsid w:val="007C6CE0"/>
    <w:rsid w:val="007C75D2"/>
    <w:rsid w:val="007D5606"/>
    <w:rsid w:val="007D6CC0"/>
    <w:rsid w:val="007D6CC8"/>
    <w:rsid w:val="007E0645"/>
    <w:rsid w:val="007E3F89"/>
    <w:rsid w:val="007E4951"/>
    <w:rsid w:val="007E5129"/>
    <w:rsid w:val="007E5236"/>
    <w:rsid w:val="007F2282"/>
    <w:rsid w:val="007F7951"/>
    <w:rsid w:val="00800814"/>
    <w:rsid w:val="008018ED"/>
    <w:rsid w:val="00801C3B"/>
    <w:rsid w:val="00804F43"/>
    <w:rsid w:val="00806E2D"/>
    <w:rsid w:val="00810852"/>
    <w:rsid w:val="00811526"/>
    <w:rsid w:val="008118D2"/>
    <w:rsid w:val="00813332"/>
    <w:rsid w:val="00815B14"/>
    <w:rsid w:val="00817E94"/>
    <w:rsid w:val="00820943"/>
    <w:rsid w:val="00820A0C"/>
    <w:rsid w:val="00821592"/>
    <w:rsid w:val="00822789"/>
    <w:rsid w:val="00824581"/>
    <w:rsid w:val="00831290"/>
    <w:rsid w:val="00837EFE"/>
    <w:rsid w:val="008400F7"/>
    <w:rsid w:val="00841F68"/>
    <w:rsid w:val="008467A5"/>
    <w:rsid w:val="00850618"/>
    <w:rsid w:val="00850EE4"/>
    <w:rsid w:val="00852909"/>
    <w:rsid w:val="0085311F"/>
    <w:rsid w:val="00853582"/>
    <w:rsid w:val="008545FB"/>
    <w:rsid w:val="008571D4"/>
    <w:rsid w:val="008576A1"/>
    <w:rsid w:val="00860058"/>
    <w:rsid w:val="00860B10"/>
    <w:rsid w:val="00863369"/>
    <w:rsid w:val="00864C78"/>
    <w:rsid w:val="0086707A"/>
    <w:rsid w:val="00872CAC"/>
    <w:rsid w:val="00873DE1"/>
    <w:rsid w:val="00883054"/>
    <w:rsid w:val="008872C8"/>
    <w:rsid w:val="00892BCF"/>
    <w:rsid w:val="00893DD2"/>
    <w:rsid w:val="008944F1"/>
    <w:rsid w:val="00894EA8"/>
    <w:rsid w:val="008A0F35"/>
    <w:rsid w:val="008A4BA6"/>
    <w:rsid w:val="008A6D19"/>
    <w:rsid w:val="008A7E69"/>
    <w:rsid w:val="008B333D"/>
    <w:rsid w:val="008B3DB3"/>
    <w:rsid w:val="008C00D8"/>
    <w:rsid w:val="008C0346"/>
    <w:rsid w:val="008C0363"/>
    <w:rsid w:val="008C0B3F"/>
    <w:rsid w:val="008C3EE0"/>
    <w:rsid w:val="008C407F"/>
    <w:rsid w:val="008D5928"/>
    <w:rsid w:val="008E067C"/>
    <w:rsid w:val="008E0724"/>
    <w:rsid w:val="008E0BC2"/>
    <w:rsid w:val="008E1249"/>
    <w:rsid w:val="008E34C9"/>
    <w:rsid w:val="008E3813"/>
    <w:rsid w:val="008E3C31"/>
    <w:rsid w:val="008E3CC8"/>
    <w:rsid w:val="008E3F20"/>
    <w:rsid w:val="008E5A97"/>
    <w:rsid w:val="008E5DE2"/>
    <w:rsid w:val="008E7C59"/>
    <w:rsid w:val="008F03F3"/>
    <w:rsid w:val="008F2AAD"/>
    <w:rsid w:val="008F4362"/>
    <w:rsid w:val="008F593B"/>
    <w:rsid w:val="00901B99"/>
    <w:rsid w:val="00902E25"/>
    <w:rsid w:val="00906C61"/>
    <w:rsid w:val="00910E0F"/>
    <w:rsid w:val="00912397"/>
    <w:rsid w:val="00912D29"/>
    <w:rsid w:val="00914837"/>
    <w:rsid w:val="00916882"/>
    <w:rsid w:val="00916C92"/>
    <w:rsid w:val="00922FA6"/>
    <w:rsid w:val="009243E7"/>
    <w:rsid w:val="009266B2"/>
    <w:rsid w:val="0093042F"/>
    <w:rsid w:val="00936C4D"/>
    <w:rsid w:val="0094018E"/>
    <w:rsid w:val="00944513"/>
    <w:rsid w:val="00947094"/>
    <w:rsid w:val="0095523F"/>
    <w:rsid w:val="00956C96"/>
    <w:rsid w:val="00960C95"/>
    <w:rsid w:val="00962DD7"/>
    <w:rsid w:val="0096320D"/>
    <w:rsid w:val="00966A76"/>
    <w:rsid w:val="009709DD"/>
    <w:rsid w:val="00972C35"/>
    <w:rsid w:val="00982A31"/>
    <w:rsid w:val="00982C97"/>
    <w:rsid w:val="0098321A"/>
    <w:rsid w:val="00983668"/>
    <w:rsid w:val="009844B8"/>
    <w:rsid w:val="009860CF"/>
    <w:rsid w:val="009871FF"/>
    <w:rsid w:val="00990960"/>
    <w:rsid w:val="00992848"/>
    <w:rsid w:val="009936EC"/>
    <w:rsid w:val="0099618B"/>
    <w:rsid w:val="00996E06"/>
    <w:rsid w:val="00997091"/>
    <w:rsid w:val="009A3B55"/>
    <w:rsid w:val="009A5D70"/>
    <w:rsid w:val="009A662E"/>
    <w:rsid w:val="009A7B28"/>
    <w:rsid w:val="009B504A"/>
    <w:rsid w:val="009C0402"/>
    <w:rsid w:val="009C267C"/>
    <w:rsid w:val="009C2913"/>
    <w:rsid w:val="009C3ED1"/>
    <w:rsid w:val="009D22B5"/>
    <w:rsid w:val="009D230B"/>
    <w:rsid w:val="009D4F4E"/>
    <w:rsid w:val="009D5AC2"/>
    <w:rsid w:val="009D6CAA"/>
    <w:rsid w:val="009E1F22"/>
    <w:rsid w:val="009E2958"/>
    <w:rsid w:val="009E7B43"/>
    <w:rsid w:val="009F154F"/>
    <w:rsid w:val="009F2025"/>
    <w:rsid w:val="009F2AA3"/>
    <w:rsid w:val="009F3B91"/>
    <w:rsid w:val="00A029C4"/>
    <w:rsid w:val="00A11724"/>
    <w:rsid w:val="00A124F1"/>
    <w:rsid w:val="00A12A52"/>
    <w:rsid w:val="00A161BD"/>
    <w:rsid w:val="00A175F1"/>
    <w:rsid w:val="00A3611F"/>
    <w:rsid w:val="00A4209E"/>
    <w:rsid w:val="00A420A8"/>
    <w:rsid w:val="00A435B4"/>
    <w:rsid w:val="00A444B8"/>
    <w:rsid w:val="00A51A93"/>
    <w:rsid w:val="00A52B85"/>
    <w:rsid w:val="00A6177B"/>
    <w:rsid w:val="00A62A8F"/>
    <w:rsid w:val="00A64523"/>
    <w:rsid w:val="00A648CA"/>
    <w:rsid w:val="00A70BC3"/>
    <w:rsid w:val="00A733A8"/>
    <w:rsid w:val="00A75EEB"/>
    <w:rsid w:val="00A774FA"/>
    <w:rsid w:val="00A77521"/>
    <w:rsid w:val="00A81E4B"/>
    <w:rsid w:val="00A82A3F"/>
    <w:rsid w:val="00A82BE5"/>
    <w:rsid w:val="00A85A17"/>
    <w:rsid w:val="00A87F91"/>
    <w:rsid w:val="00A9773B"/>
    <w:rsid w:val="00AA00A1"/>
    <w:rsid w:val="00AA0D5F"/>
    <w:rsid w:val="00AA2F94"/>
    <w:rsid w:val="00AA5BAB"/>
    <w:rsid w:val="00AA646C"/>
    <w:rsid w:val="00AA6AF8"/>
    <w:rsid w:val="00AA6BDD"/>
    <w:rsid w:val="00AB112F"/>
    <w:rsid w:val="00AB4D6D"/>
    <w:rsid w:val="00AB57F5"/>
    <w:rsid w:val="00AB7918"/>
    <w:rsid w:val="00AC0869"/>
    <w:rsid w:val="00AC2884"/>
    <w:rsid w:val="00AC6093"/>
    <w:rsid w:val="00AC6994"/>
    <w:rsid w:val="00AC6BAC"/>
    <w:rsid w:val="00AD1FEF"/>
    <w:rsid w:val="00AD2449"/>
    <w:rsid w:val="00AD3D5A"/>
    <w:rsid w:val="00AD6B47"/>
    <w:rsid w:val="00AE2805"/>
    <w:rsid w:val="00AE3FC6"/>
    <w:rsid w:val="00AE5163"/>
    <w:rsid w:val="00AE7AE6"/>
    <w:rsid w:val="00AF1517"/>
    <w:rsid w:val="00AF542D"/>
    <w:rsid w:val="00AF5B3C"/>
    <w:rsid w:val="00AF72D4"/>
    <w:rsid w:val="00B0663A"/>
    <w:rsid w:val="00B1410E"/>
    <w:rsid w:val="00B14803"/>
    <w:rsid w:val="00B1732B"/>
    <w:rsid w:val="00B214FC"/>
    <w:rsid w:val="00B22949"/>
    <w:rsid w:val="00B23B0B"/>
    <w:rsid w:val="00B2590B"/>
    <w:rsid w:val="00B303CE"/>
    <w:rsid w:val="00B304B7"/>
    <w:rsid w:val="00B30771"/>
    <w:rsid w:val="00B308F9"/>
    <w:rsid w:val="00B30D84"/>
    <w:rsid w:val="00B31C15"/>
    <w:rsid w:val="00B31C1B"/>
    <w:rsid w:val="00B3758F"/>
    <w:rsid w:val="00B41D5D"/>
    <w:rsid w:val="00B41FA9"/>
    <w:rsid w:val="00B42E81"/>
    <w:rsid w:val="00B436E3"/>
    <w:rsid w:val="00B47923"/>
    <w:rsid w:val="00B50131"/>
    <w:rsid w:val="00B6048F"/>
    <w:rsid w:val="00B624EC"/>
    <w:rsid w:val="00B674D7"/>
    <w:rsid w:val="00B67997"/>
    <w:rsid w:val="00B705A8"/>
    <w:rsid w:val="00B75CF3"/>
    <w:rsid w:val="00B77BCD"/>
    <w:rsid w:val="00B835EF"/>
    <w:rsid w:val="00B8393F"/>
    <w:rsid w:val="00B85F39"/>
    <w:rsid w:val="00B965CB"/>
    <w:rsid w:val="00BA01C8"/>
    <w:rsid w:val="00BA2071"/>
    <w:rsid w:val="00BA5263"/>
    <w:rsid w:val="00BA7BF2"/>
    <w:rsid w:val="00BB093C"/>
    <w:rsid w:val="00BB126D"/>
    <w:rsid w:val="00BB185A"/>
    <w:rsid w:val="00BB18DC"/>
    <w:rsid w:val="00BB32B9"/>
    <w:rsid w:val="00BB7562"/>
    <w:rsid w:val="00BB7860"/>
    <w:rsid w:val="00BC07CC"/>
    <w:rsid w:val="00BC0B1F"/>
    <w:rsid w:val="00BC1E9B"/>
    <w:rsid w:val="00BC2E8C"/>
    <w:rsid w:val="00BC5368"/>
    <w:rsid w:val="00BC7569"/>
    <w:rsid w:val="00BD048B"/>
    <w:rsid w:val="00BD0795"/>
    <w:rsid w:val="00BD5546"/>
    <w:rsid w:val="00BD5ABB"/>
    <w:rsid w:val="00BE03E0"/>
    <w:rsid w:val="00BE17B0"/>
    <w:rsid w:val="00BE1D9B"/>
    <w:rsid w:val="00BE2F35"/>
    <w:rsid w:val="00BE4188"/>
    <w:rsid w:val="00BE5AD6"/>
    <w:rsid w:val="00BE6D71"/>
    <w:rsid w:val="00BE7820"/>
    <w:rsid w:val="00BE7F6C"/>
    <w:rsid w:val="00BF0317"/>
    <w:rsid w:val="00BF1905"/>
    <w:rsid w:val="00BF29EC"/>
    <w:rsid w:val="00BF37D1"/>
    <w:rsid w:val="00BF5B73"/>
    <w:rsid w:val="00BF7628"/>
    <w:rsid w:val="00C044E9"/>
    <w:rsid w:val="00C106FE"/>
    <w:rsid w:val="00C114F5"/>
    <w:rsid w:val="00C121A2"/>
    <w:rsid w:val="00C13998"/>
    <w:rsid w:val="00C2007D"/>
    <w:rsid w:val="00C20622"/>
    <w:rsid w:val="00C2168F"/>
    <w:rsid w:val="00C22A71"/>
    <w:rsid w:val="00C2305C"/>
    <w:rsid w:val="00C27F8A"/>
    <w:rsid w:val="00C318AC"/>
    <w:rsid w:val="00C33827"/>
    <w:rsid w:val="00C33EAE"/>
    <w:rsid w:val="00C35032"/>
    <w:rsid w:val="00C364BA"/>
    <w:rsid w:val="00C40C5B"/>
    <w:rsid w:val="00C44121"/>
    <w:rsid w:val="00C45F42"/>
    <w:rsid w:val="00C46CE4"/>
    <w:rsid w:val="00C46F35"/>
    <w:rsid w:val="00C479B6"/>
    <w:rsid w:val="00C5119A"/>
    <w:rsid w:val="00C53C28"/>
    <w:rsid w:val="00C53DD9"/>
    <w:rsid w:val="00C54B06"/>
    <w:rsid w:val="00C563ED"/>
    <w:rsid w:val="00C56A6E"/>
    <w:rsid w:val="00C573D9"/>
    <w:rsid w:val="00C574BC"/>
    <w:rsid w:val="00C61887"/>
    <w:rsid w:val="00C656D0"/>
    <w:rsid w:val="00C76577"/>
    <w:rsid w:val="00C80A12"/>
    <w:rsid w:val="00C86106"/>
    <w:rsid w:val="00C929E5"/>
    <w:rsid w:val="00C97528"/>
    <w:rsid w:val="00CA2204"/>
    <w:rsid w:val="00CB0B26"/>
    <w:rsid w:val="00CB4546"/>
    <w:rsid w:val="00CC0DE4"/>
    <w:rsid w:val="00CC14A7"/>
    <w:rsid w:val="00CD1A9B"/>
    <w:rsid w:val="00CD5FED"/>
    <w:rsid w:val="00CD620D"/>
    <w:rsid w:val="00CE382B"/>
    <w:rsid w:val="00CE3F32"/>
    <w:rsid w:val="00CE5042"/>
    <w:rsid w:val="00CF3B67"/>
    <w:rsid w:val="00D01601"/>
    <w:rsid w:val="00D10BB9"/>
    <w:rsid w:val="00D12C4F"/>
    <w:rsid w:val="00D164B4"/>
    <w:rsid w:val="00D16513"/>
    <w:rsid w:val="00D17190"/>
    <w:rsid w:val="00D21CE1"/>
    <w:rsid w:val="00D22D79"/>
    <w:rsid w:val="00D317E2"/>
    <w:rsid w:val="00D31F1C"/>
    <w:rsid w:val="00D31F97"/>
    <w:rsid w:val="00D35D5F"/>
    <w:rsid w:val="00D37A60"/>
    <w:rsid w:val="00D40906"/>
    <w:rsid w:val="00D4134D"/>
    <w:rsid w:val="00D43A8B"/>
    <w:rsid w:val="00D43E12"/>
    <w:rsid w:val="00D44162"/>
    <w:rsid w:val="00D44799"/>
    <w:rsid w:val="00D5074F"/>
    <w:rsid w:val="00D53098"/>
    <w:rsid w:val="00D54F5E"/>
    <w:rsid w:val="00D5542D"/>
    <w:rsid w:val="00D55963"/>
    <w:rsid w:val="00D5597D"/>
    <w:rsid w:val="00D61B13"/>
    <w:rsid w:val="00D7137B"/>
    <w:rsid w:val="00D7152C"/>
    <w:rsid w:val="00D7167F"/>
    <w:rsid w:val="00D7188F"/>
    <w:rsid w:val="00D72176"/>
    <w:rsid w:val="00D75058"/>
    <w:rsid w:val="00D7553B"/>
    <w:rsid w:val="00D75719"/>
    <w:rsid w:val="00D772D4"/>
    <w:rsid w:val="00D8399F"/>
    <w:rsid w:val="00D847F4"/>
    <w:rsid w:val="00D851B8"/>
    <w:rsid w:val="00D9108E"/>
    <w:rsid w:val="00D91499"/>
    <w:rsid w:val="00D91D54"/>
    <w:rsid w:val="00D92F59"/>
    <w:rsid w:val="00D943B4"/>
    <w:rsid w:val="00D96E5E"/>
    <w:rsid w:val="00DA1EAF"/>
    <w:rsid w:val="00DA5AE6"/>
    <w:rsid w:val="00DA7D50"/>
    <w:rsid w:val="00DB02B9"/>
    <w:rsid w:val="00DB4533"/>
    <w:rsid w:val="00DB66E7"/>
    <w:rsid w:val="00DB7EE2"/>
    <w:rsid w:val="00DC0296"/>
    <w:rsid w:val="00DC36F3"/>
    <w:rsid w:val="00DC3E16"/>
    <w:rsid w:val="00DC6A5D"/>
    <w:rsid w:val="00DD32B8"/>
    <w:rsid w:val="00DD468F"/>
    <w:rsid w:val="00DD49B2"/>
    <w:rsid w:val="00DD617B"/>
    <w:rsid w:val="00DE11AA"/>
    <w:rsid w:val="00DE42A4"/>
    <w:rsid w:val="00DF01FE"/>
    <w:rsid w:val="00DF2F54"/>
    <w:rsid w:val="00DF6E25"/>
    <w:rsid w:val="00E103A7"/>
    <w:rsid w:val="00E1105C"/>
    <w:rsid w:val="00E12610"/>
    <w:rsid w:val="00E1364A"/>
    <w:rsid w:val="00E13979"/>
    <w:rsid w:val="00E17836"/>
    <w:rsid w:val="00E25855"/>
    <w:rsid w:val="00E31997"/>
    <w:rsid w:val="00E339CA"/>
    <w:rsid w:val="00E33D6A"/>
    <w:rsid w:val="00E3409D"/>
    <w:rsid w:val="00E427DE"/>
    <w:rsid w:val="00E42AFD"/>
    <w:rsid w:val="00E45582"/>
    <w:rsid w:val="00E46AD6"/>
    <w:rsid w:val="00E53176"/>
    <w:rsid w:val="00E539C2"/>
    <w:rsid w:val="00E552F8"/>
    <w:rsid w:val="00E56DDF"/>
    <w:rsid w:val="00E6126D"/>
    <w:rsid w:val="00E6176F"/>
    <w:rsid w:val="00E65BB9"/>
    <w:rsid w:val="00E65F71"/>
    <w:rsid w:val="00E671F9"/>
    <w:rsid w:val="00E67770"/>
    <w:rsid w:val="00E67925"/>
    <w:rsid w:val="00E67AFA"/>
    <w:rsid w:val="00E71A89"/>
    <w:rsid w:val="00E7203D"/>
    <w:rsid w:val="00E72B83"/>
    <w:rsid w:val="00E73D4A"/>
    <w:rsid w:val="00E77B66"/>
    <w:rsid w:val="00E80BE2"/>
    <w:rsid w:val="00E83FFA"/>
    <w:rsid w:val="00E9046A"/>
    <w:rsid w:val="00E94B70"/>
    <w:rsid w:val="00E95742"/>
    <w:rsid w:val="00E96049"/>
    <w:rsid w:val="00EA278E"/>
    <w:rsid w:val="00EA289A"/>
    <w:rsid w:val="00EA4CA4"/>
    <w:rsid w:val="00EB1596"/>
    <w:rsid w:val="00EB1B49"/>
    <w:rsid w:val="00EB29FA"/>
    <w:rsid w:val="00EB5E42"/>
    <w:rsid w:val="00EB7972"/>
    <w:rsid w:val="00EC096A"/>
    <w:rsid w:val="00EC17B2"/>
    <w:rsid w:val="00ED1996"/>
    <w:rsid w:val="00ED3B36"/>
    <w:rsid w:val="00ED443D"/>
    <w:rsid w:val="00ED45C5"/>
    <w:rsid w:val="00ED6E93"/>
    <w:rsid w:val="00EE0B2E"/>
    <w:rsid w:val="00EE1FC5"/>
    <w:rsid w:val="00EE23AE"/>
    <w:rsid w:val="00EE36ED"/>
    <w:rsid w:val="00EE3709"/>
    <w:rsid w:val="00EE5C2D"/>
    <w:rsid w:val="00EE6785"/>
    <w:rsid w:val="00EF07A6"/>
    <w:rsid w:val="00EF2643"/>
    <w:rsid w:val="00EF302E"/>
    <w:rsid w:val="00EF7806"/>
    <w:rsid w:val="00EF7D77"/>
    <w:rsid w:val="00F12C7F"/>
    <w:rsid w:val="00F1671F"/>
    <w:rsid w:val="00F216A7"/>
    <w:rsid w:val="00F22EA3"/>
    <w:rsid w:val="00F25EB5"/>
    <w:rsid w:val="00F27F2F"/>
    <w:rsid w:val="00F31638"/>
    <w:rsid w:val="00F4559C"/>
    <w:rsid w:val="00F506C9"/>
    <w:rsid w:val="00F601CF"/>
    <w:rsid w:val="00F61F9C"/>
    <w:rsid w:val="00F668FA"/>
    <w:rsid w:val="00F66F10"/>
    <w:rsid w:val="00F6749F"/>
    <w:rsid w:val="00F72B05"/>
    <w:rsid w:val="00F736D5"/>
    <w:rsid w:val="00F833F0"/>
    <w:rsid w:val="00F840C9"/>
    <w:rsid w:val="00F85606"/>
    <w:rsid w:val="00F85E33"/>
    <w:rsid w:val="00F86A16"/>
    <w:rsid w:val="00F874B1"/>
    <w:rsid w:val="00F9137F"/>
    <w:rsid w:val="00F91F5F"/>
    <w:rsid w:val="00F93D4F"/>
    <w:rsid w:val="00FA0ACC"/>
    <w:rsid w:val="00FA0ADB"/>
    <w:rsid w:val="00FA255E"/>
    <w:rsid w:val="00FA4C7E"/>
    <w:rsid w:val="00FA4FE2"/>
    <w:rsid w:val="00FA6B24"/>
    <w:rsid w:val="00FA7B64"/>
    <w:rsid w:val="00FB35B8"/>
    <w:rsid w:val="00FB7D12"/>
    <w:rsid w:val="00FC1C1B"/>
    <w:rsid w:val="00FC4A25"/>
    <w:rsid w:val="00FC5A26"/>
    <w:rsid w:val="00FC7F96"/>
    <w:rsid w:val="00FD5264"/>
    <w:rsid w:val="00FE0585"/>
    <w:rsid w:val="00FE2A49"/>
    <w:rsid w:val="00FE4E04"/>
    <w:rsid w:val="00FF0BA4"/>
    <w:rsid w:val="00FF108C"/>
    <w:rsid w:val="00FF27EB"/>
    <w:rsid w:val="00FF5898"/>
    <w:rsid w:val="050D23D0"/>
    <w:rsid w:val="0C72313A"/>
    <w:rsid w:val="0DAB6D58"/>
    <w:rsid w:val="151D1CA7"/>
    <w:rsid w:val="17896898"/>
    <w:rsid w:val="1B565DE0"/>
    <w:rsid w:val="1D2B5119"/>
    <w:rsid w:val="2A306A96"/>
    <w:rsid w:val="2BC50B21"/>
    <w:rsid w:val="310D3A69"/>
    <w:rsid w:val="332C01A0"/>
    <w:rsid w:val="39781EF6"/>
    <w:rsid w:val="40CC51DB"/>
    <w:rsid w:val="41D1105C"/>
    <w:rsid w:val="47B265FF"/>
    <w:rsid w:val="48EC26FB"/>
    <w:rsid w:val="4B4D496B"/>
    <w:rsid w:val="5277199F"/>
    <w:rsid w:val="52C459A7"/>
    <w:rsid w:val="53ED7F2F"/>
    <w:rsid w:val="54392663"/>
    <w:rsid w:val="5D474438"/>
    <w:rsid w:val="65047C6C"/>
    <w:rsid w:val="6E2D5861"/>
    <w:rsid w:val="6F5B765B"/>
    <w:rsid w:val="72DB6382"/>
    <w:rsid w:val="75D10C86"/>
    <w:rsid w:val="75E71C60"/>
    <w:rsid w:val="76EE0D01"/>
    <w:rsid w:val="77DC2549"/>
    <w:rsid w:val="78594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723" w:firstLineChars="200"/>
      <w:jc w:val="left"/>
    </w:pPr>
    <w:rPr>
      <w:rFonts w:ascii="Times New Roman" w:hAnsi="Times New Roman" w:eastAsia="宋体" w:cs="Times New Roman"/>
      <w:kern w:val="2"/>
      <w:sz w:val="28"/>
      <w:szCs w:val="24"/>
      <w:lang w:val="en-US" w:eastAsia="zh-CN" w:bidi="ar-SA"/>
    </w:rPr>
  </w:style>
  <w:style w:type="paragraph" w:styleId="3">
    <w:name w:val="heading 1"/>
    <w:basedOn w:val="1"/>
    <w:next w:val="1"/>
    <w:qFormat/>
    <w:uiPriority w:val="0"/>
    <w:pPr>
      <w:keepNext/>
      <w:keepLines/>
      <w:spacing w:before="50" w:beforeLines="50" w:after="50" w:afterLines="50"/>
      <w:ind w:firstLine="0" w:firstLineChars="0"/>
      <w:jc w:val="center"/>
      <w:outlineLvl w:val="0"/>
    </w:pPr>
    <w:rPr>
      <w:b/>
      <w:bCs/>
      <w:kern w:val="44"/>
      <w:sz w:val="32"/>
      <w:szCs w:val="44"/>
    </w:rPr>
  </w:style>
  <w:style w:type="paragraph" w:styleId="4">
    <w:name w:val="heading 2"/>
    <w:basedOn w:val="1"/>
    <w:next w:val="1"/>
    <w:qFormat/>
    <w:uiPriority w:val="0"/>
    <w:pPr>
      <w:keepNext/>
      <w:spacing w:before="50" w:beforeLines="50" w:after="50" w:afterLines="50"/>
      <w:ind w:firstLine="723" w:firstLineChars="200"/>
      <w:jc w:val="center"/>
      <w:outlineLvl w:val="1"/>
    </w:pPr>
    <w:rPr>
      <w:rFonts w:ascii="宋体" w:hAnsi="宋体"/>
      <w:sz w:val="28"/>
      <w:szCs w:val="20"/>
    </w:rPr>
  </w:style>
  <w:style w:type="paragraph" w:styleId="5">
    <w:name w:val="heading 3"/>
    <w:basedOn w:val="1"/>
    <w:next w:val="1"/>
    <w:qFormat/>
    <w:uiPriority w:val="0"/>
    <w:pPr>
      <w:keepNext/>
      <w:adjustRightInd w:val="0"/>
      <w:snapToGrid w:val="0"/>
      <w:spacing w:line="300" w:lineRule="exact"/>
      <w:ind w:firstLine="0" w:firstLineChars="0"/>
      <w:jc w:val="center"/>
      <w:outlineLvl w:val="2"/>
    </w:pPr>
    <w:rPr>
      <w:rFonts w:hint="eastAsia" w:ascii="仿宋_GB2312" w:hAnsi="仿宋_GB2312"/>
      <w:sz w:val="21"/>
    </w:rPr>
  </w:style>
  <w:style w:type="paragraph" w:styleId="6">
    <w:name w:val="heading 4"/>
    <w:basedOn w:val="1"/>
    <w:next w:val="1"/>
    <w:qFormat/>
    <w:uiPriority w:val="0"/>
    <w:pPr>
      <w:keepNext/>
      <w:numPr>
        <w:ilvl w:val="2"/>
        <w:numId w:val="1"/>
      </w:numPr>
      <w:tabs>
        <w:tab w:val="left" w:pos="720"/>
        <w:tab w:val="clear" w:pos="2130"/>
      </w:tabs>
      <w:ind w:hanging="1950"/>
      <w:outlineLvl w:val="3"/>
    </w:pPr>
    <w:rPr>
      <w:sz w:val="28"/>
      <w:szCs w:val="20"/>
    </w:rPr>
  </w:style>
  <w:style w:type="paragraph" w:styleId="7">
    <w:name w:val="heading 5"/>
    <w:basedOn w:val="1"/>
    <w:next w:val="1"/>
    <w:link w:val="181"/>
    <w:qFormat/>
    <w:uiPriority w:val="0"/>
    <w:pPr>
      <w:keepNext/>
      <w:numPr>
        <w:ilvl w:val="0"/>
        <w:numId w:val="2"/>
      </w:numPr>
      <w:ind w:left="540" w:firstLine="180"/>
      <w:outlineLvl w:val="4"/>
    </w:pPr>
    <w:rPr>
      <w:rFonts w:ascii="宋体" w:hAnsi="宋体"/>
      <w:sz w:val="28"/>
      <w:szCs w:val="20"/>
    </w:rPr>
  </w:style>
  <w:style w:type="paragraph" w:styleId="8">
    <w:name w:val="heading 6"/>
    <w:basedOn w:val="1"/>
    <w:next w:val="9"/>
    <w:qFormat/>
    <w:uiPriority w:val="0"/>
    <w:pPr>
      <w:keepNext/>
      <w:numPr>
        <w:ilvl w:val="0"/>
        <w:numId w:val="3"/>
      </w:numPr>
      <w:spacing w:line="480" w:lineRule="auto"/>
      <w:outlineLvl w:val="5"/>
    </w:pPr>
    <w:rPr>
      <w:rFonts w:ascii="宋体" w:hAnsi="宋体"/>
      <w:sz w:val="28"/>
      <w:szCs w:val="20"/>
    </w:rPr>
  </w:style>
  <w:style w:type="paragraph" w:styleId="10">
    <w:name w:val="heading 7"/>
    <w:basedOn w:val="1"/>
    <w:next w:val="9"/>
    <w:qFormat/>
    <w:uiPriority w:val="0"/>
    <w:pPr>
      <w:keepNext/>
      <w:numPr>
        <w:ilvl w:val="0"/>
        <w:numId w:val="4"/>
      </w:numPr>
      <w:outlineLvl w:val="6"/>
    </w:pPr>
    <w:rPr>
      <w:rFonts w:ascii="宋体"/>
      <w:sz w:val="28"/>
      <w:szCs w:val="20"/>
    </w:rPr>
  </w:style>
  <w:style w:type="paragraph" w:styleId="11">
    <w:name w:val="heading 8"/>
    <w:basedOn w:val="1"/>
    <w:next w:val="1"/>
    <w:qFormat/>
    <w:uiPriority w:val="0"/>
    <w:pPr>
      <w:keepNext/>
      <w:numPr>
        <w:ilvl w:val="0"/>
        <w:numId w:val="5"/>
      </w:numPr>
      <w:spacing w:line="480" w:lineRule="auto"/>
      <w:jc w:val="center"/>
      <w:outlineLvl w:val="7"/>
    </w:pPr>
    <w:rPr>
      <w:rFonts w:ascii="宋体" w:hAnsi="宋体"/>
      <w:b/>
      <w:bCs/>
      <w:sz w:val="30"/>
    </w:rPr>
  </w:style>
  <w:style w:type="paragraph" w:styleId="12">
    <w:name w:val="heading 9"/>
    <w:basedOn w:val="1"/>
    <w:next w:val="1"/>
    <w:qFormat/>
    <w:uiPriority w:val="0"/>
    <w:pPr>
      <w:keepNext/>
      <w:outlineLvl w:val="8"/>
    </w:pPr>
    <w:rPr>
      <w:rFonts w:ascii="宋体" w:hAnsi="宋体"/>
      <w:color w:val="000000"/>
      <w:sz w:val="28"/>
    </w:rPr>
  </w:style>
  <w:style w:type="character" w:default="1" w:styleId="133">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9">
    <w:name w:val="Normal Indent"/>
    <w:basedOn w:val="1"/>
    <w:qFormat/>
    <w:uiPriority w:val="0"/>
    <w:pPr>
      <w:ind w:firstLine="420"/>
    </w:pPr>
    <w:rPr>
      <w:szCs w:val="20"/>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0"/>
    <w:pPr>
      <w:ind w:left="1260"/>
      <w:jc w:val="left"/>
    </w:pPr>
    <w:rPr>
      <w:sz w:val="18"/>
      <w:szCs w:val="18"/>
    </w:rPr>
  </w:style>
  <w:style w:type="paragraph" w:styleId="15">
    <w:name w:val="List Number 2"/>
    <w:basedOn w:val="1"/>
    <w:qFormat/>
    <w:uiPriority w:val="0"/>
    <w:pPr>
      <w:tabs>
        <w:tab w:val="left" w:pos="780"/>
      </w:tabs>
      <w:ind w:left="780" w:leftChars="200" w:hanging="360" w:hangingChars="200"/>
    </w:pPr>
  </w:style>
  <w:style w:type="paragraph" w:styleId="16">
    <w:name w:val="table of authorities"/>
    <w:basedOn w:val="1"/>
    <w:next w:val="1"/>
    <w:qFormat/>
    <w:uiPriority w:val="0"/>
    <w:pPr>
      <w:ind w:left="420" w:leftChars="200"/>
    </w:pPr>
  </w:style>
  <w:style w:type="paragraph" w:styleId="17">
    <w:name w:val="Note Heading"/>
    <w:basedOn w:val="1"/>
    <w:next w:val="1"/>
    <w:qFormat/>
    <w:uiPriority w:val="0"/>
    <w:pPr>
      <w:jc w:val="center"/>
    </w:pPr>
  </w:style>
  <w:style w:type="paragraph" w:styleId="18">
    <w:name w:val="List Bullet 4"/>
    <w:basedOn w:val="1"/>
    <w:qFormat/>
    <w:uiPriority w:val="0"/>
    <w:pPr>
      <w:numPr>
        <w:ilvl w:val="0"/>
        <w:numId w:val="6"/>
      </w:numPr>
    </w:pPr>
  </w:style>
  <w:style w:type="paragraph" w:styleId="19">
    <w:name w:val="index 8"/>
    <w:basedOn w:val="1"/>
    <w:next w:val="1"/>
    <w:qFormat/>
    <w:uiPriority w:val="0"/>
    <w:pPr>
      <w:ind w:left="1400" w:leftChars="1400"/>
    </w:pPr>
  </w:style>
  <w:style w:type="paragraph" w:styleId="20">
    <w:name w:val="E-mail Signature"/>
    <w:basedOn w:val="1"/>
    <w:qFormat/>
    <w:uiPriority w:val="0"/>
  </w:style>
  <w:style w:type="paragraph" w:styleId="21">
    <w:name w:val="List Number"/>
    <w:basedOn w:val="1"/>
    <w:qFormat/>
    <w:uiPriority w:val="0"/>
    <w:pPr>
      <w:tabs>
        <w:tab w:val="left" w:pos="360"/>
      </w:tabs>
      <w:ind w:left="360" w:hanging="360" w:hangingChars="200"/>
    </w:pPr>
  </w:style>
  <w:style w:type="paragraph" w:styleId="22">
    <w:name w:val="caption"/>
    <w:basedOn w:val="1"/>
    <w:next w:val="1"/>
    <w:qFormat/>
    <w:uiPriority w:val="0"/>
    <w:rPr>
      <w:rFonts w:ascii="Arial" w:hAnsi="Arial" w:eastAsia="黑体" w:cs="Arial"/>
      <w:sz w:val="20"/>
      <w:szCs w:val="20"/>
    </w:rPr>
  </w:style>
  <w:style w:type="paragraph" w:styleId="23">
    <w:name w:val="index 5"/>
    <w:basedOn w:val="1"/>
    <w:next w:val="1"/>
    <w:qFormat/>
    <w:uiPriority w:val="0"/>
    <w:pPr>
      <w:ind w:left="800" w:leftChars="800"/>
    </w:pPr>
  </w:style>
  <w:style w:type="paragraph" w:styleId="24">
    <w:name w:val="List Bullet"/>
    <w:basedOn w:val="1"/>
    <w:link w:val="182"/>
    <w:qFormat/>
    <w:uiPriority w:val="0"/>
    <w:pPr>
      <w:numPr>
        <w:ilvl w:val="0"/>
        <w:numId w:val="7"/>
      </w:numPr>
    </w:pPr>
  </w:style>
  <w:style w:type="paragraph" w:styleId="25">
    <w:name w:val="envelope address"/>
    <w:basedOn w:val="1"/>
    <w:qFormat/>
    <w:uiPriority w:val="0"/>
    <w:pPr>
      <w:framePr w:w="7920" w:h="1980" w:hRule="exact" w:hSpace="180" w:wrap="around" w:vAnchor="margin" w:hAnchor="page" w:xAlign="center" w:yAlign="bottom"/>
      <w:snapToGrid w:val="0"/>
      <w:ind w:left="100" w:leftChars="1400"/>
    </w:pPr>
    <w:rPr>
      <w:rFonts w:ascii="Arial" w:hAnsi="Arial" w:cs="Arial"/>
    </w:rPr>
  </w:style>
  <w:style w:type="paragraph" w:styleId="26">
    <w:name w:val="Document Map"/>
    <w:basedOn w:val="1"/>
    <w:semiHidden/>
    <w:qFormat/>
    <w:uiPriority w:val="0"/>
    <w:pPr>
      <w:shd w:val="clear" w:color="auto" w:fill="000080"/>
    </w:pPr>
  </w:style>
  <w:style w:type="paragraph" w:styleId="27">
    <w:name w:val="toa heading"/>
    <w:basedOn w:val="1"/>
    <w:next w:val="1"/>
    <w:qFormat/>
    <w:uiPriority w:val="0"/>
    <w:pPr>
      <w:spacing w:before="120"/>
    </w:pPr>
    <w:rPr>
      <w:rFonts w:ascii="Arial" w:hAnsi="Arial" w:cs="Arial"/>
    </w:rPr>
  </w:style>
  <w:style w:type="paragraph" w:styleId="28">
    <w:name w:val="annotation text"/>
    <w:basedOn w:val="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qFormat/>
    <w:uiPriority w:val="0"/>
  </w:style>
  <w:style w:type="paragraph" w:styleId="31">
    <w:name w:val="Body Text 3"/>
    <w:basedOn w:val="1"/>
    <w:qFormat/>
    <w:uiPriority w:val="0"/>
  </w:style>
  <w:style w:type="paragraph" w:styleId="32">
    <w:name w:val="Closing"/>
    <w:basedOn w:val="1"/>
    <w:qFormat/>
    <w:uiPriority w:val="0"/>
    <w:pPr>
      <w:ind w:left="100" w:leftChars="2100"/>
    </w:pPr>
  </w:style>
  <w:style w:type="paragraph" w:styleId="33">
    <w:name w:val="List Bullet 3"/>
    <w:basedOn w:val="1"/>
    <w:qFormat/>
    <w:uiPriority w:val="0"/>
    <w:pPr>
      <w:numPr>
        <w:ilvl w:val="0"/>
        <w:numId w:val="8"/>
      </w:numPr>
    </w:pPr>
  </w:style>
  <w:style w:type="paragraph" w:styleId="34">
    <w:name w:val="Body Text"/>
    <w:basedOn w:val="1"/>
    <w:link w:val="179"/>
    <w:qFormat/>
    <w:uiPriority w:val="0"/>
    <w:pPr>
      <w:spacing w:after="120"/>
    </w:pPr>
  </w:style>
  <w:style w:type="paragraph" w:styleId="35">
    <w:name w:val="Body Text Indent"/>
    <w:basedOn w:val="1"/>
    <w:link w:val="183"/>
    <w:qFormat/>
    <w:uiPriority w:val="0"/>
    <w:pPr>
      <w:spacing w:after="120"/>
      <w:ind w:left="420" w:leftChars="200"/>
    </w:pPr>
  </w:style>
  <w:style w:type="paragraph" w:styleId="36">
    <w:name w:val="List Number 3"/>
    <w:basedOn w:val="1"/>
    <w:qFormat/>
    <w:uiPriority w:val="0"/>
    <w:pPr>
      <w:tabs>
        <w:tab w:val="left" w:pos="1200"/>
      </w:tabs>
      <w:ind w:left="1200" w:leftChars="400" w:hanging="360" w:hangingChars="200"/>
    </w:pPr>
  </w:style>
  <w:style w:type="paragraph" w:styleId="37">
    <w:name w:val="List 2"/>
    <w:basedOn w:val="1"/>
    <w:qFormat/>
    <w:uiPriority w:val="0"/>
    <w:pPr>
      <w:numPr>
        <w:ilvl w:val="0"/>
        <w:numId w:val="9"/>
      </w:numPr>
      <w:tabs>
        <w:tab w:val="clear" w:pos="2040"/>
      </w:tabs>
      <w:ind w:left="840" w:hanging="420"/>
    </w:pPr>
    <w:rPr>
      <w:sz w:val="32"/>
      <w:szCs w:val="20"/>
    </w:rPr>
  </w:style>
  <w:style w:type="paragraph" w:styleId="38">
    <w:name w:val="List Continue"/>
    <w:basedOn w:val="1"/>
    <w:qFormat/>
    <w:uiPriority w:val="0"/>
    <w:pPr>
      <w:spacing w:after="120"/>
      <w:ind w:left="420" w:leftChars="200"/>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10"/>
      </w:numPr>
    </w:pPr>
  </w:style>
  <w:style w:type="paragraph" w:styleId="41">
    <w:name w:val="HTML Address"/>
    <w:basedOn w:val="1"/>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840"/>
      <w:jc w:val="left"/>
    </w:pPr>
    <w:rPr>
      <w:sz w:val="18"/>
      <w:szCs w:val="18"/>
    </w:rPr>
  </w:style>
  <w:style w:type="paragraph" w:styleId="44">
    <w:name w:val="toc 3"/>
    <w:basedOn w:val="1"/>
    <w:next w:val="1"/>
    <w:qFormat/>
    <w:uiPriority w:val="39"/>
    <w:pPr>
      <w:ind w:left="420"/>
      <w:jc w:val="left"/>
    </w:pPr>
    <w:rPr>
      <w:i/>
      <w:iCs/>
      <w:sz w:val="20"/>
      <w:szCs w:val="20"/>
    </w:rPr>
  </w:style>
  <w:style w:type="paragraph" w:styleId="45">
    <w:name w:val="Plain Text"/>
    <w:basedOn w:val="1"/>
    <w:link w:val="180"/>
    <w:qFormat/>
    <w:uiPriority w:val="99"/>
    <w:rPr>
      <w:rFonts w:ascii="宋体" w:hAnsi="Courier New"/>
      <w:szCs w:val="21"/>
    </w:rPr>
  </w:style>
  <w:style w:type="paragraph" w:styleId="46">
    <w:name w:val="List Bullet 5"/>
    <w:basedOn w:val="1"/>
    <w:qFormat/>
    <w:uiPriority w:val="0"/>
    <w:pPr>
      <w:numPr>
        <w:ilvl w:val="0"/>
        <w:numId w:val="11"/>
      </w:numPr>
    </w:pPr>
  </w:style>
  <w:style w:type="paragraph" w:styleId="47">
    <w:name w:val="List Number 4"/>
    <w:basedOn w:val="1"/>
    <w:qFormat/>
    <w:uiPriority w:val="0"/>
    <w:pPr>
      <w:tabs>
        <w:tab w:val="left" w:pos="1620"/>
      </w:tabs>
      <w:ind w:left="1620" w:leftChars="600" w:hanging="360" w:hangingChars="200"/>
    </w:pPr>
  </w:style>
  <w:style w:type="paragraph" w:styleId="48">
    <w:name w:val="toc 8"/>
    <w:basedOn w:val="1"/>
    <w:next w:val="1"/>
    <w:qFormat/>
    <w:uiPriority w:val="0"/>
    <w:pPr>
      <w:ind w:left="1470"/>
      <w:jc w:val="left"/>
    </w:pPr>
    <w:rPr>
      <w:sz w:val="18"/>
      <w:szCs w:val="18"/>
    </w:rPr>
  </w:style>
  <w:style w:type="paragraph" w:styleId="49">
    <w:name w:val="index 3"/>
    <w:basedOn w:val="1"/>
    <w:next w:val="1"/>
    <w:qFormat/>
    <w:uiPriority w:val="0"/>
    <w:pPr>
      <w:ind w:left="400" w:leftChars="400"/>
    </w:pPr>
  </w:style>
  <w:style w:type="paragraph" w:styleId="50">
    <w:name w:val="Date"/>
    <w:basedOn w:val="1"/>
    <w:next w:val="1"/>
    <w:qFormat/>
    <w:uiPriority w:val="0"/>
    <w:pPr>
      <w:ind w:left="100" w:leftChars="2500"/>
    </w:pPr>
    <w:rPr>
      <w:rFonts w:ascii="仿宋_GB2312" w:hAnsi="宋体" w:eastAsia="仿宋_GB2312"/>
      <w:sz w:val="36"/>
    </w:rPr>
  </w:style>
  <w:style w:type="paragraph" w:styleId="51">
    <w:name w:val="Body Text Indent 2"/>
    <w:basedOn w:val="1"/>
    <w:qFormat/>
    <w:uiPriority w:val="0"/>
    <w:pPr>
      <w:spacing w:after="120" w:line="480" w:lineRule="auto"/>
      <w:ind w:left="420" w:leftChars="200"/>
    </w:pPr>
  </w:style>
  <w:style w:type="paragraph" w:styleId="52">
    <w:name w:val="endnote text"/>
    <w:basedOn w:val="1"/>
    <w:qFormat/>
    <w:uiPriority w:val="0"/>
    <w:pPr>
      <w:snapToGrid w:val="0"/>
      <w:jc w:val="left"/>
    </w:pPr>
  </w:style>
  <w:style w:type="paragraph" w:styleId="53">
    <w:name w:val="List Continue 5"/>
    <w:basedOn w:val="1"/>
    <w:qFormat/>
    <w:uiPriority w:val="0"/>
    <w:pPr>
      <w:spacing w:after="120"/>
      <w:ind w:left="2100" w:leftChars="1000"/>
    </w:pPr>
  </w:style>
  <w:style w:type="paragraph" w:styleId="54">
    <w:name w:val="Balloon Text"/>
    <w:basedOn w:val="1"/>
    <w:semiHidden/>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szCs w:val="18"/>
    </w:rPr>
  </w:style>
  <w:style w:type="paragraph" w:styleId="56">
    <w:name w:val="envelope return"/>
    <w:basedOn w:val="1"/>
    <w:qFormat/>
    <w:uiPriority w:val="0"/>
    <w:pPr>
      <w:snapToGrid w:val="0"/>
    </w:pPr>
    <w:rPr>
      <w:rFonts w:ascii="Arial" w:hAnsi="Arial" w:cs="Arial"/>
    </w:rPr>
  </w:style>
  <w:style w:type="paragraph" w:styleId="5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8">
    <w:name w:val="Signature"/>
    <w:basedOn w:val="1"/>
    <w:qFormat/>
    <w:uiPriority w:val="0"/>
    <w:pPr>
      <w:ind w:left="100" w:leftChars="2100"/>
    </w:pPr>
  </w:style>
  <w:style w:type="paragraph" w:styleId="59">
    <w:name w:val="toc 1"/>
    <w:basedOn w:val="1"/>
    <w:next w:val="1"/>
    <w:qFormat/>
    <w:uiPriority w:val="39"/>
    <w:pPr>
      <w:spacing w:before="120" w:after="120"/>
      <w:jc w:val="left"/>
    </w:pPr>
    <w:rPr>
      <w:b/>
      <w:bCs/>
      <w:caps/>
      <w:sz w:val="20"/>
      <w:szCs w:val="20"/>
    </w:rPr>
  </w:style>
  <w:style w:type="paragraph" w:styleId="60">
    <w:name w:val="List Continue 4"/>
    <w:basedOn w:val="1"/>
    <w:qFormat/>
    <w:uiPriority w:val="0"/>
    <w:pPr>
      <w:spacing w:after="120"/>
      <w:ind w:left="1680" w:leftChars="800"/>
    </w:pPr>
  </w:style>
  <w:style w:type="paragraph" w:styleId="61">
    <w:name w:val="toc 4"/>
    <w:basedOn w:val="1"/>
    <w:next w:val="1"/>
    <w:qFormat/>
    <w:uiPriority w:val="0"/>
    <w:pPr>
      <w:ind w:left="630"/>
      <w:jc w:val="left"/>
    </w:pPr>
    <w:rPr>
      <w:sz w:val="18"/>
      <w:szCs w:val="18"/>
    </w:rPr>
  </w:style>
  <w:style w:type="paragraph" w:styleId="62">
    <w:name w:val="index heading"/>
    <w:basedOn w:val="1"/>
    <w:next w:val="63"/>
    <w:qFormat/>
    <w:uiPriority w:val="0"/>
    <w:rPr>
      <w:rFonts w:ascii="Arial" w:hAnsi="Arial" w:cs="Arial"/>
      <w:b/>
      <w:bCs/>
    </w:rPr>
  </w:style>
  <w:style w:type="paragraph" w:styleId="63">
    <w:name w:val="index 1"/>
    <w:basedOn w:val="1"/>
    <w:next w:val="1"/>
    <w:qFormat/>
    <w:uiPriority w:val="0"/>
  </w:style>
  <w:style w:type="paragraph" w:styleId="64">
    <w:name w:val="Subtitle"/>
    <w:basedOn w:val="1"/>
    <w:qFormat/>
    <w:uiPriority w:val="0"/>
    <w:pPr>
      <w:spacing w:before="240" w:after="60" w:line="312" w:lineRule="auto"/>
      <w:jc w:val="center"/>
      <w:outlineLvl w:val="1"/>
    </w:pPr>
    <w:rPr>
      <w:rFonts w:ascii="Arial" w:hAnsi="Arial" w:cs="Arial"/>
      <w:b/>
      <w:bCs/>
      <w:kern w:val="28"/>
      <w:sz w:val="32"/>
      <w:szCs w:val="32"/>
    </w:rPr>
  </w:style>
  <w:style w:type="paragraph" w:styleId="65">
    <w:name w:val="List Number 5"/>
    <w:basedOn w:val="1"/>
    <w:qFormat/>
    <w:uiPriority w:val="0"/>
    <w:pPr>
      <w:numPr>
        <w:ilvl w:val="0"/>
        <w:numId w:val="12"/>
      </w:numPr>
    </w:pPr>
  </w:style>
  <w:style w:type="paragraph" w:styleId="66">
    <w:name w:val="List"/>
    <w:basedOn w:val="1"/>
    <w:qFormat/>
    <w:uiPriority w:val="0"/>
    <w:pPr>
      <w:ind w:left="200" w:hanging="200" w:hangingChars="200"/>
    </w:pPr>
  </w:style>
  <w:style w:type="paragraph" w:styleId="67">
    <w:name w:val="footnote text"/>
    <w:basedOn w:val="1"/>
    <w:qFormat/>
    <w:uiPriority w:val="0"/>
    <w:pPr>
      <w:snapToGrid w:val="0"/>
      <w:jc w:val="left"/>
    </w:pPr>
    <w:rPr>
      <w:sz w:val="18"/>
      <w:szCs w:val="18"/>
    </w:rPr>
  </w:style>
  <w:style w:type="paragraph" w:styleId="68">
    <w:name w:val="toc 6"/>
    <w:basedOn w:val="1"/>
    <w:next w:val="1"/>
    <w:qFormat/>
    <w:uiPriority w:val="0"/>
    <w:pPr>
      <w:ind w:left="1050"/>
      <w:jc w:val="left"/>
    </w:pPr>
    <w:rPr>
      <w:sz w:val="18"/>
      <w:szCs w:val="18"/>
    </w:rPr>
  </w:style>
  <w:style w:type="paragraph" w:styleId="69">
    <w:name w:val="List 5"/>
    <w:basedOn w:val="1"/>
    <w:qFormat/>
    <w:uiPriority w:val="0"/>
    <w:pPr>
      <w:ind w:left="100" w:leftChars="800" w:hanging="200" w:hangingChars="200"/>
    </w:pPr>
  </w:style>
  <w:style w:type="paragraph" w:styleId="70">
    <w:name w:val="Body Text Indent 3"/>
    <w:basedOn w:val="1"/>
    <w:qFormat/>
    <w:uiPriority w:val="0"/>
    <w:pPr>
      <w:spacing w:line="360" w:lineRule="auto"/>
      <w:ind w:left="372" w:leftChars="133" w:firstLine="524" w:firstLineChars="187"/>
    </w:pPr>
    <w:rPr>
      <w:sz w:val="28"/>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210"/>
      <w:jc w:val="left"/>
    </w:pPr>
    <w:rPr>
      <w:smallCaps/>
      <w:sz w:val="20"/>
      <w:szCs w:val="20"/>
    </w:rPr>
  </w:style>
  <w:style w:type="paragraph" w:styleId="75">
    <w:name w:val="toc 9"/>
    <w:basedOn w:val="1"/>
    <w:next w:val="1"/>
    <w:qFormat/>
    <w:uiPriority w:val="0"/>
    <w:pPr>
      <w:ind w:left="1680"/>
      <w:jc w:val="left"/>
    </w:pPr>
    <w:rPr>
      <w:sz w:val="18"/>
      <w:szCs w:val="18"/>
    </w:rPr>
  </w:style>
  <w:style w:type="paragraph" w:styleId="76">
    <w:name w:val="Body Text 2"/>
    <w:basedOn w:val="1"/>
    <w:qFormat/>
    <w:uiPriority w:val="0"/>
    <w:rPr>
      <w:sz w:val="28"/>
    </w:rPr>
  </w:style>
  <w:style w:type="paragraph" w:styleId="77">
    <w:name w:val="List 4"/>
    <w:basedOn w:val="1"/>
    <w:qFormat/>
    <w:uiPriority w:val="0"/>
    <w:pPr>
      <w:ind w:left="100" w:leftChars="600" w:hanging="200" w:hangingChars="200"/>
    </w:pPr>
  </w:style>
  <w:style w:type="paragraph" w:styleId="78">
    <w:name w:val="List Continue 2"/>
    <w:basedOn w:val="1"/>
    <w:qFormat/>
    <w:uiPriority w:val="0"/>
    <w:pPr>
      <w:spacing w:after="120"/>
      <w:ind w:left="840" w:leftChars="400"/>
    </w:pPr>
  </w:style>
  <w:style w:type="paragraph" w:styleId="7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rPr>
  </w:style>
  <w:style w:type="paragraph" w:styleId="80">
    <w:name w:val="HTML Preformatted"/>
    <w:basedOn w:val="1"/>
    <w:qFormat/>
    <w:uiPriority w:val="0"/>
    <w:rPr>
      <w:rFonts w:ascii="Courier New" w:hAnsi="Courier New" w:cs="Courier New"/>
      <w:sz w:val="20"/>
      <w:szCs w:val="20"/>
    </w:rPr>
  </w:style>
  <w:style w:type="paragraph" w:styleId="81">
    <w:name w:val="Normal (Web)"/>
    <w:basedOn w:val="1"/>
    <w:link w:val="184"/>
    <w:qFormat/>
    <w:uiPriority w:val="99"/>
  </w:style>
  <w:style w:type="paragraph" w:styleId="82">
    <w:name w:val="List Continue 3"/>
    <w:basedOn w:val="1"/>
    <w:qFormat/>
    <w:uiPriority w:val="0"/>
    <w:pPr>
      <w:spacing w:after="120"/>
      <w:ind w:left="1260" w:leftChars="600"/>
    </w:pPr>
  </w:style>
  <w:style w:type="paragraph" w:styleId="83">
    <w:name w:val="index 2"/>
    <w:basedOn w:val="1"/>
    <w:next w:val="1"/>
    <w:qFormat/>
    <w:uiPriority w:val="0"/>
    <w:pPr>
      <w:ind w:left="200" w:leftChars="200"/>
    </w:pPr>
  </w:style>
  <w:style w:type="paragraph" w:styleId="84">
    <w:name w:val="Title"/>
    <w:basedOn w:val="1"/>
    <w:link w:val="187"/>
    <w:qFormat/>
    <w:uiPriority w:val="0"/>
    <w:pPr>
      <w:spacing w:before="240" w:after="60"/>
      <w:jc w:val="center"/>
      <w:outlineLvl w:val="0"/>
    </w:pPr>
    <w:rPr>
      <w:rFonts w:ascii="Arial" w:hAnsi="Arial" w:cs="Arial"/>
      <w:b/>
      <w:bCs/>
      <w:sz w:val="32"/>
      <w:szCs w:val="32"/>
    </w:rPr>
  </w:style>
  <w:style w:type="paragraph" w:styleId="85">
    <w:name w:val="annotation subject"/>
    <w:basedOn w:val="28"/>
    <w:next w:val="28"/>
    <w:qFormat/>
    <w:uiPriority w:val="0"/>
    <w:rPr>
      <w:b/>
      <w:bCs/>
    </w:rPr>
  </w:style>
  <w:style w:type="paragraph" w:styleId="86">
    <w:name w:val="Body Text First Indent"/>
    <w:basedOn w:val="34"/>
    <w:qFormat/>
    <w:uiPriority w:val="0"/>
    <w:pPr>
      <w:ind w:firstLine="420" w:firstLineChars="100"/>
    </w:pPr>
  </w:style>
  <w:style w:type="paragraph" w:styleId="87">
    <w:name w:val="Body Text First Indent 2"/>
    <w:basedOn w:val="35"/>
    <w:qFormat/>
    <w:uiPriority w:val="0"/>
    <w:pPr>
      <w:ind w:firstLine="420"/>
    </w:pPr>
  </w:style>
  <w:style w:type="table" w:styleId="89">
    <w:name w:val="Table Grid"/>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2">
    <w:name w:val="Table Colorful 2"/>
    <w:basedOn w:val="88"/>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3">
    <w:name w:val="Table Colorful 3"/>
    <w:basedOn w:val="88"/>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4">
    <w:name w:val="Table Elegant"/>
    <w:basedOn w:val="8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5">
    <w:name w:val="Table Classic 1"/>
    <w:basedOn w:val="88"/>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6">
    <w:name w:val="Table Classic 2"/>
    <w:basedOn w:val="88"/>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7">
    <w:name w:val="Table Classic 3"/>
    <w:basedOn w:val="88"/>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8">
    <w:name w:val="Table Classic 4"/>
    <w:basedOn w:val="88"/>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9">
    <w:name w:val="Table Simple 1"/>
    <w:basedOn w:val="88"/>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00">
    <w:name w:val="Table Simple 2"/>
    <w:basedOn w:val="88"/>
    <w:qFormat/>
    <w:uiPriority w:val="0"/>
    <w:pPr>
      <w:widowControl w:val="0"/>
      <w:jc w:val="both"/>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1">
    <w:name w:val="Table Simple 3"/>
    <w:basedOn w:val="88"/>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02">
    <w:name w:val="Table Subtle 1"/>
    <w:basedOn w:val="88"/>
    <w:qFormat/>
    <w:uiPriority w:val="0"/>
    <w:pPr>
      <w:widowControl w:val="0"/>
      <w:jc w:val="both"/>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3">
    <w:name w:val="Table Subtle 2"/>
    <w:basedOn w:val="88"/>
    <w:qFormat/>
    <w:uiPriority w:val="0"/>
    <w:pPr>
      <w:widowControl w:val="0"/>
      <w:jc w:val="both"/>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4">
    <w:name w:val="Table 3D effects 1"/>
    <w:basedOn w:val="88"/>
    <w:qFormat/>
    <w:uiPriority w:val="0"/>
    <w:pPr>
      <w:widowControl w:val="0"/>
      <w:jc w:val="both"/>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5">
    <w:name w:val="Table 3D effects 2"/>
    <w:basedOn w:val="88"/>
    <w:qFormat/>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3D effects 3"/>
    <w:basedOn w:val="88"/>
    <w:qFormat/>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List 1"/>
    <w:basedOn w:val="88"/>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8">
    <w:name w:val="Table List 2"/>
    <w:basedOn w:val="88"/>
    <w:qFormat/>
    <w:uiPriority w:val="0"/>
    <w:pPr>
      <w:widowControl w:val="0"/>
      <w:jc w:val="both"/>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9">
    <w:name w:val="Table List 3"/>
    <w:basedOn w:val="88"/>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10">
    <w:name w:val="Table List 4"/>
    <w:basedOn w:val="88"/>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11">
    <w:name w:val="Table List 5"/>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2">
    <w:name w:val="Table List 6"/>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List 7"/>
    <w:basedOn w:val="88"/>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14">
    <w:name w:val="Table List 8"/>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5">
    <w:name w:val="Table Contemporary"/>
    <w:basedOn w:val="88"/>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6">
    <w:name w:val="Table Columns 1"/>
    <w:basedOn w:val="88"/>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7">
    <w:name w:val="Table Columns 2"/>
    <w:basedOn w:val="88"/>
    <w:qFormat/>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8">
    <w:name w:val="Table Columns 3"/>
    <w:basedOn w:val="88"/>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19">
    <w:name w:val="Table Columns 4"/>
    <w:basedOn w:val="88"/>
    <w:qFormat/>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2">
    <w:name w:val="Table Grid 2"/>
    <w:basedOn w:val="88"/>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3">
    <w:name w:val="Table Grid 3"/>
    <w:basedOn w:val="88"/>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4">
    <w:name w:val="Table Grid 4"/>
    <w:basedOn w:val="88"/>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5">
    <w:name w:val="Table Grid 5"/>
    <w:basedOn w:val="88"/>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6">
    <w:name w:val="Table Grid 6"/>
    <w:basedOn w:val="88"/>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7">
    <w:name w:val="Table Grid 7"/>
    <w:basedOn w:val="88"/>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8">
    <w:name w:val="Table Grid 8"/>
    <w:basedOn w:val="88"/>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9">
    <w:name w:val="Table Web 1"/>
    <w:basedOn w:val="88"/>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Web 2"/>
    <w:basedOn w:val="88"/>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1">
    <w:name w:val="Table Web 3"/>
    <w:basedOn w:val="88"/>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2">
    <w:name w:val="Table Professional"/>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34">
    <w:name w:val="Strong"/>
    <w:qFormat/>
    <w:uiPriority w:val="0"/>
    <w:rPr>
      <w:b/>
      <w:bCs/>
    </w:rPr>
  </w:style>
  <w:style w:type="character" w:styleId="135">
    <w:name w:val="endnote reference"/>
    <w:uiPriority w:val="0"/>
    <w:rPr>
      <w:vertAlign w:val="superscript"/>
    </w:rPr>
  </w:style>
  <w:style w:type="character" w:styleId="136">
    <w:name w:val="page number"/>
    <w:basedOn w:val="133"/>
    <w:uiPriority w:val="0"/>
  </w:style>
  <w:style w:type="character" w:styleId="137">
    <w:name w:val="FollowedHyperlink"/>
    <w:uiPriority w:val="0"/>
    <w:rPr>
      <w:color w:val="800080"/>
      <w:u w:val="single"/>
    </w:rPr>
  </w:style>
  <w:style w:type="character" w:styleId="138">
    <w:name w:val="Emphasis"/>
    <w:qFormat/>
    <w:uiPriority w:val="0"/>
    <w:rPr>
      <w:i/>
      <w:iCs/>
    </w:rPr>
  </w:style>
  <w:style w:type="character" w:styleId="139">
    <w:name w:val="line number"/>
    <w:basedOn w:val="133"/>
    <w:qFormat/>
    <w:uiPriority w:val="0"/>
  </w:style>
  <w:style w:type="character" w:styleId="140">
    <w:name w:val="HTML Definition"/>
    <w:qFormat/>
    <w:uiPriority w:val="0"/>
    <w:rPr>
      <w:i/>
      <w:iCs/>
    </w:rPr>
  </w:style>
  <w:style w:type="character" w:styleId="141">
    <w:name w:val="HTML Typewriter"/>
    <w:qFormat/>
    <w:uiPriority w:val="0"/>
    <w:rPr>
      <w:rFonts w:ascii="Courier New" w:hAnsi="Courier New" w:cs="Courier New"/>
      <w:sz w:val="20"/>
      <w:szCs w:val="20"/>
    </w:rPr>
  </w:style>
  <w:style w:type="character" w:styleId="142">
    <w:name w:val="HTML Acronym"/>
    <w:basedOn w:val="133"/>
    <w:qFormat/>
    <w:uiPriority w:val="0"/>
  </w:style>
  <w:style w:type="character" w:styleId="143">
    <w:name w:val="HTML Variable"/>
    <w:qFormat/>
    <w:uiPriority w:val="0"/>
    <w:rPr>
      <w:i/>
      <w:iCs/>
    </w:rPr>
  </w:style>
  <w:style w:type="character" w:styleId="144">
    <w:name w:val="Hyperlink"/>
    <w:qFormat/>
    <w:uiPriority w:val="99"/>
    <w:rPr>
      <w:color w:val="0000FF"/>
      <w:u w:val="single"/>
    </w:rPr>
  </w:style>
  <w:style w:type="character" w:styleId="145">
    <w:name w:val="HTML Code"/>
    <w:qFormat/>
    <w:uiPriority w:val="0"/>
    <w:rPr>
      <w:rFonts w:ascii="Courier New" w:hAnsi="Courier New" w:cs="Courier New"/>
      <w:sz w:val="20"/>
      <w:szCs w:val="20"/>
    </w:rPr>
  </w:style>
  <w:style w:type="character" w:styleId="146">
    <w:name w:val="annotation reference"/>
    <w:qFormat/>
    <w:uiPriority w:val="0"/>
    <w:rPr>
      <w:sz w:val="21"/>
      <w:szCs w:val="21"/>
    </w:rPr>
  </w:style>
  <w:style w:type="character" w:styleId="147">
    <w:name w:val="HTML Cite"/>
    <w:qFormat/>
    <w:uiPriority w:val="0"/>
    <w:rPr>
      <w:i/>
      <w:iCs/>
    </w:rPr>
  </w:style>
  <w:style w:type="character" w:styleId="148">
    <w:name w:val="footnote reference"/>
    <w:qFormat/>
    <w:uiPriority w:val="0"/>
    <w:rPr>
      <w:vertAlign w:val="superscript"/>
    </w:rPr>
  </w:style>
  <w:style w:type="character" w:styleId="149">
    <w:name w:val="HTML Keyboard"/>
    <w:qFormat/>
    <w:uiPriority w:val="0"/>
    <w:rPr>
      <w:rFonts w:ascii="Courier New" w:hAnsi="Courier New" w:cs="Courier New"/>
      <w:sz w:val="20"/>
      <w:szCs w:val="20"/>
    </w:rPr>
  </w:style>
  <w:style w:type="character" w:styleId="150">
    <w:name w:val="HTML Sample"/>
    <w:qFormat/>
    <w:uiPriority w:val="0"/>
    <w:rPr>
      <w:rFonts w:ascii="Courier New" w:hAnsi="Courier New" w:cs="Courier New"/>
    </w:rPr>
  </w:style>
  <w:style w:type="paragraph" w:customStyle="1" w:styleId="151">
    <w:name w:val="Char Char Char Char Char Char Char"/>
    <w:basedOn w:val="1"/>
    <w:qFormat/>
    <w:uiPriority w:val="0"/>
    <w:pPr>
      <w:widowControl/>
      <w:spacing w:after="160" w:line="240" w:lineRule="exact"/>
      <w:jc w:val="left"/>
    </w:pPr>
    <w:rPr>
      <w:rFonts w:ascii="Arial" w:hAnsi="Arial" w:eastAsia="Times New Roman" w:cs="Verdana"/>
      <w:b/>
      <w:kern w:val="0"/>
      <w:lang w:eastAsia="en-US"/>
    </w:rPr>
  </w:style>
  <w:style w:type="paragraph" w:customStyle="1" w:styleId="152">
    <w:name w:val="表格"/>
    <w:basedOn w:val="1"/>
    <w:next w:val="1"/>
    <w:uiPriority w:val="0"/>
    <w:pPr>
      <w:widowControl/>
      <w:adjustRightInd w:val="0"/>
      <w:snapToGrid w:val="0"/>
      <w:jc w:val="center"/>
    </w:pPr>
    <w:rPr>
      <w:rFonts w:ascii="华文中宋" w:hAnsi="华文中宋" w:eastAsia="华文中宋" w:cs="华文中宋"/>
      <w:b/>
      <w:bCs/>
      <w:kern w:val="0"/>
    </w:rPr>
  </w:style>
  <w:style w:type="paragraph" w:customStyle="1" w:styleId="153">
    <w:name w:val="正文缩进二"/>
    <w:basedOn w:val="9"/>
    <w:qFormat/>
    <w:uiPriority w:val="0"/>
    <w:pPr>
      <w:snapToGrid w:val="0"/>
      <w:spacing w:line="360" w:lineRule="auto"/>
      <w:ind w:firstLine="567"/>
    </w:pPr>
    <w:rPr>
      <w:sz w:val="32"/>
    </w:rPr>
  </w:style>
  <w:style w:type="paragraph" w:customStyle="1" w:styleId="154">
    <w:name w:val="Default"/>
    <w:qFormat/>
    <w:uiPriority w:val="0"/>
    <w:pPr>
      <w:widowControl w:val="0"/>
      <w:autoSpaceDE w:val="0"/>
      <w:autoSpaceDN w:val="0"/>
      <w:adjustRightInd w:val="0"/>
    </w:pPr>
    <w:rPr>
      <w:rFonts w:ascii="华文行楷" w:hAnsi="Times New Roman" w:eastAsia="华文行楷" w:cs="华文行楷"/>
      <w:color w:val="000000"/>
      <w:sz w:val="24"/>
      <w:szCs w:val="24"/>
      <w:lang w:val="en-US" w:eastAsia="zh-CN" w:bidi="ar-SA"/>
    </w:rPr>
  </w:style>
  <w:style w:type="paragraph" w:customStyle="1" w:styleId="155">
    <w:name w:val="表格中文字"/>
    <w:basedOn w:val="1"/>
    <w:qFormat/>
    <w:uiPriority w:val="0"/>
    <w:pPr>
      <w:jc w:val="center"/>
    </w:pPr>
    <w:rPr>
      <w:rFonts w:ascii="仿宋_GB2312" w:eastAsia="仿宋_GB2312"/>
    </w:rPr>
  </w:style>
  <w:style w:type="paragraph" w:customStyle="1" w:styleId="156">
    <w:name w:val="Char Char Char Char Char Char"/>
    <w:basedOn w:val="1"/>
    <w:qFormat/>
    <w:uiPriority w:val="0"/>
  </w:style>
  <w:style w:type="paragraph" w:customStyle="1" w:styleId="157">
    <w:name w:val="xl25"/>
    <w:basedOn w:val="1"/>
    <w:qFormat/>
    <w:uiPriority w:val="0"/>
    <w:pPr>
      <w:widowControl/>
      <w:spacing w:before="100" w:beforeAutospacing="1" w:after="100" w:afterAutospacing="1"/>
      <w:jc w:val="center"/>
    </w:pPr>
    <w:rPr>
      <w:rFonts w:ascii="宋体" w:hAnsi="宋体"/>
      <w:b/>
      <w:bCs/>
      <w:kern w:val="0"/>
      <w:sz w:val="32"/>
      <w:szCs w:val="32"/>
    </w:rPr>
  </w:style>
  <w:style w:type="paragraph" w:customStyle="1" w:styleId="158">
    <w:name w:val="人保3级bt"/>
    <w:basedOn w:val="1"/>
    <w:qFormat/>
    <w:uiPriority w:val="0"/>
    <w:pPr>
      <w:overflowPunct w:val="0"/>
      <w:spacing w:line="360" w:lineRule="auto"/>
      <w:jc w:val="left"/>
      <w:outlineLvl w:val="2"/>
    </w:pPr>
    <w:rPr>
      <w:rFonts w:ascii="宋体" w:hAnsi="宋体"/>
      <w:b/>
      <w:color w:val="000000"/>
      <w:kern w:val="0"/>
      <w:szCs w:val="20"/>
    </w:rPr>
  </w:style>
  <w:style w:type="paragraph" w:customStyle="1" w:styleId="159">
    <w:name w:val="Char Char Char Char Char Char Char1"/>
    <w:basedOn w:val="1"/>
    <w:qFormat/>
    <w:uiPriority w:val="0"/>
    <w:rPr>
      <w:rFonts w:ascii="仿宋_GB2312" w:eastAsia="仿宋_GB2312"/>
      <w:b/>
      <w:sz w:val="32"/>
      <w:szCs w:val="32"/>
    </w:rPr>
  </w:style>
  <w:style w:type="paragraph" w:customStyle="1" w:styleId="160">
    <w:name w:val="0"/>
    <w:basedOn w:val="1"/>
    <w:qFormat/>
    <w:uiPriority w:val="0"/>
    <w:pPr>
      <w:widowControl/>
    </w:pPr>
    <w:rPr>
      <w:kern w:val="0"/>
      <w:szCs w:val="21"/>
    </w:rPr>
  </w:style>
  <w:style w:type="paragraph" w:styleId="161">
    <w:name w:val="No Spacing"/>
    <w:qFormat/>
    <w:uiPriority w:val="1"/>
    <w:pPr>
      <w:widowControl w:val="0"/>
      <w:spacing w:line="300" w:lineRule="auto"/>
      <w:jc w:val="both"/>
    </w:pPr>
    <w:rPr>
      <w:rFonts w:ascii="Times New Roman" w:hAnsi="Times New Roman" w:eastAsia="宋体" w:cs="Times New Roman"/>
      <w:kern w:val="2"/>
      <w:sz w:val="21"/>
      <w:szCs w:val="22"/>
      <w:lang w:val="en-US" w:eastAsia="zh-CN" w:bidi="ar-SA"/>
    </w:rPr>
  </w:style>
  <w:style w:type="paragraph" w:customStyle="1" w:styleId="162">
    <w:name w:val="表格内容"/>
    <w:basedOn w:val="1"/>
    <w:next w:val="1"/>
    <w:link w:val="178"/>
    <w:uiPriority w:val="0"/>
    <w:pPr>
      <w:spacing w:line="360" w:lineRule="auto"/>
      <w:jc w:val="center"/>
    </w:pPr>
    <w:rPr>
      <w:rFonts w:ascii="宋体" w:hAnsi="宋体"/>
      <w:kern w:val="0"/>
      <w:szCs w:val="20"/>
    </w:rPr>
  </w:style>
  <w:style w:type="paragraph" w:customStyle="1" w:styleId="163">
    <w:name w:val="人保表格正文"/>
    <w:basedOn w:val="1"/>
    <w:qFormat/>
    <w:uiPriority w:val="0"/>
    <w:pPr>
      <w:overflowPunct w:val="0"/>
      <w:spacing w:line="360" w:lineRule="auto"/>
      <w:jc w:val="left"/>
    </w:pPr>
    <w:rPr>
      <w:rFonts w:ascii="宋体" w:hAnsi="宋体"/>
      <w:kern w:val="28"/>
    </w:rPr>
  </w:style>
  <w:style w:type="paragraph" w:customStyle="1" w:styleId="164">
    <w:name w:val="人保表格文字样式"/>
    <w:basedOn w:val="1"/>
    <w:qFormat/>
    <w:uiPriority w:val="0"/>
    <w:pPr>
      <w:overflowPunct w:val="0"/>
      <w:topLinePunct/>
      <w:spacing w:line="360" w:lineRule="auto"/>
      <w:jc w:val="left"/>
    </w:pPr>
    <w:rPr>
      <w:rFonts w:ascii="宋体" w:hAnsi="宋体" w:cs="宋体"/>
      <w:kern w:val="28"/>
      <w:szCs w:val="20"/>
    </w:rPr>
  </w:style>
  <w:style w:type="paragraph" w:customStyle="1" w:styleId="165">
    <w:name w:val="WPS Plain"/>
    <w:qFormat/>
    <w:uiPriority w:val="0"/>
    <w:rPr>
      <w:rFonts w:ascii="Times New Roman" w:hAnsi="Times New Roman" w:eastAsia="宋体" w:cs="Times New Roman"/>
      <w:lang w:val="en-US" w:eastAsia="zh-CN" w:bidi="ar-SA"/>
    </w:rPr>
  </w:style>
  <w:style w:type="paragraph" w:customStyle="1" w:styleId="166">
    <w:name w:val="表格及流程图内容"/>
    <w:basedOn w:val="1"/>
    <w:qFormat/>
    <w:uiPriority w:val="0"/>
    <w:pPr>
      <w:snapToGrid w:val="0"/>
      <w:jc w:val="center"/>
    </w:pPr>
    <w:rPr>
      <w:rFonts w:eastAsia="华文中宋"/>
      <w:kern w:val="24"/>
    </w:rPr>
  </w:style>
  <w:style w:type="paragraph" w:customStyle="1" w:styleId="167">
    <w:name w:val="样式 样式 仿宋_GB2312 黑色 左 + 左侧:  4 字符"/>
    <w:basedOn w:val="1"/>
    <w:qFormat/>
    <w:uiPriority w:val="0"/>
    <w:pPr>
      <w:jc w:val="left"/>
    </w:pPr>
    <w:rPr>
      <w:rFonts w:ascii="仿宋_GB2312" w:hAnsi="宋体" w:eastAsia="仿宋_GB2312" w:cs="宋体"/>
      <w:color w:val="000000"/>
      <w:kern w:val="0"/>
      <w:sz w:val="32"/>
      <w:szCs w:val="20"/>
    </w:rPr>
  </w:style>
  <w:style w:type="paragraph" w:customStyle="1" w:styleId="168">
    <w:name w:val="样式 投标正文 + 首行缩进:  2 字符"/>
    <w:basedOn w:val="1"/>
    <w:qFormat/>
    <w:uiPriority w:val="0"/>
    <w:pPr>
      <w:adjustRightInd w:val="0"/>
      <w:snapToGrid w:val="0"/>
      <w:spacing w:line="360" w:lineRule="auto"/>
      <w:ind w:firstLine="567"/>
    </w:pPr>
  </w:style>
  <w:style w:type="paragraph" w:customStyle="1" w:styleId="169">
    <w:name w:val="Char Char Char Char Char Char1"/>
    <w:basedOn w:val="1"/>
    <w:qFormat/>
    <w:uiPriority w:val="0"/>
  </w:style>
  <w:style w:type="paragraph" w:customStyle="1" w:styleId="170">
    <w:name w:val="Char"/>
    <w:basedOn w:val="1"/>
    <w:qFormat/>
    <w:uiPriority w:val="0"/>
    <w:pPr>
      <w:numPr>
        <w:ilvl w:val="0"/>
        <w:numId w:val="13"/>
      </w:numPr>
    </w:pPr>
    <w:rPr>
      <w:rFonts w:eastAsia="仿宋_GB2312"/>
    </w:rPr>
  </w:style>
  <w:style w:type="paragraph" w:customStyle="1" w:styleId="171">
    <w:name w:val="正文缩进1.2"/>
    <w:basedOn w:val="1"/>
    <w:qFormat/>
    <w:uiPriority w:val="0"/>
    <w:pPr>
      <w:adjustRightInd w:val="0"/>
      <w:snapToGrid w:val="0"/>
      <w:spacing w:line="360" w:lineRule="auto"/>
      <w:ind w:firstLine="680"/>
      <w:jc w:val="left"/>
    </w:pPr>
    <w:rPr>
      <w:sz w:val="28"/>
      <w:szCs w:val="20"/>
    </w:rPr>
  </w:style>
  <w:style w:type="paragraph" w:customStyle="1" w:styleId="172">
    <w:name w:val="正文1"/>
    <w:basedOn w:val="9"/>
    <w:qFormat/>
    <w:uiPriority w:val="0"/>
    <w:pPr>
      <w:spacing w:line="520" w:lineRule="exact"/>
      <w:ind w:firstLine="0"/>
      <w:jc w:val="left"/>
    </w:pPr>
    <w:rPr>
      <w:spacing w:val="10"/>
      <w:sz w:val="30"/>
    </w:rPr>
  </w:style>
  <w:style w:type="paragraph" w:customStyle="1" w:styleId="173">
    <w:name w:val="xl2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rPr>
  </w:style>
  <w:style w:type="paragraph" w:customStyle="1" w:styleId="174">
    <w:name w:val="正方框图"/>
    <w:basedOn w:val="1"/>
    <w:qFormat/>
    <w:uiPriority w:val="0"/>
    <w:pPr>
      <w:adjustRightInd w:val="0"/>
      <w:jc w:val="center"/>
      <w:textAlignment w:val="baseline"/>
    </w:pPr>
    <w:rPr>
      <w:rFonts w:cs="宋体"/>
      <w:kern w:val="0"/>
      <w:szCs w:val="21"/>
    </w:rPr>
  </w:style>
  <w:style w:type="paragraph" w:customStyle="1" w:styleId="175">
    <w:name w:val="样式 首行缩进:  2 字符"/>
    <w:basedOn w:val="1"/>
    <w:qFormat/>
    <w:uiPriority w:val="0"/>
    <w:pPr>
      <w:spacing w:line="360" w:lineRule="auto"/>
      <w:ind w:firstLine="560"/>
    </w:pPr>
    <w:rPr>
      <w:sz w:val="28"/>
      <w:szCs w:val="20"/>
    </w:rPr>
  </w:style>
  <w:style w:type="paragraph" w:customStyle="1" w:styleId="176">
    <w:name w:val="..3"/>
    <w:basedOn w:val="154"/>
    <w:next w:val="154"/>
    <w:qFormat/>
    <w:uiPriority w:val="0"/>
    <w:rPr>
      <w:rFonts w:cs="Times New Roman"/>
      <w:color w:val="auto"/>
    </w:rPr>
  </w:style>
  <w:style w:type="paragraph" w:customStyle="1" w:styleId="177">
    <w:name w:val="ooo"/>
    <w:basedOn w:val="1"/>
    <w:qFormat/>
    <w:uiPriority w:val="0"/>
    <w:pPr>
      <w:adjustRightInd w:val="0"/>
      <w:snapToGrid w:val="0"/>
      <w:spacing w:line="300" w:lineRule="auto"/>
      <w:ind w:firstLine="567"/>
      <w:jc w:val="left"/>
    </w:pPr>
    <w:rPr>
      <w:spacing w:val="20"/>
      <w:sz w:val="28"/>
      <w:szCs w:val="20"/>
    </w:rPr>
  </w:style>
  <w:style w:type="character" w:customStyle="1" w:styleId="178">
    <w:name w:val="表格样式 Char"/>
    <w:link w:val="162"/>
    <w:qFormat/>
    <w:uiPriority w:val="0"/>
    <w:rPr>
      <w:rFonts w:ascii="宋体" w:hAnsi="宋体"/>
      <w:sz w:val="24"/>
    </w:rPr>
  </w:style>
  <w:style w:type="character" w:customStyle="1" w:styleId="179">
    <w:name w:val="正文文本 字符"/>
    <w:link w:val="34"/>
    <w:qFormat/>
    <w:uiPriority w:val="0"/>
  </w:style>
  <w:style w:type="character" w:customStyle="1" w:styleId="180">
    <w:name w:val="纯文本 字符"/>
    <w:link w:val="45"/>
    <w:qFormat/>
    <w:uiPriority w:val="99"/>
    <w:rPr>
      <w:rFonts w:ascii="宋体" w:hAnsi="Courier New" w:cs="Courier New"/>
      <w:kern w:val="2"/>
      <w:sz w:val="21"/>
      <w:szCs w:val="21"/>
    </w:rPr>
  </w:style>
  <w:style w:type="character" w:customStyle="1" w:styleId="181">
    <w:name w:val="标题 5 字符"/>
    <w:link w:val="7"/>
    <w:qFormat/>
    <w:uiPriority w:val="0"/>
    <w:rPr>
      <w:rFonts w:ascii="宋体" w:hAnsi="宋体"/>
      <w:kern w:val="2"/>
      <w:sz w:val="28"/>
    </w:rPr>
  </w:style>
  <w:style w:type="character" w:customStyle="1" w:styleId="182">
    <w:name w:val="列表项目符号 字符"/>
    <w:link w:val="24"/>
    <w:qFormat/>
    <w:uiPriority w:val="0"/>
    <w:rPr>
      <w:kern w:val="2"/>
      <w:sz w:val="21"/>
      <w:szCs w:val="24"/>
    </w:rPr>
  </w:style>
  <w:style w:type="character" w:customStyle="1" w:styleId="183">
    <w:name w:val="正文文本缩进 字符"/>
    <w:link w:val="35"/>
    <w:qFormat/>
    <w:uiPriority w:val="0"/>
    <w:rPr>
      <w:rFonts w:eastAsia="宋体"/>
      <w:kern w:val="2"/>
      <w:sz w:val="21"/>
      <w:szCs w:val="24"/>
      <w:lang w:val="en-US" w:eastAsia="zh-CN" w:bidi="ar-SA"/>
    </w:rPr>
  </w:style>
  <w:style w:type="character" w:customStyle="1" w:styleId="184">
    <w:name w:val="普通(网站) 字符"/>
    <w:link w:val="81"/>
    <w:qFormat/>
    <w:uiPriority w:val="99"/>
    <w:rPr>
      <w:kern w:val="2"/>
      <w:sz w:val="24"/>
      <w:szCs w:val="24"/>
    </w:rPr>
  </w:style>
  <w:style w:type="character" w:customStyle="1" w:styleId="185">
    <w:name w:val="textcontents"/>
    <w:basedOn w:val="133"/>
    <w:qFormat/>
    <w:uiPriority w:val="0"/>
  </w:style>
  <w:style w:type="paragraph" w:styleId="186">
    <w:name w:val="List Paragraph"/>
    <w:basedOn w:val="1"/>
    <w:qFormat/>
    <w:uiPriority w:val="0"/>
    <w:pPr>
      <w:ind w:firstLine="420"/>
    </w:pPr>
    <w:rPr>
      <w:rFonts w:ascii="Calibri" w:hAnsi="Calibri"/>
      <w:szCs w:val="22"/>
    </w:rPr>
  </w:style>
  <w:style w:type="character" w:customStyle="1" w:styleId="187">
    <w:name w:val="标题 字符"/>
    <w:basedOn w:val="133"/>
    <w:link w:val="84"/>
    <w:qFormat/>
    <w:uiPriority w:val="0"/>
    <w:rPr>
      <w:rFonts w:ascii="Arial" w:hAnsi="Arial" w:cs="Arial"/>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7185</Words>
  <Characters>40961</Characters>
  <Lines>341</Lines>
  <Paragraphs>96</Paragraphs>
  <TotalTime>308</TotalTime>
  <ScaleCrop>false</ScaleCrop>
  <LinksUpToDate>false</LinksUpToDate>
  <CharactersWithSpaces>48050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2020-11-23T06:08:00Z</dcterms:created>
  <dc:creator>hp</dc:creator>
  <cp:lastModifiedBy>扯虎皮做大旗</cp:lastModifiedBy>
  <cp:lastPrinted>2018-09-20T02:45:00Z</cp:lastPrinted>
  <dcterms:modified xsi:type="dcterms:W3CDTF">2024-08-28T03:05:24Z</dcterms:modified>
  <dc:title>济南市西客站片市政工程(一期)工程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